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A3" w:rsidRPr="00C24892" w:rsidRDefault="00AD5683" w:rsidP="00DE6713">
      <w:pPr>
        <w:tabs>
          <w:tab w:val="left" w:pos="851"/>
          <w:tab w:val="left" w:pos="2820"/>
          <w:tab w:val="left" w:pos="3255"/>
        </w:tabs>
        <w:spacing w:line="360" w:lineRule="auto"/>
        <w:rPr>
          <w:b/>
          <w:bCs/>
          <w:caps/>
        </w:rPr>
      </w:pPr>
      <w:r w:rsidRPr="00C24892">
        <w:rPr>
          <w:b/>
          <w:bCs/>
          <w:caps/>
          <w:lang w:bidi="ar-DZ"/>
        </w:rPr>
        <w:t>II</w:t>
      </w:r>
      <w:r w:rsidRPr="00C24892">
        <w:rPr>
          <w:b/>
          <w:bCs/>
          <w:caps/>
        </w:rPr>
        <w:t>-1. Synthèse des verres</w:t>
      </w:r>
      <w:r w:rsidR="00D55F78" w:rsidRPr="00C24892">
        <w:rPr>
          <w:b/>
          <w:bCs/>
          <w:caps/>
        </w:rPr>
        <w:tab/>
      </w:r>
      <w:r w:rsidR="00D55F78" w:rsidRPr="00C24892">
        <w:rPr>
          <w:b/>
          <w:bCs/>
          <w:caps/>
        </w:rPr>
        <w:tab/>
      </w:r>
    </w:p>
    <w:p w:rsidR="001240A3" w:rsidRDefault="001240A3" w:rsidP="001240A3">
      <w:pPr>
        <w:tabs>
          <w:tab w:val="left" w:pos="851"/>
          <w:tab w:val="left" w:pos="2820"/>
          <w:tab w:val="left" w:pos="3255"/>
        </w:tabs>
        <w:spacing w:line="360" w:lineRule="auto"/>
        <w:rPr>
          <w:b/>
          <w:bCs/>
        </w:rPr>
      </w:pPr>
      <w:r>
        <w:rPr>
          <w:b/>
          <w:bCs/>
        </w:rPr>
        <w:t xml:space="preserve">  </w:t>
      </w:r>
      <w:r w:rsidR="00AD5683" w:rsidRPr="000B3E9D">
        <w:rPr>
          <w:b/>
          <w:bCs/>
        </w:rPr>
        <w:t>II-1-1  Produits de départ</w:t>
      </w:r>
      <w:r w:rsidR="003652C7">
        <w:rPr>
          <w:b/>
          <w:bCs/>
        </w:rPr>
        <w:t xml:space="preserve">  </w:t>
      </w:r>
      <w:r w:rsidR="00AD5683" w:rsidRPr="000B3E9D">
        <w:rPr>
          <w:b/>
          <w:bCs/>
        </w:rPr>
        <w:t xml:space="preserve"> </w:t>
      </w:r>
    </w:p>
    <w:p w:rsidR="001240A3" w:rsidRDefault="00D55F78" w:rsidP="001240A3">
      <w:pPr>
        <w:tabs>
          <w:tab w:val="left" w:pos="851"/>
          <w:tab w:val="left" w:pos="2820"/>
          <w:tab w:val="left" w:pos="3255"/>
        </w:tabs>
        <w:spacing w:line="360" w:lineRule="auto"/>
        <w:rPr>
          <w:b/>
          <w:bCs/>
        </w:rPr>
      </w:pPr>
      <w:r w:rsidRPr="000B3E9D">
        <w:rPr>
          <w:b/>
          <w:bCs/>
        </w:rPr>
        <w:tab/>
      </w:r>
    </w:p>
    <w:p w:rsidR="00AD5683" w:rsidRPr="001240A3" w:rsidRDefault="001240A3" w:rsidP="001240A3">
      <w:pPr>
        <w:tabs>
          <w:tab w:val="left" w:pos="851"/>
          <w:tab w:val="left" w:pos="2820"/>
          <w:tab w:val="left" w:pos="3255"/>
        </w:tabs>
        <w:spacing w:line="360" w:lineRule="auto"/>
        <w:rPr>
          <w:b/>
          <w:bCs/>
          <w:rtl/>
        </w:rPr>
      </w:pPr>
      <w:r>
        <w:rPr>
          <w:b/>
          <w:bCs/>
        </w:rPr>
        <w:tab/>
      </w:r>
      <w:r w:rsidR="00AD5683" w:rsidRPr="000B3E9D">
        <w:t xml:space="preserve">Les oxydes utilisés dans la synthèse des verres étudiés ont une pureté minimale de 99% et ils proviennent de chez Acros, Merk ou Fluka. </w:t>
      </w:r>
      <w:r w:rsidR="00AD5683" w:rsidRPr="000B3E9D">
        <w:rPr>
          <w:color w:val="000000"/>
        </w:rPr>
        <w:t>Ils ont rassemblés dans le tableau II.1.</w:t>
      </w:r>
    </w:p>
    <w:p w:rsidR="00AD5683" w:rsidRPr="000B3E9D" w:rsidRDefault="00AD5683" w:rsidP="008333F8">
      <w:pPr>
        <w:pStyle w:val="Default"/>
        <w:spacing w:line="360" w:lineRule="auto"/>
        <w:jc w:val="center"/>
        <w:rPr>
          <w:rFonts w:ascii="Times New Roman" w:hAnsi="Times New Roman" w:cs="Times New Roman"/>
          <w:sz w:val="24"/>
          <w:szCs w:val="24"/>
        </w:rPr>
      </w:pP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23"/>
        <w:gridCol w:w="2403"/>
        <w:gridCol w:w="2865"/>
      </w:tblGrid>
      <w:tr w:rsidR="00AD5683" w:rsidRPr="000B3E9D" w:rsidTr="008333F8">
        <w:trPr>
          <w:trHeight w:val="502"/>
          <w:jc w:val="center"/>
        </w:trPr>
        <w:tc>
          <w:tcPr>
            <w:tcW w:w="0" w:type="auto"/>
          </w:tcPr>
          <w:p w:rsidR="00AD5683" w:rsidRPr="000B3E9D" w:rsidRDefault="00AD5683" w:rsidP="008333F8">
            <w:pPr>
              <w:spacing w:line="360" w:lineRule="auto"/>
              <w:jc w:val="center"/>
              <w:rPr>
                <w:rtl/>
              </w:rPr>
            </w:pPr>
            <w:r w:rsidRPr="000B3E9D">
              <w:t>Produit</w:t>
            </w:r>
          </w:p>
        </w:tc>
        <w:tc>
          <w:tcPr>
            <w:tcW w:w="0" w:type="auto"/>
          </w:tcPr>
          <w:p w:rsidR="00AD5683" w:rsidRPr="000B3E9D" w:rsidRDefault="00AD5683" w:rsidP="008333F8">
            <w:pPr>
              <w:spacing w:line="360" w:lineRule="auto"/>
              <w:jc w:val="center"/>
              <w:rPr>
                <w:rtl/>
              </w:rPr>
            </w:pPr>
            <w:r w:rsidRPr="000B3E9D">
              <w:t>Masse molaire (g/mol)</w:t>
            </w:r>
          </w:p>
        </w:tc>
        <w:tc>
          <w:tcPr>
            <w:tcW w:w="0" w:type="auto"/>
          </w:tcPr>
          <w:p w:rsidR="00AD5683" w:rsidRPr="000B3E9D" w:rsidRDefault="00AD5683" w:rsidP="008333F8">
            <w:pPr>
              <w:spacing w:line="360" w:lineRule="auto"/>
              <w:jc w:val="center"/>
            </w:pPr>
            <w:r w:rsidRPr="000B3E9D">
              <w:t>Température de fusion (°C)</w:t>
            </w:r>
          </w:p>
          <w:p w:rsidR="00AD5683" w:rsidRPr="000B3E9D" w:rsidRDefault="00AD5683" w:rsidP="008333F8">
            <w:pPr>
              <w:spacing w:line="360" w:lineRule="auto"/>
              <w:jc w:val="center"/>
            </w:pPr>
            <w:r w:rsidRPr="000B3E9D">
              <w:t>de l’oxyde</w:t>
            </w:r>
          </w:p>
        </w:tc>
      </w:tr>
      <w:tr w:rsidR="00AD5683" w:rsidRPr="000B3E9D" w:rsidTr="008333F8">
        <w:trPr>
          <w:jc w:val="center"/>
        </w:trPr>
        <w:tc>
          <w:tcPr>
            <w:tcW w:w="0" w:type="auto"/>
          </w:tcPr>
          <w:p w:rsidR="00AD5683" w:rsidRPr="000B3E9D" w:rsidRDefault="00AD5683" w:rsidP="008333F8">
            <w:pPr>
              <w:pStyle w:val="Default"/>
              <w:spacing w:line="360" w:lineRule="auto"/>
              <w:jc w:val="center"/>
              <w:rPr>
                <w:rFonts w:ascii="Times New Roman" w:hAnsi="Times New Roman" w:cs="Times New Roman"/>
                <w:sz w:val="24"/>
                <w:szCs w:val="24"/>
                <w:vertAlign w:val="subscript"/>
              </w:rPr>
            </w:pPr>
            <w:r w:rsidRPr="000B3E9D">
              <w:rPr>
                <w:rFonts w:ascii="Times New Roman" w:hAnsi="Times New Roman" w:cs="Times New Roman"/>
                <w:sz w:val="24"/>
                <w:szCs w:val="24"/>
              </w:rPr>
              <w:t>Sb</w:t>
            </w:r>
            <w:r w:rsidRPr="000B3E9D">
              <w:rPr>
                <w:rFonts w:ascii="Times New Roman" w:hAnsi="Times New Roman" w:cs="Times New Roman"/>
                <w:sz w:val="24"/>
                <w:szCs w:val="24"/>
                <w:vertAlign w:val="subscript"/>
              </w:rPr>
              <w:t>2</w:t>
            </w:r>
            <w:r w:rsidRPr="000B3E9D">
              <w:rPr>
                <w:rFonts w:ascii="Times New Roman" w:hAnsi="Times New Roman" w:cs="Times New Roman"/>
                <w:sz w:val="24"/>
                <w:szCs w:val="24"/>
              </w:rPr>
              <w:t>O</w:t>
            </w:r>
            <w:r w:rsidRPr="000B3E9D">
              <w:rPr>
                <w:rFonts w:ascii="Times New Roman" w:hAnsi="Times New Roman" w:cs="Times New Roman"/>
                <w:sz w:val="24"/>
                <w:szCs w:val="24"/>
                <w:vertAlign w:val="subscript"/>
              </w:rPr>
              <w:t>3</w:t>
            </w:r>
          </w:p>
        </w:tc>
        <w:tc>
          <w:tcPr>
            <w:tcW w:w="0" w:type="auto"/>
          </w:tcPr>
          <w:p w:rsidR="00AD5683" w:rsidRPr="000B3E9D" w:rsidRDefault="00AD5683"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291.4</w:t>
            </w:r>
          </w:p>
        </w:tc>
        <w:tc>
          <w:tcPr>
            <w:tcW w:w="0" w:type="auto"/>
          </w:tcPr>
          <w:p w:rsidR="00AD5683" w:rsidRPr="000B3E9D" w:rsidRDefault="00AD5683"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656</w:t>
            </w:r>
          </w:p>
        </w:tc>
      </w:tr>
      <w:tr w:rsidR="00AD5683" w:rsidRPr="000B3E9D" w:rsidTr="008333F8">
        <w:trPr>
          <w:jc w:val="center"/>
        </w:trPr>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vertAlign w:val="subscript"/>
              </w:rPr>
            </w:pPr>
            <w:r w:rsidRPr="000B3E9D">
              <w:rPr>
                <w:rFonts w:ascii="Times New Roman" w:hAnsi="Times New Roman" w:cs="Times New Roman"/>
                <w:sz w:val="24"/>
                <w:szCs w:val="24"/>
              </w:rPr>
              <w:t>k</w:t>
            </w:r>
            <w:r w:rsidR="00AD5683" w:rsidRPr="000B3E9D">
              <w:rPr>
                <w:rFonts w:ascii="Times New Roman" w:hAnsi="Times New Roman" w:cs="Times New Roman"/>
                <w:sz w:val="24"/>
                <w:szCs w:val="24"/>
                <w:vertAlign w:val="subscript"/>
              </w:rPr>
              <w:t>2</w:t>
            </w:r>
            <w:r w:rsidR="00AD5683" w:rsidRPr="000B3E9D">
              <w:rPr>
                <w:rFonts w:ascii="Times New Roman" w:hAnsi="Times New Roman" w:cs="Times New Roman"/>
                <w:sz w:val="24"/>
                <w:szCs w:val="24"/>
              </w:rPr>
              <w:t>CO</w:t>
            </w:r>
            <w:r w:rsidR="00AD5683" w:rsidRPr="000B3E9D">
              <w:rPr>
                <w:rFonts w:ascii="Times New Roman" w:hAnsi="Times New Roman" w:cs="Times New Roman"/>
                <w:sz w:val="24"/>
                <w:szCs w:val="24"/>
                <w:vertAlign w:val="subscript"/>
              </w:rPr>
              <w:t>3</w:t>
            </w:r>
          </w:p>
        </w:tc>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138.21</w:t>
            </w:r>
          </w:p>
        </w:tc>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891</w:t>
            </w:r>
          </w:p>
        </w:tc>
      </w:tr>
      <w:tr w:rsidR="00AD5683" w:rsidRPr="000B3E9D" w:rsidTr="008333F8">
        <w:trPr>
          <w:jc w:val="center"/>
        </w:trPr>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vertAlign w:val="subscript"/>
              </w:rPr>
            </w:pPr>
            <w:r w:rsidRPr="000B3E9D">
              <w:rPr>
                <w:rFonts w:ascii="Times New Roman" w:hAnsi="Times New Roman" w:cs="Times New Roman"/>
                <w:sz w:val="24"/>
                <w:szCs w:val="24"/>
              </w:rPr>
              <w:t>pbCO</w:t>
            </w:r>
            <w:r w:rsidRPr="000B3E9D">
              <w:rPr>
                <w:rFonts w:ascii="Times New Roman" w:hAnsi="Times New Roman" w:cs="Times New Roman"/>
                <w:sz w:val="24"/>
                <w:szCs w:val="24"/>
                <w:vertAlign w:val="subscript"/>
              </w:rPr>
              <w:t>3</w:t>
            </w:r>
          </w:p>
        </w:tc>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267.21</w:t>
            </w:r>
          </w:p>
        </w:tc>
        <w:tc>
          <w:tcPr>
            <w:tcW w:w="0" w:type="auto"/>
          </w:tcPr>
          <w:p w:rsidR="00AD5683" w:rsidRPr="000B3E9D" w:rsidRDefault="00502BC2"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888</w:t>
            </w:r>
          </w:p>
        </w:tc>
      </w:tr>
      <w:tr w:rsidR="009E7E18" w:rsidRPr="000B3E9D" w:rsidTr="008333F8">
        <w:trPr>
          <w:jc w:val="center"/>
        </w:trPr>
        <w:tc>
          <w:tcPr>
            <w:tcW w:w="0" w:type="auto"/>
          </w:tcPr>
          <w:p w:rsidR="009E7E18" w:rsidRPr="000B3E9D" w:rsidRDefault="00FA2C69"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ZnO</w:t>
            </w:r>
          </w:p>
        </w:tc>
        <w:tc>
          <w:tcPr>
            <w:tcW w:w="0" w:type="auto"/>
          </w:tcPr>
          <w:p w:rsidR="009E7E18" w:rsidRPr="000B3E9D" w:rsidRDefault="00FA2C69"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81.38</w:t>
            </w:r>
          </w:p>
        </w:tc>
        <w:tc>
          <w:tcPr>
            <w:tcW w:w="0" w:type="auto"/>
          </w:tcPr>
          <w:p w:rsidR="009E7E18" w:rsidRPr="000B3E9D" w:rsidRDefault="00FA2C69" w:rsidP="008333F8">
            <w:pPr>
              <w:pStyle w:val="Default"/>
              <w:spacing w:line="360" w:lineRule="auto"/>
              <w:jc w:val="center"/>
              <w:rPr>
                <w:rFonts w:ascii="Times New Roman" w:hAnsi="Times New Roman" w:cs="Times New Roman"/>
                <w:sz w:val="24"/>
                <w:szCs w:val="24"/>
              </w:rPr>
            </w:pPr>
            <w:r w:rsidRPr="000B3E9D">
              <w:rPr>
                <w:rFonts w:ascii="Times New Roman" w:hAnsi="Times New Roman" w:cs="Times New Roman"/>
                <w:sz w:val="24"/>
                <w:szCs w:val="24"/>
              </w:rPr>
              <w:t>1975</w:t>
            </w:r>
          </w:p>
        </w:tc>
      </w:tr>
    </w:tbl>
    <w:p w:rsidR="00AD5683" w:rsidRPr="000B3E9D" w:rsidRDefault="00884F27" w:rsidP="008333F8">
      <w:pPr>
        <w:pStyle w:val="Normal8"/>
        <w:spacing w:line="360" w:lineRule="auto"/>
        <w:jc w:val="center"/>
        <w:rPr>
          <w:i/>
          <w:iCs/>
        </w:rPr>
      </w:pPr>
      <w:r w:rsidRPr="008333F8">
        <w:rPr>
          <w:b/>
          <w:bCs/>
        </w:rPr>
        <w:t>Tableau II</w:t>
      </w:r>
      <w:r w:rsidR="00AD5683" w:rsidRPr="008333F8">
        <w:rPr>
          <w:b/>
          <w:bCs/>
        </w:rPr>
        <w:t>.1</w:t>
      </w:r>
      <w:r w:rsidR="00AD5683" w:rsidRPr="008333F8">
        <w:t> </w:t>
      </w:r>
      <w:r w:rsidR="00AD5683" w:rsidRPr="008333F8">
        <w:rPr>
          <w:b/>
          <w:bCs/>
        </w:rPr>
        <w:t>:</w:t>
      </w:r>
      <w:r w:rsidR="00AD5683" w:rsidRPr="000B3E9D">
        <w:rPr>
          <w:b/>
          <w:bCs/>
          <w:i/>
          <w:iCs/>
          <w:color w:val="000000"/>
        </w:rPr>
        <w:t xml:space="preserve"> </w:t>
      </w:r>
      <w:r w:rsidR="00AD5683" w:rsidRPr="008333F8">
        <w:rPr>
          <w:color w:val="000000"/>
        </w:rPr>
        <w:t>Masse molaire et température de fusion des produits de départ.</w:t>
      </w:r>
    </w:p>
    <w:p w:rsidR="0038126A" w:rsidRPr="000B3E9D" w:rsidRDefault="00D55F78" w:rsidP="00D55F78">
      <w:pPr>
        <w:tabs>
          <w:tab w:val="left" w:pos="2865"/>
        </w:tabs>
        <w:autoSpaceDE w:val="0"/>
        <w:autoSpaceDN w:val="0"/>
        <w:adjustRightInd w:val="0"/>
        <w:spacing w:line="360" w:lineRule="auto"/>
        <w:jc w:val="both"/>
        <w:rPr>
          <w:b/>
          <w:bCs/>
        </w:rPr>
      </w:pPr>
      <w:r w:rsidRPr="000B3E9D">
        <w:rPr>
          <w:b/>
          <w:bCs/>
        </w:rPr>
        <w:tab/>
      </w:r>
    </w:p>
    <w:p w:rsidR="001240A3" w:rsidRDefault="000D7E56" w:rsidP="001240A3">
      <w:pPr>
        <w:autoSpaceDE w:val="0"/>
        <w:autoSpaceDN w:val="0"/>
        <w:adjustRightInd w:val="0"/>
        <w:spacing w:line="360" w:lineRule="auto"/>
        <w:jc w:val="both"/>
        <w:rPr>
          <w:rFonts w:eastAsiaTheme="minorHAnsi"/>
          <w:b/>
          <w:bCs/>
          <w:color w:val="000000"/>
          <w:lang w:eastAsia="en-US"/>
        </w:rPr>
      </w:pPr>
      <w:r w:rsidRPr="000B3E9D">
        <w:rPr>
          <w:b/>
          <w:bCs/>
        </w:rPr>
        <w:t xml:space="preserve">II-1-2  </w:t>
      </w:r>
      <w:r w:rsidRPr="000B3E9D">
        <w:rPr>
          <w:rFonts w:eastAsiaTheme="minorHAnsi"/>
          <w:b/>
          <w:bCs/>
          <w:color w:val="000000"/>
          <w:lang w:eastAsia="en-US"/>
        </w:rPr>
        <w:t xml:space="preserve">Choix du creuset </w:t>
      </w:r>
    </w:p>
    <w:p w:rsidR="001240A3" w:rsidRDefault="001240A3" w:rsidP="001240A3">
      <w:pPr>
        <w:autoSpaceDE w:val="0"/>
        <w:autoSpaceDN w:val="0"/>
        <w:adjustRightInd w:val="0"/>
        <w:spacing w:line="360" w:lineRule="auto"/>
        <w:jc w:val="both"/>
        <w:rPr>
          <w:rFonts w:eastAsiaTheme="minorHAnsi"/>
          <w:b/>
          <w:bCs/>
          <w:color w:val="000000"/>
          <w:lang w:eastAsia="en-US"/>
        </w:rPr>
      </w:pPr>
    </w:p>
    <w:p w:rsidR="000B3E9D" w:rsidRPr="001240A3" w:rsidRDefault="00514C05" w:rsidP="001240A3">
      <w:pPr>
        <w:autoSpaceDE w:val="0"/>
        <w:autoSpaceDN w:val="0"/>
        <w:adjustRightInd w:val="0"/>
        <w:spacing w:line="360" w:lineRule="auto"/>
        <w:ind w:firstLine="708"/>
        <w:jc w:val="both"/>
        <w:rPr>
          <w:rFonts w:eastAsiaTheme="minorHAnsi"/>
          <w:b/>
          <w:bCs/>
          <w:color w:val="000000"/>
          <w:lang w:eastAsia="en-US"/>
        </w:rPr>
      </w:pPr>
      <w:r>
        <w:rPr>
          <w:rFonts w:eastAsiaTheme="minorHAnsi"/>
          <w:color w:val="000000"/>
          <w:lang w:eastAsia="en-US"/>
        </w:rPr>
        <w:t xml:space="preserve">Dans notre travail on utilise les  </w:t>
      </w:r>
      <w:r w:rsidRPr="000B3E9D">
        <w:rPr>
          <w:rFonts w:eastAsiaTheme="minorHAnsi"/>
          <w:color w:val="000000"/>
          <w:lang w:eastAsia="en-US"/>
        </w:rPr>
        <w:t>creusets</w:t>
      </w:r>
      <w:r>
        <w:rPr>
          <w:rFonts w:eastAsiaTheme="minorHAnsi"/>
          <w:color w:val="000000"/>
          <w:lang w:eastAsia="en-US"/>
        </w:rPr>
        <w:t xml:space="preserve"> de type </w:t>
      </w:r>
      <w:r w:rsidRPr="000B3E9D">
        <w:rPr>
          <w:rFonts w:eastAsiaTheme="minorHAnsi"/>
          <w:color w:val="000000"/>
          <w:lang w:eastAsia="en-US"/>
        </w:rPr>
        <w:t>de verre sodocalcique</w:t>
      </w:r>
      <w:r>
        <w:rPr>
          <w:rFonts w:eastAsiaTheme="minorHAnsi"/>
          <w:color w:val="000000"/>
          <w:lang w:eastAsia="en-US"/>
        </w:rPr>
        <w:t>.</w:t>
      </w:r>
      <w:r w:rsidRPr="00514C05">
        <w:rPr>
          <w:rFonts w:eastAsiaTheme="minorHAnsi"/>
          <w:color w:val="000000"/>
          <w:lang w:eastAsia="en-US"/>
        </w:rPr>
        <w:t xml:space="preserve"> Ces</w:t>
      </w:r>
      <w:r w:rsidR="000D7E56" w:rsidRPr="00514C05">
        <w:rPr>
          <w:rFonts w:eastAsiaTheme="minorHAnsi"/>
          <w:color w:val="000000"/>
          <w:lang w:eastAsia="en-US"/>
        </w:rPr>
        <w:t xml:space="preserve"> creusets sont utilisés généralement dans l’étape d’exploration de nouveaux domaines vitreux. Si la fusion du mélange n’est pas atteinte on fera recours aux creusets de silice, qui peuvent résistés à des températures de fusion supérieure à 1200°C laquelle température maximale que pourra atteindre la flamme du bec benzène. </w:t>
      </w:r>
    </w:p>
    <w:p w:rsidR="000B3E9D" w:rsidRPr="000B3E9D" w:rsidRDefault="000B3E9D" w:rsidP="000B3E9D">
      <w:pPr>
        <w:pStyle w:val="Default"/>
        <w:spacing w:line="360" w:lineRule="auto"/>
        <w:ind w:left="720"/>
        <w:jc w:val="both"/>
        <w:rPr>
          <w:rFonts w:ascii="Times New Roman" w:hAnsi="Times New Roman" w:cs="Times New Roman"/>
          <w:b/>
          <w:bCs/>
          <w:sz w:val="24"/>
          <w:szCs w:val="24"/>
        </w:rPr>
      </w:pPr>
    </w:p>
    <w:p w:rsidR="00C133A6" w:rsidRPr="000B3E9D" w:rsidRDefault="000B3E9D" w:rsidP="000B3E9D">
      <w:pPr>
        <w:pStyle w:val="Default"/>
        <w:spacing w:line="360" w:lineRule="auto"/>
        <w:jc w:val="both"/>
        <w:rPr>
          <w:rFonts w:ascii="Times New Roman" w:hAnsi="Times New Roman" w:cs="Times New Roman"/>
          <w:b/>
          <w:bCs/>
          <w:sz w:val="24"/>
          <w:szCs w:val="24"/>
        </w:rPr>
      </w:pPr>
      <w:r>
        <w:rPr>
          <w:rFonts w:eastAsiaTheme="minorHAnsi"/>
          <w:color w:val="000000"/>
          <w:sz w:val="24"/>
          <w:szCs w:val="24"/>
          <w:lang w:eastAsia="en-US"/>
        </w:rPr>
        <w:tab/>
      </w:r>
      <w:r w:rsidR="000D7E56" w:rsidRPr="000B3E9D">
        <w:rPr>
          <w:rFonts w:eastAsiaTheme="minorHAnsi"/>
          <w:color w:val="000000"/>
          <w:sz w:val="24"/>
          <w:szCs w:val="24"/>
          <w:lang w:eastAsia="en-US"/>
        </w:rPr>
        <w:t xml:space="preserve">Les tubes </w:t>
      </w:r>
      <w:r w:rsidR="003975AA" w:rsidRPr="000B3E9D">
        <w:rPr>
          <w:rFonts w:eastAsiaTheme="minorHAnsi"/>
          <w:color w:val="000000"/>
          <w:sz w:val="24"/>
          <w:szCs w:val="24"/>
          <w:lang w:eastAsia="en-US"/>
        </w:rPr>
        <w:t>sodocalcique</w:t>
      </w:r>
      <w:r w:rsidR="000D7E56" w:rsidRPr="000B3E9D">
        <w:rPr>
          <w:rFonts w:eastAsiaTheme="minorHAnsi"/>
          <w:color w:val="000000"/>
          <w:sz w:val="24"/>
          <w:szCs w:val="24"/>
          <w:lang w:eastAsia="en-US"/>
        </w:rPr>
        <w:t xml:space="preserve"> </w:t>
      </w:r>
      <w:r>
        <w:rPr>
          <w:rFonts w:eastAsiaTheme="minorHAnsi"/>
          <w:color w:val="000000"/>
          <w:sz w:val="24"/>
          <w:szCs w:val="24"/>
          <w:lang w:eastAsia="en-US"/>
        </w:rPr>
        <w:t xml:space="preserve">qui sont employés dans la plupart des verres de ce travail, </w:t>
      </w:r>
      <w:r w:rsidR="000D7E56" w:rsidRPr="000B3E9D">
        <w:rPr>
          <w:rFonts w:eastAsiaTheme="minorHAnsi"/>
          <w:color w:val="000000"/>
          <w:sz w:val="24"/>
          <w:szCs w:val="24"/>
          <w:lang w:eastAsia="en-US"/>
        </w:rPr>
        <w:t>sont déformés lors de la synthèse des verres, ils sont jetés après usage.</w:t>
      </w:r>
    </w:p>
    <w:p w:rsidR="001240A3" w:rsidRDefault="001240A3" w:rsidP="001240A3">
      <w:pPr>
        <w:tabs>
          <w:tab w:val="left" w:pos="5025"/>
        </w:tabs>
        <w:spacing w:line="360" w:lineRule="auto"/>
        <w:rPr>
          <w:b/>
          <w:bCs/>
        </w:rPr>
      </w:pPr>
    </w:p>
    <w:p w:rsidR="00950D1D" w:rsidRDefault="00950D1D" w:rsidP="001240A3">
      <w:pPr>
        <w:tabs>
          <w:tab w:val="left" w:pos="5025"/>
        </w:tabs>
        <w:spacing w:line="360" w:lineRule="auto"/>
        <w:rPr>
          <w:b/>
          <w:bCs/>
        </w:rPr>
      </w:pPr>
      <w:r w:rsidRPr="000B3E9D">
        <w:rPr>
          <w:b/>
          <w:bCs/>
        </w:rPr>
        <w:t>II-2.METHODES DE CARACTERISATION D</w:t>
      </w:r>
      <w:r w:rsidR="000B3E9D">
        <w:rPr>
          <w:b/>
          <w:bCs/>
        </w:rPr>
        <w:t>ES</w:t>
      </w:r>
      <w:r w:rsidRPr="000B3E9D">
        <w:rPr>
          <w:b/>
          <w:bCs/>
        </w:rPr>
        <w:t xml:space="preserve"> VERRE:</w:t>
      </w:r>
    </w:p>
    <w:p w:rsidR="002D44B6" w:rsidRDefault="001240A3" w:rsidP="0038126A">
      <w:pPr>
        <w:spacing w:line="360" w:lineRule="auto"/>
        <w:jc w:val="both"/>
        <w:rPr>
          <w:b/>
          <w:bCs/>
        </w:rPr>
      </w:pPr>
      <w:r>
        <w:rPr>
          <w:b/>
          <w:bCs/>
        </w:rPr>
        <w:t xml:space="preserve"> </w:t>
      </w:r>
      <w:r w:rsidR="00714E2D" w:rsidRPr="000B3E9D">
        <w:rPr>
          <w:b/>
          <w:bCs/>
        </w:rPr>
        <w:t>II-</w:t>
      </w:r>
      <w:r w:rsidR="004A3557" w:rsidRPr="000B3E9D">
        <w:rPr>
          <w:b/>
          <w:bCs/>
        </w:rPr>
        <w:t>2</w:t>
      </w:r>
      <w:r w:rsidR="00714E2D" w:rsidRPr="000B3E9D">
        <w:rPr>
          <w:b/>
          <w:bCs/>
        </w:rPr>
        <w:t>.</w:t>
      </w:r>
      <w:r w:rsidR="004A3557" w:rsidRPr="000B3E9D">
        <w:rPr>
          <w:b/>
          <w:bCs/>
        </w:rPr>
        <w:t>1</w:t>
      </w:r>
      <w:r w:rsidR="00714E2D" w:rsidRPr="000B3E9D">
        <w:rPr>
          <w:b/>
          <w:bCs/>
        </w:rPr>
        <w:t xml:space="preserve"> Diffraction aux rayons X: </w:t>
      </w:r>
    </w:p>
    <w:p w:rsidR="001240A3" w:rsidRPr="000B3E9D" w:rsidRDefault="001240A3" w:rsidP="0038126A">
      <w:pPr>
        <w:spacing w:line="360" w:lineRule="auto"/>
        <w:jc w:val="both"/>
        <w:rPr>
          <w:b/>
          <w:bCs/>
        </w:rPr>
      </w:pPr>
    </w:p>
    <w:p w:rsidR="00CE3723" w:rsidRDefault="00C31DCE" w:rsidP="0038126A">
      <w:pPr>
        <w:spacing w:line="360" w:lineRule="auto"/>
        <w:jc w:val="both"/>
      </w:pPr>
      <w:r w:rsidRPr="000B3E9D">
        <w:rPr>
          <w:b/>
          <w:bCs/>
        </w:rPr>
        <w:t xml:space="preserve">         </w:t>
      </w:r>
      <w:r w:rsidR="002D44B6" w:rsidRPr="000B3E9D">
        <w:rPr>
          <w:b/>
          <w:bCs/>
        </w:rPr>
        <w:t xml:space="preserve"> </w:t>
      </w:r>
      <w:r w:rsidR="00844B9B" w:rsidRPr="000B3E9D">
        <w:t>La diffraction des rayons X</w:t>
      </w:r>
      <w:r w:rsidR="0011001A">
        <w:t xml:space="preserve"> (DRX)</w:t>
      </w:r>
      <w:r w:rsidR="00844B9B" w:rsidRPr="000B3E9D">
        <w:t xml:space="preserve"> est une méthode de caractérisation physico-chimique qui permet de rendre compte de l’organisation de la matière. Elle est très largement utilisée pour la caractérisation des solides cristallisés, bien que des études par DRX soient menées sur des verres et même des liquides. Cette technique permet de remonter à des informations sur la structure des composés cristallisés comme le groupe d’espace, les paramètres de maille</w:t>
      </w:r>
      <w:r w:rsidR="007C73DC" w:rsidRPr="000B3E9D">
        <w:t xml:space="preserve"> </w:t>
      </w:r>
      <w:r w:rsidR="00844B9B" w:rsidRPr="000B3E9D">
        <w:t xml:space="preserve">la taille et forme des cristallites mais aussi les positions des atomes dans </w:t>
      </w:r>
      <w:r w:rsidR="00844B9B" w:rsidRPr="000B3E9D">
        <w:lastRenderedPageBreak/>
        <w:t>la maille</w:t>
      </w:r>
      <w:r w:rsidR="007C73DC" w:rsidRPr="000B3E9D">
        <w:t xml:space="preserve"> </w:t>
      </w:r>
      <w:r w:rsidR="007C73DC" w:rsidRPr="000B3E9D">
        <w:rPr>
          <w:color w:val="000000"/>
          <w:sz w:val="23"/>
          <w:szCs w:val="23"/>
        </w:rPr>
        <w:t>[1]</w:t>
      </w:r>
      <w:r w:rsidR="00844B9B" w:rsidRPr="000B3E9D">
        <w:t>.</w:t>
      </w:r>
      <w:r w:rsidRPr="000B3E9D">
        <w:t xml:space="preserve"> </w:t>
      </w:r>
      <w:r w:rsidR="00714E2D" w:rsidRPr="000B3E9D">
        <w:t>Un rayonnement X de longueur d’onde λ lorsqu’il entre en collision avec un matériau cristallin, il se diffracte dans la direction du même angle d’incidence selon la loi de Bragg définie par l’équation :</w:t>
      </w:r>
      <m:oMath>
        <m:r>
          <w:rPr>
            <w:rFonts w:ascii="Cambria Math" w:hAnsi="Cambria Math"/>
          </w:rPr>
          <m:t>2dsinθ=</m:t>
        </m:r>
        <m:r>
          <m:rPr>
            <m:sty m:val="p"/>
          </m:rPr>
          <w:rPr>
            <w:rFonts w:ascii="Cambria Math" w:hAnsi="Cambria Math"/>
          </w:rPr>
          <m:t>λ</m:t>
        </m:r>
      </m:oMath>
    </w:p>
    <w:p w:rsidR="001240A3" w:rsidRPr="000B3E9D" w:rsidRDefault="001240A3" w:rsidP="0038126A">
      <w:pPr>
        <w:spacing w:line="360" w:lineRule="auto"/>
        <w:jc w:val="both"/>
      </w:pPr>
    </w:p>
    <w:p w:rsidR="002D44B6" w:rsidRDefault="00CE3723" w:rsidP="00C24892">
      <w:pPr>
        <w:spacing w:line="360" w:lineRule="auto"/>
        <w:jc w:val="both"/>
      </w:pPr>
      <w:r w:rsidRPr="000B3E9D">
        <w:rPr>
          <w:b/>
          <w:bCs/>
        </w:rPr>
        <w:t xml:space="preserve">         </w:t>
      </w:r>
      <w:r w:rsidR="00714E2D" w:rsidRPr="000B3E9D">
        <w:t xml:space="preserve">Les </w:t>
      </w:r>
      <w:r w:rsidR="00C24892">
        <w:t xml:space="preserve">spectres </w:t>
      </w:r>
      <w:r w:rsidR="0011001A">
        <w:t>de D</w:t>
      </w:r>
      <w:r w:rsidR="00714E2D" w:rsidRPr="000B3E9D">
        <w:t xml:space="preserve">RX ont été effectuées via un diffractomètre de </w:t>
      </w:r>
      <w:r w:rsidR="0011001A">
        <w:t>rayons X</w:t>
      </w:r>
      <w:r w:rsidR="00714E2D" w:rsidRPr="000B3E9D">
        <w:t xml:space="preserve"> </w:t>
      </w:r>
      <w:r w:rsidR="0011001A">
        <w:t>de</w:t>
      </w:r>
      <w:r w:rsidR="00714E2D" w:rsidRPr="000B3E9D">
        <w:t xml:space="preserve"> poudres Bruker D8 ADVANCE à température ambiante fonctionnant avec la longueur d’onde KαCu (λ=1.54056). </w:t>
      </w:r>
      <w:r w:rsidR="0011001A">
        <w:t xml:space="preserve">Il est </w:t>
      </w:r>
      <w:r w:rsidR="009979D3">
        <w:t>équipé</w:t>
      </w:r>
      <w:r w:rsidR="0011001A">
        <w:t xml:space="preserve"> d’une </w:t>
      </w:r>
      <w:r w:rsidR="00714E2D" w:rsidRPr="000B3E9D">
        <w:t xml:space="preserve">base de données cristallographique actualisée (ICDD-PDF) </w:t>
      </w:r>
      <w:r w:rsidR="0011001A">
        <w:t xml:space="preserve">qui </w:t>
      </w:r>
      <w:r w:rsidR="00714E2D" w:rsidRPr="000B3E9D">
        <w:t xml:space="preserve">permet </w:t>
      </w:r>
      <w:r w:rsidR="0011001A">
        <w:t>de faire le dépouillement des spectres</w:t>
      </w:r>
      <w:r w:rsidR="00714E2D" w:rsidRPr="000B3E9D">
        <w:t xml:space="preserve">. La </w:t>
      </w:r>
      <w:r w:rsidR="00C24892">
        <w:t>DR</w:t>
      </w:r>
      <w:r w:rsidR="00714E2D" w:rsidRPr="000B3E9D">
        <w:t>X nous a permis de vérifier le caractère amorphe des échantillons synthétisés</w:t>
      </w:r>
      <w:r w:rsidR="00C24892">
        <w:t>.</w:t>
      </w:r>
    </w:p>
    <w:p w:rsidR="00335867" w:rsidRPr="000B3E9D" w:rsidRDefault="002D44B6" w:rsidP="00C24892">
      <w:pPr>
        <w:spacing w:line="360" w:lineRule="auto"/>
        <w:jc w:val="both"/>
      </w:pPr>
      <w:r w:rsidRPr="000B3E9D">
        <w:t xml:space="preserve">        </w:t>
      </w:r>
      <w:r w:rsidR="00714E2D" w:rsidRPr="000B3E9D">
        <w:t xml:space="preserve"> Le verre contrairement au cristal présente un désordre qui peut être observé en diffraction X (voir figure</w:t>
      </w:r>
      <w:r w:rsidRPr="000B3E9D">
        <w:rPr>
          <w:b/>
          <w:bCs/>
        </w:rPr>
        <w:t xml:space="preserve"> </w:t>
      </w:r>
      <w:r w:rsidRPr="000B3E9D">
        <w:t>II-2</w:t>
      </w:r>
      <w:r w:rsidR="00714E2D" w:rsidRPr="000B3E9D">
        <w:t xml:space="preserve">). En effet, on remarque l’absence de raies discrètes de diffraction sur le spectre de diffraction du verre au profit </w:t>
      </w:r>
      <w:r w:rsidR="00C24892">
        <w:t>une</w:t>
      </w:r>
      <w:r w:rsidR="00714E2D" w:rsidRPr="000B3E9D">
        <w:t xml:space="preserve"> large bosse visible (halos) cré</w:t>
      </w:r>
      <w:r w:rsidR="00C24892">
        <w:t>e</w:t>
      </w:r>
      <w:r w:rsidR="00714E2D" w:rsidRPr="000B3E9D">
        <w:t xml:space="preserve"> par des distributions de raies liées au désordre inhérent dans le solide et positionnée à proximité des pics les plus intense des produits de départ.</w:t>
      </w:r>
    </w:p>
    <w:p w:rsidR="002F1A0A" w:rsidRPr="000B3E9D" w:rsidRDefault="002F1A0A" w:rsidP="0038126A">
      <w:pPr>
        <w:spacing w:line="360" w:lineRule="auto"/>
        <w:jc w:val="both"/>
      </w:pPr>
    </w:p>
    <w:p w:rsidR="00CD7765" w:rsidRPr="000B3E9D" w:rsidRDefault="00CD7765" w:rsidP="0038126A">
      <w:pPr>
        <w:jc w:val="both"/>
        <w:rPr>
          <w:b/>
          <w:bCs/>
        </w:rPr>
      </w:pPr>
    </w:p>
    <w:p w:rsidR="00CD7765" w:rsidRPr="000B3E9D" w:rsidRDefault="00CD7765" w:rsidP="00CD7765">
      <w:pPr>
        <w:jc w:val="center"/>
        <w:rPr>
          <w:b/>
          <w:bCs/>
        </w:rPr>
      </w:pPr>
      <w:r w:rsidRPr="000B3E9D">
        <w:rPr>
          <w:b/>
          <w:bCs/>
          <w:noProof/>
        </w:rPr>
        <w:drawing>
          <wp:inline distT="0" distB="0" distL="0" distR="0">
            <wp:extent cx="2397125" cy="3188970"/>
            <wp:effectExtent l="19050" t="0" r="3175" b="0"/>
            <wp:docPr id="2" name="Image 1" descr="F:\D\document soltani\Mes images\2009_05_25\IMG_0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D\document soltani\Mes images\2009_05_25\IMG_0381.JPG"/>
                    <pic:cNvPicPr>
                      <a:picLocks noChangeAspect="1" noChangeArrowheads="1"/>
                    </pic:cNvPicPr>
                  </pic:nvPicPr>
                  <pic:blipFill>
                    <a:blip r:embed="rId8"/>
                    <a:srcRect/>
                    <a:stretch>
                      <a:fillRect/>
                    </a:stretch>
                  </pic:blipFill>
                  <pic:spPr bwMode="auto">
                    <a:xfrm>
                      <a:off x="0" y="0"/>
                      <a:ext cx="2397125" cy="3188970"/>
                    </a:xfrm>
                    <a:prstGeom prst="rect">
                      <a:avLst/>
                    </a:prstGeom>
                    <a:noFill/>
                    <a:ln w="9525">
                      <a:noFill/>
                      <a:miter lim="800000"/>
                      <a:headEnd/>
                      <a:tailEnd/>
                    </a:ln>
                  </pic:spPr>
                </pic:pic>
              </a:graphicData>
            </a:graphic>
          </wp:inline>
        </w:drawing>
      </w:r>
    </w:p>
    <w:p w:rsidR="00CD7765" w:rsidRPr="000B3E9D" w:rsidRDefault="00CD7765" w:rsidP="00CD7765">
      <w:pPr>
        <w:jc w:val="center"/>
        <w:rPr>
          <w:b/>
          <w:bCs/>
        </w:rPr>
      </w:pPr>
    </w:p>
    <w:p w:rsidR="00CD7765" w:rsidRPr="000B3E9D" w:rsidRDefault="00AB4738" w:rsidP="00AB4738">
      <w:pPr>
        <w:rPr>
          <w:b/>
          <w:bCs/>
        </w:rPr>
      </w:pPr>
      <w:r w:rsidRPr="000B3E9D">
        <w:rPr>
          <w:b/>
          <w:bCs/>
        </w:rPr>
        <w:t xml:space="preserve">            </w:t>
      </w:r>
      <w:r w:rsidR="00CD7765" w:rsidRPr="000B3E9D">
        <w:rPr>
          <w:b/>
          <w:bCs/>
        </w:rPr>
        <w:t>Figure II.1</w:t>
      </w:r>
      <w:r w:rsidR="004553FE" w:rsidRPr="008333F8">
        <w:rPr>
          <w:b/>
          <w:bCs/>
        </w:rPr>
        <w:t>:</w:t>
      </w:r>
      <w:r w:rsidR="00CD7765" w:rsidRPr="000B3E9D">
        <w:rPr>
          <w:b/>
          <w:bCs/>
        </w:rPr>
        <w:t xml:space="preserve"> </w:t>
      </w:r>
      <w:r w:rsidR="00CD7765" w:rsidRPr="004553FE">
        <w:t>Diffractomètre à rayons X de type Bruker D8 ADVANCE</w:t>
      </w:r>
      <w:r w:rsidR="004553FE">
        <w:t>.</w:t>
      </w:r>
    </w:p>
    <w:p w:rsidR="002F1A0A" w:rsidRPr="000B3E9D" w:rsidRDefault="00AB5107" w:rsidP="00C80B86">
      <w:pPr>
        <w:spacing w:line="360" w:lineRule="auto"/>
      </w:pPr>
      <w:r w:rsidRPr="000B3E9D">
        <w:lastRenderedPageBreak/>
        <w:t xml:space="preserve">                         </w:t>
      </w:r>
      <w:r w:rsidR="00C80B86">
        <w:object w:dxaOrig="5701"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3.5pt" o:ole="">
            <v:imagedata r:id="rId9" o:title=""/>
          </v:shape>
          <o:OLEObject Type="Embed" ProgID="Origin50.Graph" ShapeID="_x0000_i1025" DrawAspect="Content" ObjectID="_1414564449" r:id="rId10"/>
        </w:object>
      </w:r>
    </w:p>
    <w:p w:rsidR="00691E77" w:rsidRPr="008333F8" w:rsidRDefault="001748A4" w:rsidP="00F715F0">
      <w:pPr>
        <w:tabs>
          <w:tab w:val="left" w:pos="1560"/>
        </w:tabs>
        <w:spacing w:line="360" w:lineRule="auto"/>
        <w:jc w:val="center"/>
      </w:pPr>
      <w:r w:rsidRPr="000B3E9D">
        <w:rPr>
          <w:b/>
          <w:bCs/>
        </w:rPr>
        <w:t>Figure II.2</w:t>
      </w:r>
      <w:r w:rsidR="008333F8" w:rsidRPr="008333F8">
        <w:rPr>
          <w:b/>
          <w:bCs/>
        </w:rPr>
        <w:t>:</w:t>
      </w:r>
      <w:r w:rsidRPr="000B3E9D">
        <w:rPr>
          <w:b/>
          <w:bCs/>
        </w:rPr>
        <w:t xml:space="preserve"> </w:t>
      </w:r>
      <w:r w:rsidR="00F715F0">
        <w:t xml:space="preserve">difractogramme </w:t>
      </w:r>
      <w:r w:rsidR="00691E77" w:rsidRPr="008333F8">
        <w:t xml:space="preserve">d’un verre </w:t>
      </w:r>
      <w:r w:rsidRPr="008333F8">
        <w:rPr>
          <w:noProof/>
        </w:rPr>
        <w:t>70</w:t>
      </w:r>
      <w:r w:rsidR="00691E77" w:rsidRPr="008333F8">
        <w:rPr>
          <w:noProof/>
        </w:rPr>
        <w:t>Sb</w:t>
      </w:r>
      <w:r w:rsidR="00691E77" w:rsidRPr="008333F8">
        <w:rPr>
          <w:noProof/>
          <w:vertAlign w:val="subscript"/>
        </w:rPr>
        <w:t>2</w:t>
      </w:r>
      <w:r w:rsidR="00691E77" w:rsidRPr="008333F8">
        <w:rPr>
          <w:noProof/>
        </w:rPr>
        <w:t>O</w:t>
      </w:r>
      <w:r w:rsidR="00691E77" w:rsidRPr="008333F8">
        <w:rPr>
          <w:noProof/>
          <w:vertAlign w:val="subscript"/>
        </w:rPr>
        <w:t>3</w:t>
      </w:r>
      <w:r w:rsidR="00C24892" w:rsidRPr="008333F8">
        <w:rPr>
          <w:noProof/>
        </w:rPr>
        <w:t>-</w:t>
      </w:r>
      <w:r w:rsidRPr="008333F8">
        <w:rPr>
          <w:noProof/>
        </w:rPr>
        <w:t>20</w:t>
      </w:r>
      <w:r w:rsidRPr="008333F8">
        <w:t xml:space="preserve"> </w:t>
      </w:r>
      <w:r w:rsidR="00C24892" w:rsidRPr="008333F8">
        <w:t>K</w:t>
      </w:r>
      <w:r w:rsidRPr="008333F8">
        <w:rPr>
          <w:vertAlign w:val="subscript"/>
        </w:rPr>
        <w:t>2</w:t>
      </w:r>
      <w:r w:rsidRPr="008333F8">
        <w:t>O</w:t>
      </w:r>
      <w:r w:rsidR="00C24892" w:rsidRPr="008333F8">
        <w:t>-</w:t>
      </w:r>
      <w:r w:rsidRPr="008333F8">
        <w:rPr>
          <w:noProof/>
        </w:rPr>
        <w:t>10</w:t>
      </w:r>
      <w:r w:rsidRPr="008333F8">
        <w:t xml:space="preserve"> </w:t>
      </w:r>
      <w:r w:rsidR="00C24892" w:rsidRPr="008333F8">
        <w:t>P</w:t>
      </w:r>
      <w:r w:rsidRPr="008333F8">
        <w:t>b</w:t>
      </w:r>
      <w:r w:rsidR="00C24892" w:rsidRPr="008333F8">
        <w:t>O</w:t>
      </w:r>
      <w:r w:rsidR="004553FE">
        <w:t>.</w:t>
      </w:r>
    </w:p>
    <w:p w:rsidR="002F1A0A" w:rsidRPr="008333F8" w:rsidRDefault="002F1A0A" w:rsidP="002D44B6">
      <w:pPr>
        <w:spacing w:line="360" w:lineRule="auto"/>
      </w:pPr>
    </w:p>
    <w:p w:rsidR="0038126A" w:rsidRPr="000B3E9D" w:rsidRDefault="0038126A" w:rsidP="004A3557">
      <w:pPr>
        <w:spacing w:line="360" w:lineRule="auto"/>
        <w:jc w:val="lowKashida"/>
        <w:rPr>
          <w:b/>
          <w:bCs/>
        </w:rPr>
      </w:pPr>
    </w:p>
    <w:p w:rsidR="004A3557" w:rsidRDefault="004A3557" w:rsidP="0038126A">
      <w:pPr>
        <w:spacing w:line="360" w:lineRule="auto"/>
        <w:jc w:val="both"/>
        <w:rPr>
          <w:lang w:bidi="ar-DZ"/>
        </w:rPr>
      </w:pPr>
      <w:r w:rsidRPr="000B3E9D">
        <w:rPr>
          <w:b/>
          <w:bCs/>
        </w:rPr>
        <w:t xml:space="preserve">II-2.2 </w:t>
      </w:r>
      <w:r w:rsidRPr="000B3E9D">
        <w:rPr>
          <w:b/>
          <w:bCs/>
          <w:lang w:bidi="ar-DZ"/>
        </w:rPr>
        <w:t>L’indice de réfraction</w:t>
      </w:r>
      <w:r w:rsidRPr="000B3E9D">
        <w:rPr>
          <w:lang w:bidi="ar-DZ"/>
        </w:rPr>
        <w:t> </w:t>
      </w:r>
    </w:p>
    <w:p w:rsidR="001240A3" w:rsidRPr="000B3E9D" w:rsidRDefault="001240A3" w:rsidP="0038126A">
      <w:pPr>
        <w:spacing w:line="360" w:lineRule="auto"/>
        <w:jc w:val="both"/>
        <w:rPr>
          <w:lang w:bidi="ar-DZ"/>
        </w:rPr>
      </w:pPr>
    </w:p>
    <w:p w:rsidR="00625D39" w:rsidRDefault="00E000D9" w:rsidP="0065118D">
      <w:pPr>
        <w:spacing w:line="360" w:lineRule="auto"/>
        <w:jc w:val="both"/>
        <w:rPr>
          <w:lang w:bidi="ar-DZ"/>
        </w:rPr>
      </w:pPr>
      <w:r w:rsidRPr="000B3E9D">
        <w:rPr>
          <w:lang w:bidi="ar-DZ"/>
        </w:rPr>
        <w:t xml:space="preserve">      </w:t>
      </w:r>
      <w:r w:rsidR="009804A1">
        <w:rPr>
          <w:lang w:bidi="ar-DZ"/>
        </w:rPr>
        <w:tab/>
      </w:r>
      <w:r w:rsidR="004A3557" w:rsidRPr="000B3E9D">
        <w:rPr>
          <w:lang w:bidi="ar-DZ"/>
        </w:rPr>
        <w:t xml:space="preserve"> L’indice de réfraction </w:t>
      </w:r>
      <w:r w:rsidR="00AB6CAB" w:rsidRPr="00AB6CAB">
        <w:rPr>
          <w:lang w:bidi="ar-DZ"/>
        </w:rPr>
        <w:t>pr</w:t>
      </w:r>
      <w:r w:rsidR="00AB6CAB">
        <w:rPr>
          <w:lang w:bidi="ar-DZ"/>
        </w:rPr>
        <w:t xml:space="preserve">ovient du phénomène de réfraction qui désigne le changement de </w:t>
      </w:r>
      <w:r w:rsidR="0065118D">
        <w:rPr>
          <w:lang w:bidi="ar-DZ"/>
        </w:rPr>
        <w:t xml:space="preserve">direction de la lumière au passage d’un milieu </w:t>
      </w:r>
      <w:r w:rsidR="00C24892">
        <w:rPr>
          <w:lang w:bidi="ar-DZ"/>
        </w:rPr>
        <w:t>à</w:t>
      </w:r>
      <w:r w:rsidR="0065118D">
        <w:rPr>
          <w:lang w:bidi="ar-DZ"/>
        </w:rPr>
        <w:t xml:space="preserve"> un autre. La notion d’indice à d’abor d’été introduit empiriquement comme coefficient dans les lions de snell </w:t>
      </w:r>
      <w:r w:rsidR="00625D39">
        <w:rPr>
          <w:lang w:bidi="ar-DZ"/>
        </w:rPr>
        <w:t>–</w:t>
      </w:r>
      <w:r w:rsidR="0065118D">
        <w:rPr>
          <w:lang w:bidi="ar-DZ"/>
        </w:rPr>
        <w:t xml:space="preserve"> Descart</w:t>
      </w:r>
      <w:r w:rsidR="0065118D" w:rsidRPr="000B3E9D">
        <w:rPr>
          <w:lang w:bidi="ar-DZ"/>
        </w:rPr>
        <w:t>e</w:t>
      </w:r>
      <w:r w:rsidR="0065118D">
        <w:rPr>
          <w:lang w:bidi="ar-DZ"/>
        </w:rPr>
        <w:t>s</w:t>
      </w:r>
      <w:r w:rsidR="00625D39">
        <w:rPr>
          <w:lang w:bidi="ar-DZ"/>
        </w:rPr>
        <w:t>.</w:t>
      </w:r>
    </w:p>
    <w:p w:rsidR="001240A3" w:rsidRDefault="001240A3" w:rsidP="0065118D">
      <w:pPr>
        <w:spacing w:line="360" w:lineRule="auto"/>
        <w:jc w:val="both"/>
        <w:rPr>
          <w:lang w:bidi="ar-DZ"/>
        </w:rPr>
      </w:pPr>
    </w:p>
    <w:p w:rsidR="004A3557" w:rsidRDefault="00625D39" w:rsidP="00C24892">
      <w:pPr>
        <w:spacing w:line="360" w:lineRule="auto"/>
        <w:jc w:val="both"/>
        <w:rPr>
          <w:lang w:bidi="ar-DZ"/>
        </w:rPr>
      </w:pPr>
      <w:r w:rsidRPr="000B3E9D">
        <w:rPr>
          <w:lang w:bidi="ar-DZ"/>
        </w:rPr>
        <w:t xml:space="preserve"> </w:t>
      </w:r>
      <w:r w:rsidR="009804A1">
        <w:rPr>
          <w:lang w:bidi="ar-DZ"/>
        </w:rPr>
        <w:tab/>
      </w:r>
      <w:r w:rsidRPr="000B3E9D">
        <w:rPr>
          <w:lang w:bidi="ar-DZ"/>
        </w:rPr>
        <w:t xml:space="preserve"> L’indice de réfraction</w:t>
      </w:r>
      <w:r>
        <w:rPr>
          <w:lang w:bidi="ar-DZ"/>
        </w:rPr>
        <w:t xml:space="preserve"> d’un milieu détermine pour un caractérise la vitesse de propagation de cette radiation dans ce milieu, étant la vitesse de propagation de la radiation considérée dans le milieu étudie. </w:t>
      </w:r>
      <w:r w:rsidR="004A3557" w:rsidRPr="000B3E9D">
        <w:rPr>
          <w:lang w:bidi="ar-DZ"/>
        </w:rPr>
        <w:t>L’indice décroît lorsque la longueur  d’onde augmente. Cette variation   est définie comme étant  la dispersion</w:t>
      </w:r>
      <w:r w:rsidR="00C24892">
        <w:rPr>
          <w:lang w:bidi="ar-DZ"/>
        </w:rPr>
        <w:t>. E</w:t>
      </w:r>
      <w:r w:rsidR="004A3557" w:rsidRPr="000B3E9D">
        <w:rPr>
          <w:lang w:bidi="ar-DZ"/>
        </w:rPr>
        <w:t xml:space="preserve">lle est </w:t>
      </w:r>
      <w:r w:rsidR="00C24892">
        <w:rPr>
          <w:lang w:bidi="ar-DZ"/>
        </w:rPr>
        <w:t>représentée souvent par</w:t>
      </w:r>
      <w:r w:rsidR="004A3557" w:rsidRPr="000B3E9D">
        <w:rPr>
          <w:lang w:bidi="ar-DZ"/>
        </w:rPr>
        <w:t xml:space="preserve"> D = dn / d</w:t>
      </w:r>
      <w:r w:rsidR="004A3557" w:rsidRPr="000B3E9D">
        <w:rPr>
          <w:lang w:eastAsia="el-GR" w:bidi="ar-DZ"/>
        </w:rPr>
        <w:t>λ</w:t>
      </w:r>
      <w:r w:rsidR="004A3557" w:rsidRPr="000B3E9D">
        <w:rPr>
          <w:lang w:bidi="ar-DZ"/>
        </w:rPr>
        <w:t xml:space="preserve">. L’indice de réfraction  est lié à la polarisabilité du milieu et dépend de la composition du verre. </w:t>
      </w:r>
    </w:p>
    <w:p w:rsidR="001240A3" w:rsidRDefault="00C24892" w:rsidP="00C24892">
      <w:pPr>
        <w:spacing w:line="360" w:lineRule="auto"/>
        <w:jc w:val="both"/>
      </w:pPr>
      <w:r>
        <w:rPr>
          <w:lang w:bidi="ar-DZ"/>
        </w:rPr>
        <w:tab/>
      </w:r>
      <w:r w:rsidR="004A3557" w:rsidRPr="000B3E9D">
        <w:rPr>
          <w:lang w:bidi="ar-DZ"/>
        </w:rPr>
        <w:t>Les verres  à base de Sb</w:t>
      </w:r>
      <w:r w:rsidR="004A3557" w:rsidRPr="000B3E9D">
        <w:rPr>
          <w:vertAlign w:val="subscript"/>
          <w:lang w:bidi="ar-DZ"/>
        </w:rPr>
        <w:t>2</w:t>
      </w:r>
      <w:r w:rsidR="004A3557" w:rsidRPr="000B3E9D">
        <w:rPr>
          <w:lang w:bidi="ar-DZ"/>
        </w:rPr>
        <w:t>O</w:t>
      </w:r>
      <w:r w:rsidR="004A3557" w:rsidRPr="000B3E9D">
        <w:rPr>
          <w:vertAlign w:val="subscript"/>
          <w:lang w:bidi="ar-DZ"/>
        </w:rPr>
        <w:t>3</w:t>
      </w:r>
      <w:r w:rsidR="004A3557" w:rsidRPr="000B3E9D">
        <w:rPr>
          <w:lang w:bidi="ar-DZ"/>
        </w:rPr>
        <w:t xml:space="preserve"> sont caractérisés par des indices de réfraction supérieurs à 2 dans le domaine visible, ce qui rend difficiles leurs mesures par des</w:t>
      </w:r>
      <w:r w:rsidR="00420E9A" w:rsidRPr="000B3E9D">
        <w:rPr>
          <w:lang w:bidi="ar-DZ"/>
        </w:rPr>
        <w:t xml:space="preserve"> réfractomètres classiques qui ne peuvent atteindre des valeurs supérieurs à 1.8</w:t>
      </w:r>
      <w:r w:rsidR="009804A1">
        <w:rPr>
          <w:lang w:bidi="ar-DZ"/>
        </w:rPr>
        <w:t xml:space="preserve"> </w:t>
      </w:r>
      <w:r w:rsidR="009804A1" w:rsidRPr="000B3E9D">
        <w:rPr>
          <w:color w:val="000000"/>
          <w:sz w:val="23"/>
          <w:szCs w:val="23"/>
        </w:rPr>
        <w:t>[2]</w:t>
      </w:r>
      <w:r w:rsidR="009804A1">
        <w:rPr>
          <w:lang w:bidi="ar-DZ"/>
        </w:rPr>
        <w:t>.</w:t>
      </w:r>
      <w:r w:rsidR="003D666A" w:rsidRPr="000B3E9D">
        <w:rPr>
          <w:b/>
          <w:bCs/>
          <w:lang w:bidi="ar-DZ"/>
        </w:rPr>
        <w:t xml:space="preserve"> </w:t>
      </w:r>
      <w:r w:rsidR="003652C7">
        <w:rPr>
          <w:lang w:bidi="ar-DZ"/>
        </w:rPr>
        <w:t xml:space="preserve"> </w:t>
      </w:r>
      <w:r>
        <w:rPr>
          <w:lang w:bidi="ar-DZ"/>
        </w:rPr>
        <w:t>D</w:t>
      </w:r>
      <w:r w:rsidR="009804A1">
        <w:t xml:space="preserve">eux </w:t>
      </w:r>
      <w:r>
        <w:t>méthodes</w:t>
      </w:r>
      <w:r w:rsidR="003652C7">
        <w:t xml:space="preserve"> </w:t>
      </w:r>
      <w:r>
        <w:t xml:space="preserve">peuvent être </w:t>
      </w:r>
      <w:r w:rsidR="003652C7">
        <w:t>utilis</w:t>
      </w:r>
      <w:r>
        <w:t>é</w:t>
      </w:r>
      <w:r w:rsidR="003652C7">
        <w:t>e</w:t>
      </w:r>
      <w:r>
        <w:t>s</w:t>
      </w:r>
      <w:r w:rsidR="003652C7">
        <w:t xml:space="preserve"> </w:t>
      </w:r>
      <w:r w:rsidR="009804A1">
        <w:t xml:space="preserve"> pour la mesure l’indice de </w:t>
      </w:r>
      <w:r>
        <w:t>réfractions supérieures :</w:t>
      </w:r>
      <w:r w:rsidR="009804A1">
        <w:t> </w:t>
      </w:r>
    </w:p>
    <w:p w:rsidR="00C24892" w:rsidRDefault="00C24892" w:rsidP="00C24892">
      <w:pPr>
        <w:spacing w:line="360" w:lineRule="auto"/>
        <w:jc w:val="both"/>
      </w:pPr>
    </w:p>
    <w:p w:rsidR="00C24892" w:rsidRDefault="00C24892" w:rsidP="00C24892">
      <w:pPr>
        <w:spacing w:line="360" w:lineRule="auto"/>
        <w:jc w:val="both"/>
      </w:pPr>
    </w:p>
    <w:p w:rsidR="00C24892" w:rsidRDefault="00C24892" w:rsidP="00C24892">
      <w:pPr>
        <w:spacing w:line="360" w:lineRule="auto"/>
        <w:jc w:val="both"/>
      </w:pPr>
    </w:p>
    <w:p w:rsidR="003C1E4C" w:rsidRPr="003C1E4C" w:rsidRDefault="003C1E4C" w:rsidP="003C1E4C">
      <w:pPr>
        <w:spacing w:line="360" w:lineRule="auto"/>
        <w:jc w:val="both"/>
        <w:rPr>
          <w:lang w:bidi="ar-DZ"/>
        </w:rPr>
      </w:pPr>
    </w:p>
    <w:p w:rsidR="009322ED" w:rsidRPr="009322ED" w:rsidRDefault="009322ED" w:rsidP="009322ED">
      <w:pPr>
        <w:spacing w:line="360" w:lineRule="auto"/>
        <w:ind w:left="360"/>
        <w:jc w:val="both"/>
        <w:rPr>
          <w:lang w:bidi="ar-DZ"/>
        </w:rPr>
      </w:pPr>
    </w:p>
    <w:p w:rsidR="003D666A" w:rsidRDefault="003D666A" w:rsidP="003C1E4C">
      <w:pPr>
        <w:pStyle w:val="Paragraphedeliste"/>
        <w:numPr>
          <w:ilvl w:val="0"/>
          <w:numId w:val="6"/>
        </w:numPr>
        <w:spacing w:line="360" w:lineRule="auto"/>
        <w:jc w:val="both"/>
        <w:rPr>
          <w:lang w:bidi="ar-DZ"/>
        </w:rPr>
      </w:pPr>
      <w:r w:rsidRPr="003C1E4C">
        <w:rPr>
          <w:b/>
          <w:bCs/>
          <w:lang w:bidi="ar-DZ"/>
        </w:rPr>
        <w:lastRenderedPageBreak/>
        <w:t xml:space="preserve">Méthode </w:t>
      </w:r>
      <w:r w:rsidR="00C24892" w:rsidRPr="003C1E4C">
        <w:rPr>
          <w:b/>
          <w:bCs/>
          <w:lang w:bidi="ar-DZ"/>
        </w:rPr>
        <w:t>de la</w:t>
      </w:r>
      <w:r w:rsidRPr="003C1E4C">
        <w:rPr>
          <w:b/>
          <w:bCs/>
          <w:lang w:bidi="ar-DZ"/>
        </w:rPr>
        <w:t xml:space="preserve"> lame à face parallèle</w:t>
      </w:r>
      <w:r w:rsidRPr="000B3E9D">
        <w:rPr>
          <w:lang w:bidi="ar-DZ"/>
        </w:rPr>
        <w:t> </w:t>
      </w:r>
    </w:p>
    <w:p w:rsidR="001240A3" w:rsidRPr="000B3E9D" w:rsidRDefault="001240A3" w:rsidP="00524D64">
      <w:pPr>
        <w:spacing w:line="360" w:lineRule="auto"/>
        <w:jc w:val="both"/>
        <w:rPr>
          <w:lang w:bidi="ar-DZ"/>
        </w:rPr>
      </w:pPr>
    </w:p>
    <w:p w:rsidR="001240A3" w:rsidRDefault="00524D64" w:rsidP="00C24892">
      <w:pPr>
        <w:tabs>
          <w:tab w:val="left" w:pos="4650"/>
        </w:tabs>
        <w:spacing w:line="360" w:lineRule="auto"/>
        <w:jc w:val="both"/>
        <w:rPr>
          <w:lang w:bidi="ar-DZ"/>
        </w:rPr>
      </w:pPr>
      <w:r>
        <w:rPr>
          <w:lang w:bidi="ar-DZ"/>
        </w:rPr>
        <w:t xml:space="preserve">             </w:t>
      </w:r>
      <w:r w:rsidR="005E09A3">
        <w:rPr>
          <w:lang w:bidi="ar-DZ"/>
        </w:rPr>
        <w:t>Ce procédé</w:t>
      </w:r>
      <w:r w:rsidR="003D666A" w:rsidRPr="000B3E9D">
        <w:rPr>
          <w:lang w:bidi="ar-DZ"/>
        </w:rPr>
        <w:t xml:space="preserve"> à une mesure plus au moins précise sur des lames à faces parallèles et polies. La méthode est suggérée  par J .M .Turlet qui consiste en la mesure de l’épaisseur optique  de l’échantillon  grâce à un microscope optique muni d’un agrandissement étalonné.</w:t>
      </w:r>
    </w:p>
    <w:p w:rsidR="003D666A" w:rsidRPr="000B3E9D" w:rsidRDefault="003D666A" w:rsidP="00C24892">
      <w:pPr>
        <w:tabs>
          <w:tab w:val="left" w:pos="4650"/>
        </w:tabs>
        <w:spacing w:line="360" w:lineRule="auto"/>
        <w:jc w:val="both"/>
        <w:rPr>
          <w:lang w:bidi="ar-DZ"/>
        </w:rPr>
      </w:pPr>
      <w:r w:rsidRPr="000B3E9D">
        <w:rPr>
          <w:lang w:bidi="ar-DZ"/>
        </w:rPr>
        <w:t xml:space="preserve"> </w:t>
      </w:r>
      <w:r w:rsidR="00524D64">
        <w:rPr>
          <w:lang w:bidi="ar-DZ"/>
        </w:rPr>
        <w:t xml:space="preserve">            </w:t>
      </w:r>
      <w:r w:rsidRPr="000B3E9D">
        <w:rPr>
          <w:lang w:bidi="ar-DZ"/>
        </w:rPr>
        <w:t xml:space="preserve">La présentation de la méthode est  illustrée à la </w:t>
      </w:r>
      <w:r w:rsidR="000943F6" w:rsidRPr="000B3E9D">
        <w:rPr>
          <w:lang w:bidi="ar-DZ"/>
        </w:rPr>
        <w:t>figure</w:t>
      </w:r>
      <w:r w:rsidR="002B0E09" w:rsidRPr="000B3E9D">
        <w:rPr>
          <w:b/>
          <w:bCs/>
        </w:rPr>
        <w:t xml:space="preserve"> </w:t>
      </w:r>
      <w:r w:rsidR="00C24892" w:rsidRPr="00F81EC2">
        <w:t>II.3</w:t>
      </w:r>
      <w:r w:rsidR="00C24892" w:rsidRPr="000B3E9D">
        <w:rPr>
          <w:b/>
          <w:bCs/>
        </w:rPr>
        <w:t>. </w:t>
      </w:r>
      <w:r w:rsidRPr="000B3E9D">
        <w:rPr>
          <w:lang w:bidi="ar-DZ"/>
        </w:rPr>
        <w:t xml:space="preserve">A l’aide d’un microscope optique, et par des mises au point successives en A (sur face supérieure de la </w:t>
      </w:r>
      <w:r w:rsidR="00F81EC2" w:rsidRPr="000B3E9D">
        <w:rPr>
          <w:lang w:bidi="ar-DZ"/>
        </w:rPr>
        <w:t>lame)</w:t>
      </w:r>
      <w:r w:rsidRPr="000B3E9D">
        <w:rPr>
          <w:lang w:bidi="ar-DZ"/>
        </w:rPr>
        <w:t xml:space="preserve"> puis B (image virtuelle de la face inférieure au travers de la lame d’indice n &gt; 1 de sa base  </w:t>
      </w:r>
      <w:r w:rsidR="00C24892">
        <w:rPr>
          <w:lang w:bidi="ar-DZ"/>
        </w:rPr>
        <w:t>C</w:t>
      </w:r>
      <w:r w:rsidRPr="000B3E9D">
        <w:rPr>
          <w:lang w:bidi="ar-DZ"/>
        </w:rPr>
        <w:t xml:space="preserve">) et en </w:t>
      </w:r>
      <w:r w:rsidR="00C24892">
        <w:rPr>
          <w:lang w:bidi="ar-DZ"/>
        </w:rPr>
        <w:t>C</w:t>
      </w:r>
      <w:r w:rsidRPr="000B3E9D">
        <w:rPr>
          <w:lang w:bidi="ar-DZ"/>
        </w:rPr>
        <w:t xml:space="preserve"> (surface inférieure réelle de la </w:t>
      </w:r>
      <w:r w:rsidR="00F81EC2" w:rsidRPr="000B3E9D">
        <w:rPr>
          <w:lang w:bidi="ar-DZ"/>
        </w:rPr>
        <w:t>lame [base</w:t>
      </w:r>
      <w:r w:rsidRPr="000B3E9D">
        <w:rPr>
          <w:lang w:bidi="ar-DZ"/>
        </w:rPr>
        <w:t xml:space="preserve"> de la </w:t>
      </w:r>
      <w:r w:rsidR="00F81EC2" w:rsidRPr="000B3E9D">
        <w:rPr>
          <w:lang w:bidi="ar-DZ"/>
        </w:rPr>
        <w:t>lame]</w:t>
      </w:r>
      <w:r w:rsidRPr="000B3E9D">
        <w:rPr>
          <w:lang w:bidi="ar-DZ"/>
        </w:rPr>
        <w:t>).</w:t>
      </w:r>
      <w:r w:rsidR="00C24892">
        <w:rPr>
          <w:lang w:bidi="ar-DZ"/>
        </w:rPr>
        <w:t xml:space="preserve"> </w:t>
      </w:r>
      <w:r w:rsidRPr="000B3E9D">
        <w:rPr>
          <w:lang w:bidi="ar-DZ"/>
        </w:rPr>
        <w:t xml:space="preserve">On obtient : </w:t>
      </w:r>
    </w:p>
    <w:p w:rsidR="003D666A" w:rsidRDefault="003D666A" w:rsidP="004553FE">
      <w:pPr>
        <w:tabs>
          <w:tab w:val="left" w:pos="4650"/>
        </w:tabs>
        <w:spacing w:line="360" w:lineRule="auto"/>
        <w:jc w:val="right"/>
        <w:rPr>
          <w:lang w:bidi="ar-DZ"/>
        </w:rPr>
      </w:pPr>
      <w:r w:rsidRPr="000B3E9D">
        <w:rPr>
          <w:lang w:bidi="ar-DZ"/>
        </w:rPr>
        <w:t xml:space="preserve">N sin </w:t>
      </w:r>
      <w:r w:rsidRPr="000B3E9D">
        <w:rPr>
          <w:lang w:eastAsia="el-GR" w:bidi="ar-DZ"/>
        </w:rPr>
        <w:t>α</w:t>
      </w:r>
      <w:r w:rsidRPr="000B3E9D">
        <w:rPr>
          <w:vertAlign w:val="subscript"/>
          <w:lang w:bidi="ar-DZ"/>
        </w:rPr>
        <w:t>1 =</w:t>
      </w:r>
      <w:r w:rsidRPr="000B3E9D">
        <w:rPr>
          <w:lang w:bidi="ar-DZ"/>
        </w:rPr>
        <w:t xml:space="preserve"> sin </w:t>
      </w:r>
      <w:r w:rsidRPr="000B3E9D">
        <w:rPr>
          <w:lang w:eastAsia="el-GR" w:bidi="ar-DZ"/>
        </w:rPr>
        <w:t>α</w:t>
      </w:r>
      <w:r w:rsidRPr="000B3E9D">
        <w:rPr>
          <w:lang w:bidi="ar-DZ"/>
        </w:rPr>
        <w:t xml:space="preserve"> </w:t>
      </w:r>
      <w:r w:rsidRPr="000B3E9D">
        <w:rPr>
          <w:vertAlign w:val="subscript"/>
          <w:lang w:bidi="ar-DZ"/>
        </w:rPr>
        <w:t>2</w:t>
      </w:r>
      <w:r w:rsidRPr="000B3E9D">
        <w:rPr>
          <w:lang w:bidi="ar-DZ"/>
        </w:rPr>
        <w:t xml:space="preserve"> </w:t>
      </w:r>
      <w:r w:rsidR="00C24892">
        <w:rPr>
          <w:lang w:bidi="ar-DZ"/>
        </w:rPr>
        <w:tab/>
      </w:r>
      <w:r w:rsidR="00C24892">
        <w:rPr>
          <w:lang w:bidi="ar-DZ"/>
        </w:rPr>
        <w:tab/>
      </w:r>
      <w:r w:rsidR="00721E76" w:rsidRPr="000B3E9D">
        <w:rPr>
          <w:lang w:bidi="ar-DZ"/>
        </w:rPr>
        <w:t>(</w:t>
      </w:r>
      <w:r w:rsidR="004553FE">
        <w:rPr>
          <w:lang w:bidi="ar-DZ"/>
        </w:rPr>
        <w:t>II.1</w:t>
      </w:r>
      <w:r w:rsidR="00721E76" w:rsidRPr="000B3E9D">
        <w:rPr>
          <w:lang w:bidi="ar-DZ"/>
        </w:rPr>
        <w:t>)</w:t>
      </w:r>
    </w:p>
    <w:p w:rsidR="00C24892" w:rsidRPr="000B3E9D" w:rsidRDefault="00C24892" w:rsidP="00C24892">
      <w:pPr>
        <w:tabs>
          <w:tab w:val="left" w:pos="4650"/>
        </w:tabs>
        <w:spacing w:line="360" w:lineRule="auto"/>
        <w:jc w:val="right"/>
        <w:rPr>
          <w:lang w:bidi="ar-DZ"/>
        </w:rPr>
      </w:pPr>
    </w:p>
    <w:p w:rsidR="003D666A" w:rsidRPr="000B3E9D" w:rsidRDefault="003D666A" w:rsidP="00C24892">
      <w:pPr>
        <w:tabs>
          <w:tab w:val="left" w:pos="4650"/>
        </w:tabs>
        <w:spacing w:line="360" w:lineRule="auto"/>
        <w:jc w:val="right"/>
        <w:rPr>
          <w:lang w:bidi="ar-DZ"/>
        </w:rPr>
      </w:pPr>
      <w:r w:rsidRPr="000B3E9D">
        <w:rPr>
          <w:lang w:bidi="ar-DZ"/>
        </w:rPr>
        <w:t xml:space="preserve">Avec          tg </w:t>
      </w:r>
      <w:r w:rsidRPr="000B3E9D">
        <w:rPr>
          <w:lang w:eastAsia="el-GR" w:bidi="ar-DZ"/>
        </w:rPr>
        <w:t>α</w:t>
      </w:r>
      <w:r w:rsidRPr="000B3E9D">
        <w:rPr>
          <w:vertAlign w:val="subscript"/>
          <w:lang w:bidi="ar-DZ"/>
        </w:rPr>
        <w:t xml:space="preserve"> 1 = </w:t>
      </w:r>
      <w:r w:rsidRPr="000B3E9D">
        <w:rPr>
          <w:lang w:bidi="ar-DZ"/>
        </w:rPr>
        <w:t xml:space="preserve">AX / AC et tg </w:t>
      </w:r>
      <w:r w:rsidRPr="000B3E9D">
        <w:rPr>
          <w:lang w:eastAsia="el-GR" w:bidi="ar-DZ"/>
        </w:rPr>
        <w:t>α</w:t>
      </w:r>
      <w:r w:rsidRPr="000B3E9D">
        <w:rPr>
          <w:vertAlign w:val="subscript"/>
          <w:lang w:bidi="ar-DZ"/>
        </w:rPr>
        <w:t>2 =</w:t>
      </w:r>
      <w:r w:rsidRPr="000B3E9D">
        <w:rPr>
          <w:lang w:bidi="ar-DZ"/>
        </w:rPr>
        <w:t xml:space="preserve"> AX / AB</w:t>
      </w:r>
      <w:r w:rsidR="00C24892">
        <w:rPr>
          <w:lang w:bidi="ar-DZ"/>
        </w:rPr>
        <w:tab/>
      </w:r>
      <w:r w:rsidR="00C24892">
        <w:rPr>
          <w:lang w:bidi="ar-DZ"/>
        </w:rPr>
        <w:tab/>
      </w:r>
      <w:r w:rsidR="00C24892">
        <w:rPr>
          <w:lang w:bidi="ar-DZ"/>
        </w:rPr>
        <w:tab/>
      </w:r>
      <w:r w:rsidR="00C24892">
        <w:rPr>
          <w:lang w:bidi="ar-DZ"/>
        </w:rPr>
        <w:tab/>
      </w:r>
      <w:r w:rsidR="00C24892">
        <w:rPr>
          <w:lang w:bidi="ar-DZ"/>
        </w:rPr>
        <w:tab/>
      </w:r>
      <w:r w:rsidR="00721E76" w:rsidRPr="000B3E9D">
        <w:rPr>
          <w:lang w:bidi="ar-DZ"/>
        </w:rPr>
        <w:t>(</w:t>
      </w:r>
      <w:r w:rsidR="004553FE">
        <w:rPr>
          <w:lang w:bidi="ar-DZ"/>
        </w:rPr>
        <w:t>II.</w:t>
      </w:r>
      <w:r w:rsidR="00C24892">
        <w:rPr>
          <w:lang w:bidi="ar-DZ"/>
        </w:rPr>
        <w:t>2</w:t>
      </w:r>
      <w:r w:rsidR="00721E76" w:rsidRPr="000B3E9D">
        <w:rPr>
          <w:lang w:bidi="ar-DZ"/>
        </w:rPr>
        <w:t>)</w:t>
      </w:r>
    </w:p>
    <w:p w:rsidR="003D666A" w:rsidRPr="000B3E9D" w:rsidRDefault="003D666A" w:rsidP="00C24892">
      <w:pPr>
        <w:tabs>
          <w:tab w:val="left" w:pos="4650"/>
        </w:tabs>
        <w:spacing w:line="360" w:lineRule="auto"/>
        <w:jc w:val="right"/>
        <w:rPr>
          <w:lang w:bidi="ar-DZ"/>
        </w:rPr>
      </w:pPr>
    </w:p>
    <w:p w:rsidR="003D666A" w:rsidRPr="000B3E9D" w:rsidRDefault="003D666A" w:rsidP="00C24892">
      <w:pPr>
        <w:tabs>
          <w:tab w:val="left" w:pos="4650"/>
        </w:tabs>
        <w:spacing w:line="360" w:lineRule="auto"/>
        <w:rPr>
          <w:lang w:bidi="ar-DZ"/>
        </w:rPr>
      </w:pPr>
      <w:r w:rsidRPr="000B3E9D">
        <w:rPr>
          <w:lang w:bidi="ar-DZ"/>
        </w:rPr>
        <w:t xml:space="preserve">Or avec l’objectif utilisé les angles </w:t>
      </w:r>
      <w:r w:rsidRPr="000B3E9D">
        <w:rPr>
          <w:lang w:eastAsia="el-GR" w:bidi="ar-DZ"/>
        </w:rPr>
        <w:t>α</w:t>
      </w:r>
      <w:r w:rsidRPr="000B3E9D">
        <w:rPr>
          <w:lang w:bidi="ar-DZ"/>
        </w:rPr>
        <w:t>i sont très petits donc :</w:t>
      </w:r>
    </w:p>
    <w:p w:rsidR="003D666A" w:rsidRPr="000B3E9D" w:rsidRDefault="003D666A" w:rsidP="00C24892">
      <w:pPr>
        <w:tabs>
          <w:tab w:val="left" w:pos="4650"/>
        </w:tabs>
        <w:spacing w:line="360" w:lineRule="auto"/>
        <w:jc w:val="right"/>
        <w:rPr>
          <w:lang w:bidi="ar-DZ"/>
        </w:rPr>
      </w:pPr>
    </w:p>
    <w:p w:rsidR="003D666A" w:rsidRPr="004553FE" w:rsidRDefault="003D666A" w:rsidP="00C24892">
      <w:pPr>
        <w:tabs>
          <w:tab w:val="left" w:pos="4650"/>
        </w:tabs>
        <w:spacing w:line="360" w:lineRule="auto"/>
        <w:jc w:val="right"/>
        <w:rPr>
          <w:lang w:eastAsia="en-US" w:bidi="ar-DZ"/>
        </w:rPr>
      </w:pPr>
      <w:r w:rsidRPr="004553FE">
        <w:rPr>
          <w:lang w:eastAsia="en-US" w:bidi="ar-DZ"/>
        </w:rPr>
        <w:t xml:space="preserve">N =( sin </w:t>
      </w:r>
      <w:r w:rsidRPr="000B3E9D">
        <w:rPr>
          <w:lang w:eastAsia="el-GR" w:bidi="ar-DZ"/>
        </w:rPr>
        <w:t>α</w:t>
      </w:r>
      <w:r w:rsidRPr="004553FE">
        <w:rPr>
          <w:vertAlign w:val="subscript"/>
          <w:lang w:eastAsia="en-US" w:bidi="ar-DZ"/>
        </w:rPr>
        <w:t>1 </w:t>
      </w:r>
      <w:r w:rsidRPr="004553FE">
        <w:rPr>
          <w:lang w:eastAsia="en-US" w:bidi="ar-DZ"/>
        </w:rPr>
        <w:t xml:space="preserve">/ sin </w:t>
      </w:r>
      <w:r w:rsidRPr="000B3E9D">
        <w:rPr>
          <w:lang w:eastAsia="el-GR" w:bidi="ar-DZ"/>
        </w:rPr>
        <w:t>α</w:t>
      </w:r>
      <w:r w:rsidRPr="004553FE">
        <w:rPr>
          <w:vertAlign w:val="subscript"/>
          <w:lang w:eastAsia="en-US" w:bidi="ar-DZ"/>
        </w:rPr>
        <w:t>2</w:t>
      </w:r>
      <w:r w:rsidRPr="004553FE">
        <w:rPr>
          <w:lang w:eastAsia="en-US" w:bidi="ar-DZ"/>
        </w:rPr>
        <w:t xml:space="preserve">)  = tg </w:t>
      </w:r>
      <w:r w:rsidRPr="000B3E9D">
        <w:rPr>
          <w:lang w:eastAsia="el-GR" w:bidi="ar-DZ"/>
        </w:rPr>
        <w:t>α</w:t>
      </w:r>
      <w:r w:rsidRPr="004553FE">
        <w:rPr>
          <w:vertAlign w:val="subscript"/>
          <w:lang w:eastAsia="en-US" w:bidi="ar-DZ"/>
        </w:rPr>
        <w:t>1</w:t>
      </w:r>
      <w:r w:rsidRPr="004553FE">
        <w:rPr>
          <w:lang w:eastAsia="en-US" w:bidi="ar-DZ"/>
        </w:rPr>
        <w:t>/ tg</w:t>
      </w:r>
      <w:r w:rsidRPr="000B3E9D">
        <w:rPr>
          <w:lang w:eastAsia="el-GR" w:bidi="ar-DZ"/>
        </w:rPr>
        <w:t>α</w:t>
      </w:r>
      <w:r w:rsidRPr="004553FE">
        <w:rPr>
          <w:vertAlign w:val="subscript"/>
          <w:lang w:eastAsia="en-US" w:bidi="ar-DZ"/>
        </w:rPr>
        <w:t xml:space="preserve">2 </w:t>
      </w:r>
      <w:r w:rsidRPr="004553FE">
        <w:rPr>
          <w:lang w:eastAsia="en-US" w:bidi="ar-DZ"/>
        </w:rPr>
        <w:t xml:space="preserve"> = AC / AB</w:t>
      </w:r>
      <w:r w:rsidR="00C24892" w:rsidRPr="004553FE">
        <w:rPr>
          <w:lang w:eastAsia="en-US" w:bidi="ar-DZ"/>
        </w:rPr>
        <w:tab/>
      </w:r>
      <w:r w:rsidR="00C24892" w:rsidRPr="004553FE">
        <w:rPr>
          <w:lang w:eastAsia="en-US" w:bidi="ar-DZ"/>
        </w:rPr>
        <w:tab/>
      </w:r>
      <w:r w:rsidR="00C24892" w:rsidRPr="004553FE">
        <w:rPr>
          <w:lang w:eastAsia="en-US" w:bidi="ar-DZ"/>
        </w:rPr>
        <w:tab/>
      </w:r>
      <w:r w:rsidR="00C24892" w:rsidRPr="004553FE">
        <w:rPr>
          <w:lang w:eastAsia="en-US" w:bidi="ar-DZ"/>
        </w:rPr>
        <w:tab/>
      </w:r>
      <w:r w:rsidR="00721E76" w:rsidRPr="004553FE">
        <w:rPr>
          <w:lang w:eastAsia="en-US" w:bidi="ar-DZ"/>
        </w:rPr>
        <w:t>(</w:t>
      </w:r>
      <w:r w:rsidR="004553FE" w:rsidRPr="004553FE">
        <w:rPr>
          <w:lang w:eastAsia="en-US" w:bidi="ar-DZ"/>
        </w:rPr>
        <w:t>II.</w:t>
      </w:r>
      <w:r w:rsidR="00C24892" w:rsidRPr="004553FE">
        <w:rPr>
          <w:lang w:eastAsia="en-US" w:bidi="ar-DZ"/>
        </w:rPr>
        <w:t>3</w:t>
      </w:r>
      <w:r w:rsidR="00721E76" w:rsidRPr="004553FE">
        <w:rPr>
          <w:lang w:eastAsia="en-US" w:bidi="ar-DZ"/>
        </w:rPr>
        <w:t>)</w:t>
      </w:r>
    </w:p>
    <w:p w:rsidR="003D666A" w:rsidRPr="004553FE" w:rsidRDefault="003D666A" w:rsidP="00C24892">
      <w:pPr>
        <w:tabs>
          <w:tab w:val="left" w:pos="4650"/>
        </w:tabs>
        <w:spacing w:line="360" w:lineRule="auto"/>
        <w:jc w:val="right"/>
        <w:rPr>
          <w:lang w:bidi="ar-DZ"/>
        </w:rPr>
      </w:pPr>
    </w:p>
    <w:p w:rsidR="003D666A" w:rsidRPr="000B3E9D" w:rsidRDefault="003D666A" w:rsidP="00C24892">
      <w:pPr>
        <w:tabs>
          <w:tab w:val="left" w:pos="4650"/>
        </w:tabs>
        <w:spacing w:line="360" w:lineRule="auto"/>
        <w:rPr>
          <w:lang w:bidi="ar-DZ"/>
        </w:rPr>
      </w:pPr>
      <w:r w:rsidRPr="000B3E9D">
        <w:rPr>
          <w:lang w:bidi="ar-DZ"/>
        </w:rPr>
        <w:t>Avec comme incertitude relative sur la mesure :</w:t>
      </w:r>
    </w:p>
    <w:p w:rsidR="003D666A" w:rsidRPr="000B3E9D" w:rsidRDefault="003D666A" w:rsidP="00C24892">
      <w:pPr>
        <w:tabs>
          <w:tab w:val="left" w:pos="4650"/>
        </w:tabs>
        <w:spacing w:line="360" w:lineRule="auto"/>
        <w:jc w:val="right"/>
        <w:rPr>
          <w:lang w:bidi="ar-DZ"/>
        </w:rPr>
      </w:pPr>
      <w:r w:rsidRPr="000B3E9D">
        <w:rPr>
          <w:lang w:eastAsia="el-GR" w:bidi="ar-DZ"/>
        </w:rPr>
        <w:t>Δ</w:t>
      </w:r>
      <w:r w:rsidRPr="000B3E9D">
        <w:rPr>
          <w:lang w:bidi="ar-DZ"/>
        </w:rPr>
        <w:t xml:space="preserve"> n /n = </w:t>
      </w:r>
      <w:r w:rsidRPr="000B3E9D">
        <w:rPr>
          <w:lang w:eastAsia="el-GR" w:bidi="ar-DZ"/>
        </w:rPr>
        <w:t>Δ</w:t>
      </w:r>
      <w:r w:rsidRPr="000B3E9D">
        <w:rPr>
          <w:lang w:bidi="ar-DZ"/>
        </w:rPr>
        <w:t xml:space="preserve">AC / AC – </w:t>
      </w:r>
      <w:r w:rsidRPr="000B3E9D">
        <w:rPr>
          <w:lang w:eastAsia="el-GR" w:bidi="ar-DZ"/>
        </w:rPr>
        <w:t>Δ</w:t>
      </w:r>
      <w:r w:rsidRPr="000B3E9D">
        <w:rPr>
          <w:lang w:bidi="ar-DZ"/>
        </w:rPr>
        <w:t xml:space="preserve">AB / AB &lt; </w:t>
      </w:r>
      <w:r w:rsidRPr="000B3E9D">
        <w:rPr>
          <w:lang w:eastAsia="el-GR" w:bidi="ar-DZ"/>
        </w:rPr>
        <w:t>Δ</w:t>
      </w:r>
      <w:r w:rsidRPr="000B3E9D">
        <w:rPr>
          <w:lang w:bidi="ar-DZ"/>
        </w:rPr>
        <w:t xml:space="preserve">P / AB ou </w:t>
      </w:r>
      <w:r w:rsidRPr="000B3E9D">
        <w:rPr>
          <w:lang w:eastAsia="el-GR" w:bidi="ar-DZ"/>
        </w:rPr>
        <w:t>Δ</w:t>
      </w:r>
      <w:r w:rsidRPr="000B3E9D">
        <w:rPr>
          <w:lang w:bidi="ar-DZ"/>
        </w:rPr>
        <w:t xml:space="preserve"> P= 10 </w:t>
      </w:r>
      <w:r w:rsidRPr="000B3E9D">
        <w:rPr>
          <w:vertAlign w:val="superscript"/>
          <w:lang w:bidi="ar-DZ"/>
        </w:rPr>
        <w:t>–2</w:t>
      </w:r>
      <w:r w:rsidRPr="000B3E9D">
        <w:rPr>
          <w:lang w:bidi="ar-DZ"/>
        </w:rPr>
        <w:t xml:space="preserve"> mm</w:t>
      </w:r>
      <w:r w:rsidR="00C24892">
        <w:rPr>
          <w:lang w:bidi="ar-DZ"/>
        </w:rPr>
        <w:tab/>
      </w:r>
      <w:r w:rsidR="00C24892">
        <w:rPr>
          <w:lang w:bidi="ar-DZ"/>
        </w:rPr>
        <w:tab/>
      </w:r>
      <w:r w:rsidR="00C24892">
        <w:rPr>
          <w:lang w:bidi="ar-DZ"/>
        </w:rPr>
        <w:tab/>
      </w:r>
      <w:r w:rsidR="00721E76" w:rsidRPr="000B3E9D">
        <w:rPr>
          <w:lang w:bidi="ar-DZ"/>
        </w:rPr>
        <w:t>(</w:t>
      </w:r>
      <w:r w:rsidR="004553FE">
        <w:rPr>
          <w:lang w:bidi="ar-DZ"/>
        </w:rPr>
        <w:t>II.</w:t>
      </w:r>
      <w:r w:rsidR="00C24892">
        <w:rPr>
          <w:lang w:bidi="ar-DZ"/>
        </w:rPr>
        <w:t>4</w:t>
      </w:r>
      <w:r w:rsidR="00721E76" w:rsidRPr="000B3E9D">
        <w:rPr>
          <w:lang w:bidi="ar-DZ"/>
        </w:rPr>
        <w:t>)</w:t>
      </w:r>
    </w:p>
    <w:p w:rsidR="003D666A" w:rsidRPr="000B3E9D" w:rsidRDefault="003D666A" w:rsidP="0038126A">
      <w:pPr>
        <w:tabs>
          <w:tab w:val="left" w:pos="4650"/>
        </w:tabs>
        <w:spacing w:line="360" w:lineRule="auto"/>
        <w:jc w:val="both"/>
        <w:rPr>
          <w:lang w:bidi="ar-DZ"/>
        </w:rPr>
      </w:pPr>
      <w:r w:rsidRPr="000B3E9D">
        <w:rPr>
          <w:rtl/>
          <w:lang w:eastAsia="en-US" w:bidi="ar-DZ"/>
        </w:rPr>
        <w:t xml:space="preserve">  </w:t>
      </w:r>
      <w:r w:rsidRPr="000B3E9D">
        <w:rPr>
          <w:lang w:bidi="ar-DZ"/>
        </w:rPr>
        <w:t xml:space="preserve">                                      </w:t>
      </w:r>
    </w:p>
    <w:p w:rsidR="005E768A" w:rsidRPr="000B3E9D" w:rsidRDefault="003D666A" w:rsidP="00C24892">
      <w:pPr>
        <w:tabs>
          <w:tab w:val="left" w:pos="4650"/>
        </w:tabs>
        <w:spacing w:line="360" w:lineRule="auto"/>
        <w:jc w:val="both"/>
        <w:rPr>
          <w:b/>
          <w:bCs/>
          <w:lang w:bidi="ar-DZ"/>
        </w:rPr>
      </w:pPr>
      <w:r w:rsidRPr="000B3E9D">
        <w:rPr>
          <w:lang w:bidi="ar-DZ"/>
        </w:rPr>
        <w:t xml:space="preserve">                                                             </w:t>
      </w:r>
      <w:r w:rsidR="005E768A" w:rsidRPr="000B3E9D">
        <w:rPr>
          <w:noProof/>
        </w:rPr>
        <w:t xml:space="preserve">            </w:t>
      </w:r>
    </w:p>
    <w:p w:rsidR="005E768A" w:rsidRPr="000B3E9D" w:rsidRDefault="005E768A" w:rsidP="005E768A">
      <w:pPr>
        <w:tabs>
          <w:tab w:val="left" w:pos="4650"/>
        </w:tabs>
        <w:spacing w:line="360" w:lineRule="auto"/>
        <w:jc w:val="lowKashida"/>
        <w:rPr>
          <w:b/>
          <w:bCs/>
          <w:lang w:bidi="ar-DZ"/>
        </w:rPr>
      </w:pPr>
      <w:r w:rsidRPr="000B3E9D">
        <w:rPr>
          <w:b/>
          <w:bCs/>
          <w:lang w:bidi="ar-DZ"/>
        </w:rPr>
        <w:t xml:space="preserve">        </w:t>
      </w:r>
    </w:p>
    <w:p w:rsidR="003D666A" w:rsidRPr="000B3E9D" w:rsidRDefault="005E768A" w:rsidP="003D666A">
      <w:pPr>
        <w:tabs>
          <w:tab w:val="left" w:pos="4650"/>
        </w:tabs>
        <w:spacing w:line="360" w:lineRule="auto"/>
        <w:jc w:val="lowKashida"/>
        <w:rPr>
          <w:lang w:bidi="ar-DZ"/>
        </w:rPr>
      </w:pPr>
      <w:r w:rsidRPr="000B3E9D">
        <w:rPr>
          <w:noProof/>
        </w:rPr>
        <w:t xml:space="preserve">                        </w:t>
      </w:r>
      <w:r w:rsidRPr="000B3E9D">
        <w:rPr>
          <w:noProof/>
        </w:rPr>
        <w:drawing>
          <wp:inline distT="0" distB="0" distL="0" distR="0">
            <wp:extent cx="3648075" cy="2419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648075" cy="2419350"/>
                    </a:xfrm>
                    <a:prstGeom prst="rect">
                      <a:avLst/>
                    </a:prstGeom>
                    <a:noFill/>
                    <a:ln w="9525">
                      <a:noFill/>
                      <a:miter lim="800000"/>
                      <a:headEnd/>
                      <a:tailEnd/>
                    </a:ln>
                  </pic:spPr>
                </pic:pic>
              </a:graphicData>
            </a:graphic>
          </wp:inline>
        </w:drawing>
      </w:r>
    </w:p>
    <w:p w:rsidR="005E768A" w:rsidRPr="000B3E9D" w:rsidRDefault="005E768A" w:rsidP="005E768A">
      <w:pPr>
        <w:tabs>
          <w:tab w:val="left" w:pos="4650"/>
        </w:tabs>
        <w:spacing w:line="360" w:lineRule="auto"/>
        <w:jc w:val="lowKashida"/>
        <w:rPr>
          <w:b/>
          <w:bCs/>
          <w:lang w:bidi="ar-DZ"/>
        </w:rPr>
      </w:pPr>
    </w:p>
    <w:p w:rsidR="005E768A" w:rsidRPr="008333F8" w:rsidRDefault="00EB3BC6" w:rsidP="008333F8">
      <w:pPr>
        <w:tabs>
          <w:tab w:val="left" w:pos="4650"/>
        </w:tabs>
        <w:spacing w:line="360" w:lineRule="auto"/>
        <w:jc w:val="center"/>
        <w:rPr>
          <w:sz w:val="22"/>
          <w:szCs w:val="22"/>
          <w:lang w:bidi="ar-DZ"/>
        </w:rPr>
      </w:pPr>
      <w:r w:rsidRPr="00F77048">
        <w:rPr>
          <w:b/>
          <w:bCs/>
          <w:sz w:val="22"/>
          <w:szCs w:val="22"/>
          <w:lang w:bidi="ar-DZ"/>
        </w:rPr>
        <w:t xml:space="preserve">Figure </w:t>
      </w:r>
      <w:r w:rsidR="005E768A" w:rsidRPr="00F77048">
        <w:rPr>
          <w:b/>
          <w:bCs/>
          <w:sz w:val="22"/>
          <w:szCs w:val="22"/>
          <w:lang w:bidi="ar-DZ"/>
        </w:rPr>
        <w:t xml:space="preserve"> </w:t>
      </w:r>
      <w:r w:rsidRPr="00F77048">
        <w:rPr>
          <w:b/>
          <w:bCs/>
          <w:sz w:val="22"/>
          <w:szCs w:val="22"/>
        </w:rPr>
        <w:t xml:space="preserve">II.3 </w:t>
      </w:r>
      <w:r w:rsidR="005E768A" w:rsidRPr="00F77048">
        <w:rPr>
          <w:b/>
          <w:bCs/>
          <w:sz w:val="22"/>
          <w:szCs w:val="22"/>
          <w:lang w:bidi="ar-DZ"/>
        </w:rPr>
        <w:t>:</w:t>
      </w:r>
      <w:r w:rsidR="005E768A" w:rsidRPr="00F77048">
        <w:rPr>
          <w:sz w:val="22"/>
          <w:szCs w:val="22"/>
          <w:lang w:bidi="ar-DZ"/>
        </w:rPr>
        <w:t xml:space="preserve"> </w:t>
      </w:r>
      <w:r w:rsidR="005E768A" w:rsidRPr="008333F8">
        <w:rPr>
          <w:sz w:val="22"/>
          <w:szCs w:val="22"/>
          <w:lang w:bidi="ar-DZ"/>
        </w:rPr>
        <w:t xml:space="preserve">Schéma descriptif  de la méthode de  mesure de l’indice réfraction </w:t>
      </w:r>
      <w:r w:rsidR="00F77048" w:rsidRPr="008333F8">
        <w:rPr>
          <w:sz w:val="22"/>
          <w:szCs w:val="22"/>
          <w:lang w:bidi="ar-DZ"/>
        </w:rPr>
        <w:t>[3].</w:t>
      </w:r>
    </w:p>
    <w:p w:rsidR="00420E9A" w:rsidRPr="008333F8" w:rsidRDefault="00420E9A" w:rsidP="008333F8">
      <w:pPr>
        <w:spacing w:line="360" w:lineRule="auto"/>
        <w:jc w:val="center"/>
        <w:rPr>
          <w:lang w:bidi="ar-DZ"/>
        </w:rPr>
      </w:pPr>
    </w:p>
    <w:p w:rsidR="003213F8" w:rsidRPr="0053573E" w:rsidRDefault="003213F8" w:rsidP="003C1E4C">
      <w:pPr>
        <w:pStyle w:val="Paragraphedeliste"/>
        <w:numPr>
          <w:ilvl w:val="0"/>
          <w:numId w:val="6"/>
        </w:numPr>
        <w:spacing w:line="360" w:lineRule="auto"/>
        <w:jc w:val="lowKashida"/>
        <w:rPr>
          <w:lang w:bidi="ar-DZ"/>
        </w:rPr>
      </w:pPr>
      <w:r w:rsidRPr="00524D64">
        <w:rPr>
          <w:b/>
          <w:bCs/>
          <w:lang w:bidi="ar-DZ"/>
        </w:rPr>
        <w:lastRenderedPageBreak/>
        <w:t xml:space="preserve">La technique de M </w:t>
      </w:r>
      <w:r w:rsidR="001240A3" w:rsidRPr="00524D64">
        <w:rPr>
          <w:b/>
          <w:bCs/>
          <w:lang w:bidi="ar-DZ"/>
        </w:rPr>
        <w:t>–</w:t>
      </w:r>
      <w:r w:rsidRPr="00524D64">
        <w:rPr>
          <w:b/>
          <w:bCs/>
          <w:lang w:bidi="ar-DZ"/>
        </w:rPr>
        <w:t xml:space="preserve"> Lines</w:t>
      </w:r>
    </w:p>
    <w:p w:rsidR="0053573E" w:rsidRPr="001240A3" w:rsidRDefault="0053573E" w:rsidP="0053573E">
      <w:pPr>
        <w:spacing w:line="360" w:lineRule="auto"/>
        <w:jc w:val="lowKashida"/>
        <w:rPr>
          <w:lang w:bidi="ar-DZ"/>
        </w:rPr>
      </w:pPr>
    </w:p>
    <w:p w:rsidR="003213F8" w:rsidRPr="000B3E9D" w:rsidRDefault="003213F8" w:rsidP="0038126A">
      <w:pPr>
        <w:spacing w:line="360" w:lineRule="auto"/>
        <w:jc w:val="both"/>
        <w:rPr>
          <w:lang w:bidi="ar-DZ"/>
        </w:rPr>
      </w:pPr>
      <w:r w:rsidRPr="000B3E9D">
        <w:rPr>
          <w:lang w:bidi="ar-DZ"/>
        </w:rPr>
        <w:t xml:space="preserve">        </w:t>
      </w:r>
      <w:r w:rsidR="00524D64">
        <w:rPr>
          <w:lang w:bidi="ar-DZ"/>
        </w:rPr>
        <w:t xml:space="preserve">    </w:t>
      </w:r>
      <w:r w:rsidRPr="000B3E9D">
        <w:rPr>
          <w:lang w:bidi="ar-DZ"/>
        </w:rPr>
        <w:t xml:space="preserve">Elle consiste à accoupler un prisme avec la surface de l’échantillon à analyser. La surface de contact doit être parfaitement plane pour assurer un bon couplage avec le prisme. L’ensemble ainsi formé subit une rotation </w:t>
      </w:r>
      <w:r w:rsidRPr="000B3E9D">
        <w:rPr>
          <w:lang w:eastAsia="el-GR" w:bidi="ar-DZ"/>
        </w:rPr>
        <w:t>θ</w:t>
      </w:r>
      <w:r w:rsidRPr="000B3E9D">
        <w:rPr>
          <w:lang w:bidi="ar-DZ"/>
        </w:rPr>
        <w:t xml:space="preserve">. Pour chaque valeur de </w:t>
      </w:r>
      <w:r w:rsidRPr="000B3E9D">
        <w:rPr>
          <w:lang w:eastAsia="el-GR" w:bidi="ar-DZ"/>
        </w:rPr>
        <w:t>θ</w:t>
      </w:r>
      <w:r w:rsidRPr="000B3E9D">
        <w:rPr>
          <w:lang w:bidi="ar-DZ"/>
        </w:rPr>
        <w:t xml:space="preserve"> correspond une valeur de l’angle </w:t>
      </w:r>
      <w:r w:rsidRPr="000B3E9D">
        <w:rPr>
          <w:lang w:eastAsia="el-GR" w:bidi="ar-DZ"/>
        </w:rPr>
        <w:t>θ</w:t>
      </w:r>
      <w:r w:rsidRPr="000B3E9D">
        <w:rPr>
          <w:vertAlign w:val="subscript"/>
          <w:lang w:bidi="ar-DZ"/>
        </w:rPr>
        <w:t>1</w:t>
      </w:r>
      <w:r w:rsidRPr="000B3E9D">
        <w:rPr>
          <w:lang w:bidi="ar-DZ"/>
        </w:rPr>
        <w:t xml:space="preserve"> déterminé à partir de l’indice de l’air et du prisme connus. D’après la valeur de </w:t>
      </w:r>
      <w:r w:rsidRPr="000B3E9D">
        <w:rPr>
          <w:lang w:eastAsia="el-GR" w:bidi="ar-DZ"/>
        </w:rPr>
        <w:t>θ</w:t>
      </w:r>
      <w:r w:rsidRPr="000B3E9D">
        <w:rPr>
          <w:vertAlign w:val="subscript"/>
          <w:lang w:bidi="ar-DZ"/>
        </w:rPr>
        <w:t>1</w:t>
      </w:r>
      <w:r w:rsidRPr="000B3E9D">
        <w:rPr>
          <w:lang w:bidi="ar-DZ"/>
        </w:rPr>
        <w:t xml:space="preserve">, trois cas possibles sont mis en évidence en mesurant l’intensité réfléchie par la photodiode. </w:t>
      </w:r>
    </w:p>
    <w:p w:rsidR="003213F8" w:rsidRPr="000B3E9D" w:rsidRDefault="003213F8" w:rsidP="0038126A">
      <w:pPr>
        <w:spacing w:line="360" w:lineRule="auto"/>
        <w:ind w:left="60"/>
        <w:jc w:val="both"/>
        <w:rPr>
          <w:lang w:bidi="ar-DZ"/>
        </w:rPr>
      </w:pPr>
    </w:p>
    <w:p w:rsidR="003213F8" w:rsidRPr="000B3E9D" w:rsidRDefault="004F6977" w:rsidP="0038126A">
      <w:pPr>
        <w:tabs>
          <w:tab w:val="left" w:pos="2160"/>
        </w:tabs>
        <w:spacing w:line="360" w:lineRule="auto"/>
        <w:ind w:left="60"/>
        <w:jc w:val="both"/>
        <w:rPr>
          <w:lang w:bidi="ar-DZ"/>
        </w:rPr>
      </w:pPr>
      <w:r>
        <w:rPr>
          <w:noProof/>
        </w:rPr>
        <w:pict>
          <v:line id="_x0000_s1026" style="position:absolute;left:0;text-align:left;z-index:251660288" from="1in,8.4pt" to="99pt,8.4pt" strokeweight="3pt">
            <v:stroke endarrow="block"/>
            <w10:wrap anchorx="page"/>
          </v:line>
        </w:pict>
      </w:r>
      <w:r w:rsidR="00C24892">
        <w:rPr>
          <w:lang w:bidi="ar-DZ"/>
        </w:rPr>
        <w:t>-</w:t>
      </w:r>
      <w:r w:rsidR="003213F8" w:rsidRPr="000B3E9D">
        <w:rPr>
          <w:lang w:bidi="ar-DZ"/>
        </w:rPr>
        <w:t xml:space="preserve">    </w:t>
      </w:r>
      <w:r w:rsidR="003213F8" w:rsidRPr="000B3E9D">
        <w:rPr>
          <w:b/>
          <w:bCs/>
          <w:lang w:eastAsia="el-GR" w:bidi="ar-DZ"/>
        </w:rPr>
        <w:t>θ</w:t>
      </w:r>
      <w:r w:rsidR="003213F8" w:rsidRPr="000B3E9D">
        <w:rPr>
          <w:b/>
          <w:bCs/>
          <w:vertAlign w:val="subscript"/>
          <w:lang w:bidi="ar-DZ"/>
        </w:rPr>
        <w:t xml:space="preserve">1 </w:t>
      </w:r>
      <w:r w:rsidR="003213F8" w:rsidRPr="000B3E9D">
        <w:rPr>
          <w:b/>
          <w:bCs/>
          <w:lang w:bidi="ar-DZ"/>
        </w:rPr>
        <w:t xml:space="preserve">&gt; </w:t>
      </w:r>
      <w:r w:rsidR="003213F8" w:rsidRPr="000B3E9D">
        <w:rPr>
          <w:b/>
          <w:bCs/>
          <w:lang w:eastAsia="el-GR" w:bidi="ar-DZ"/>
        </w:rPr>
        <w:t>θ</w:t>
      </w:r>
      <w:r w:rsidR="003213F8" w:rsidRPr="000B3E9D">
        <w:rPr>
          <w:b/>
          <w:bCs/>
          <w:vertAlign w:val="subscript"/>
          <w:lang w:bidi="ar-DZ"/>
        </w:rPr>
        <w:t>L</w:t>
      </w:r>
      <w:r w:rsidR="003213F8" w:rsidRPr="000B3E9D">
        <w:rPr>
          <w:lang w:bidi="ar-DZ"/>
        </w:rPr>
        <w:t xml:space="preserve">      </w:t>
      </w:r>
      <w:r w:rsidR="003213F8" w:rsidRPr="000B3E9D">
        <w:rPr>
          <w:lang w:bidi="ar-DZ"/>
        </w:rPr>
        <w:tab/>
        <w:t>réflexion totale. La photodiode mesure une intensité  I  du faisceau réfléchi.</w:t>
      </w:r>
    </w:p>
    <w:p w:rsidR="003213F8" w:rsidRPr="000B3E9D" w:rsidRDefault="003213F8" w:rsidP="0038126A">
      <w:pPr>
        <w:tabs>
          <w:tab w:val="left" w:pos="2160"/>
        </w:tabs>
        <w:spacing w:line="360" w:lineRule="auto"/>
        <w:ind w:left="60"/>
        <w:jc w:val="both"/>
        <w:rPr>
          <w:lang w:bidi="ar-DZ"/>
        </w:rPr>
      </w:pPr>
    </w:p>
    <w:p w:rsidR="003213F8" w:rsidRPr="000B3E9D" w:rsidRDefault="004F6977" w:rsidP="0038126A">
      <w:pPr>
        <w:tabs>
          <w:tab w:val="left" w:pos="2160"/>
        </w:tabs>
        <w:spacing w:line="360" w:lineRule="auto"/>
        <w:ind w:left="60"/>
        <w:jc w:val="both"/>
        <w:rPr>
          <w:lang w:bidi="ar-DZ"/>
        </w:rPr>
      </w:pPr>
      <w:r>
        <w:rPr>
          <w:noProof/>
        </w:rPr>
        <w:pict>
          <v:line id="_x0000_s1027" style="position:absolute;left:0;text-align:left;z-index:251661312" from="1in,7.5pt" to="99pt,7.5pt" strokeweight="3pt">
            <v:stroke endarrow="block"/>
            <w10:wrap anchorx="page"/>
          </v:line>
        </w:pict>
      </w:r>
      <w:r w:rsidR="00C24892">
        <w:rPr>
          <w:lang w:bidi="ar-DZ"/>
        </w:rPr>
        <w:t>-</w:t>
      </w:r>
      <w:r w:rsidR="003213F8" w:rsidRPr="000B3E9D">
        <w:rPr>
          <w:lang w:bidi="ar-DZ"/>
        </w:rPr>
        <w:t xml:space="preserve">    </w:t>
      </w:r>
      <w:r w:rsidR="003213F8" w:rsidRPr="000B3E9D">
        <w:rPr>
          <w:b/>
          <w:bCs/>
          <w:lang w:eastAsia="el-GR" w:bidi="ar-DZ"/>
        </w:rPr>
        <w:t>θ</w:t>
      </w:r>
      <w:r w:rsidR="003213F8" w:rsidRPr="000B3E9D">
        <w:rPr>
          <w:b/>
          <w:bCs/>
          <w:vertAlign w:val="subscript"/>
          <w:lang w:bidi="ar-DZ"/>
        </w:rPr>
        <w:t>1</w:t>
      </w:r>
      <w:r w:rsidR="003213F8" w:rsidRPr="000B3E9D">
        <w:rPr>
          <w:b/>
          <w:bCs/>
          <w:lang w:bidi="ar-DZ"/>
        </w:rPr>
        <w:t xml:space="preserve"> = </w:t>
      </w:r>
      <w:r w:rsidR="003213F8" w:rsidRPr="000B3E9D">
        <w:rPr>
          <w:b/>
          <w:bCs/>
          <w:lang w:eastAsia="el-GR" w:bidi="ar-DZ"/>
        </w:rPr>
        <w:t>θ</w:t>
      </w:r>
      <w:r w:rsidR="003213F8" w:rsidRPr="000B3E9D">
        <w:rPr>
          <w:b/>
          <w:bCs/>
          <w:vertAlign w:val="subscript"/>
          <w:lang w:bidi="ar-DZ"/>
        </w:rPr>
        <w:t>L</w:t>
      </w:r>
      <w:r w:rsidR="003213F8" w:rsidRPr="000B3E9D">
        <w:rPr>
          <w:lang w:bidi="ar-DZ"/>
        </w:rPr>
        <w:t xml:space="preserve">   </w:t>
      </w:r>
      <w:r w:rsidR="003213F8" w:rsidRPr="000B3E9D">
        <w:rPr>
          <w:lang w:bidi="ar-DZ"/>
        </w:rPr>
        <w:tab/>
        <w:t xml:space="preserve">premier phénomène de réfraction de réfraction avec un angle </w:t>
      </w:r>
      <w:r w:rsidR="003213F8" w:rsidRPr="000B3E9D">
        <w:rPr>
          <w:lang w:eastAsia="el-GR" w:bidi="ar-DZ"/>
        </w:rPr>
        <w:t>θ</w:t>
      </w:r>
      <w:r w:rsidR="003213F8" w:rsidRPr="000B3E9D">
        <w:rPr>
          <w:vertAlign w:val="subscript"/>
          <w:lang w:bidi="ar-DZ"/>
        </w:rPr>
        <w:t>2</w:t>
      </w:r>
      <w:r w:rsidR="003213F8" w:rsidRPr="000B3E9D">
        <w:rPr>
          <w:lang w:bidi="ar-DZ"/>
        </w:rPr>
        <w:t xml:space="preserve"> =90°. La formule de Snell _ Descartes</w:t>
      </w:r>
      <w:r w:rsidR="00733E23" w:rsidRPr="000B3E9D">
        <w:rPr>
          <w:lang w:bidi="ar-DZ"/>
        </w:rPr>
        <w:t xml:space="preserve"> </w:t>
      </w:r>
      <w:r w:rsidR="00733E23" w:rsidRPr="007741EE">
        <w:rPr>
          <w:lang w:bidi="ar-DZ"/>
        </w:rPr>
        <w:t>[4]</w:t>
      </w:r>
      <w:r w:rsidR="003213F8" w:rsidRPr="000B3E9D">
        <w:rPr>
          <w:lang w:bidi="ar-DZ"/>
        </w:rPr>
        <w:t xml:space="preserve"> donne :</w:t>
      </w:r>
    </w:p>
    <w:p w:rsidR="003213F8" w:rsidRPr="000B3E9D" w:rsidRDefault="003213F8" w:rsidP="0038126A">
      <w:pPr>
        <w:tabs>
          <w:tab w:val="left" w:pos="2160"/>
        </w:tabs>
        <w:spacing w:line="360" w:lineRule="auto"/>
        <w:ind w:left="60"/>
        <w:jc w:val="both"/>
        <w:rPr>
          <w:lang w:bidi="ar-DZ"/>
        </w:rPr>
      </w:pPr>
      <w:r w:rsidRPr="000B3E9D">
        <w:rPr>
          <w:lang w:bidi="ar-DZ"/>
        </w:rPr>
        <w:t xml:space="preserve">                </w:t>
      </w:r>
    </w:p>
    <w:p w:rsidR="003213F8" w:rsidRPr="00601369" w:rsidRDefault="008333F8" w:rsidP="004553FE">
      <w:pPr>
        <w:tabs>
          <w:tab w:val="left" w:pos="2160"/>
        </w:tabs>
        <w:spacing w:line="360" w:lineRule="auto"/>
        <w:ind w:left="60"/>
        <w:jc w:val="center"/>
        <w:rPr>
          <w:lang w:bidi="ar-DZ"/>
        </w:rPr>
      </w:pPr>
      <w:r>
        <w:rPr>
          <w:lang w:bidi="ar-DZ"/>
        </w:rPr>
        <w:t xml:space="preserve">                      </w:t>
      </w:r>
      <w:r w:rsidR="00721E76" w:rsidRPr="000B3E9D">
        <w:rPr>
          <w:lang w:bidi="ar-DZ"/>
        </w:rPr>
        <w:t xml:space="preserve"> </w:t>
      </w:r>
      <w:r w:rsidR="003213F8" w:rsidRPr="000B3E9D">
        <w:rPr>
          <w:lang w:bidi="ar-DZ"/>
        </w:rPr>
        <w:t xml:space="preserve"> n</w:t>
      </w:r>
      <w:r w:rsidR="003213F8" w:rsidRPr="000B3E9D">
        <w:rPr>
          <w:vertAlign w:val="subscript"/>
          <w:lang w:bidi="ar-DZ"/>
        </w:rPr>
        <w:t>1</w:t>
      </w:r>
      <w:r w:rsidR="003213F8" w:rsidRPr="000B3E9D">
        <w:rPr>
          <w:lang w:bidi="ar-DZ"/>
        </w:rPr>
        <w:t xml:space="preserve">sin </w:t>
      </w:r>
      <w:r w:rsidR="003213F8" w:rsidRPr="000B3E9D">
        <w:rPr>
          <w:lang w:eastAsia="el-GR" w:bidi="ar-DZ"/>
        </w:rPr>
        <w:t>θ</w:t>
      </w:r>
      <w:r w:rsidR="003213F8" w:rsidRPr="000B3E9D">
        <w:rPr>
          <w:vertAlign w:val="subscript"/>
          <w:lang w:bidi="ar-DZ"/>
        </w:rPr>
        <w:t>1</w:t>
      </w:r>
      <w:r w:rsidR="003213F8" w:rsidRPr="000B3E9D">
        <w:rPr>
          <w:lang w:bidi="ar-DZ"/>
        </w:rPr>
        <w:t xml:space="preserve"> = n</w:t>
      </w:r>
      <w:r w:rsidR="003213F8" w:rsidRPr="000B3E9D">
        <w:rPr>
          <w:vertAlign w:val="subscript"/>
          <w:lang w:bidi="ar-DZ"/>
        </w:rPr>
        <w:t>2</w:t>
      </w:r>
      <w:r w:rsidR="003213F8" w:rsidRPr="000B3E9D">
        <w:rPr>
          <w:lang w:bidi="ar-DZ"/>
        </w:rPr>
        <w:t xml:space="preserve"> sin </w:t>
      </w:r>
      <w:r w:rsidR="003213F8" w:rsidRPr="000B3E9D">
        <w:rPr>
          <w:lang w:eastAsia="el-GR" w:bidi="ar-DZ"/>
        </w:rPr>
        <w:t>θ</w:t>
      </w:r>
      <w:r w:rsidR="003213F8" w:rsidRPr="000B3E9D">
        <w:rPr>
          <w:vertAlign w:val="subscript"/>
          <w:lang w:bidi="ar-DZ"/>
        </w:rPr>
        <w:t>2</w:t>
      </w:r>
      <w:r w:rsidR="00C24892">
        <w:rPr>
          <w:vertAlign w:val="subscript"/>
          <w:lang w:bidi="ar-DZ"/>
        </w:rPr>
        <w:tab/>
      </w:r>
      <w:r w:rsidR="00C24892">
        <w:rPr>
          <w:vertAlign w:val="subscript"/>
          <w:lang w:bidi="ar-DZ"/>
        </w:rPr>
        <w:tab/>
      </w:r>
      <w:r w:rsidR="00C24892">
        <w:rPr>
          <w:vertAlign w:val="subscript"/>
          <w:lang w:bidi="ar-DZ"/>
        </w:rPr>
        <w:tab/>
      </w:r>
      <w:r w:rsidR="00C24892">
        <w:rPr>
          <w:vertAlign w:val="subscript"/>
          <w:lang w:bidi="ar-DZ"/>
        </w:rPr>
        <w:tab/>
      </w:r>
      <w:r w:rsidR="00C24892">
        <w:rPr>
          <w:vertAlign w:val="subscript"/>
          <w:lang w:bidi="ar-DZ"/>
        </w:rPr>
        <w:tab/>
      </w:r>
      <w:r>
        <w:rPr>
          <w:vertAlign w:val="subscript"/>
          <w:lang w:bidi="ar-DZ"/>
        </w:rPr>
        <w:t xml:space="preserve">                                         </w:t>
      </w:r>
      <w:r w:rsidR="00601369">
        <w:rPr>
          <w:lang w:bidi="ar-DZ"/>
        </w:rPr>
        <w:t>(</w:t>
      </w:r>
      <w:r w:rsidR="004553FE">
        <w:rPr>
          <w:lang w:bidi="ar-DZ"/>
        </w:rPr>
        <w:t>II.5</w:t>
      </w:r>
      <w:r w:rsidR="00601369">
        <w:rPr>
          <w:lang w:bidi="ar-DZ"/>
        </w:rPr>
        <w:t>)</w:t>
      </w:r>
    </w:p>
    <w:p w:rsidR="003213F8" w:rsidRPr="000B3E9D" w:rsidRDefault="008333F8" w:rsidP="004553FE">
      <w:pPr>
        <w:tabs>
          <w:tab w:val="left" w:pos="2160"/>
        </w:tabs>
        <w:spacing w:line="360" w:lineRule="auto"/>
        <w:ind w:left="60"/>
        <w:jc w:val="both"/>
        <w:rPr>
          <w:lang w:bidi="ar-DZ"/>
        </w:rPr>
      </w:pPr>
      <w:r>
        <w:rPr>
          <w:lang w:bidi="ar-DZ"/>
        </w:rPr>
        <w:t xml:space="preserve">                    </w:t>
      </w:r>
      <w:r w:rsidR="0053573E" w:rsidRPr="000B3E9D">
        <w:rPr>
          <w:lang w:bidi="ar-DZ"/>
        </w:rPr>
        <w:t>Soit</w:t>
      </w:r>
      <w:r w:rsidR="003213F8" w:rsidRPr="000B3E9D">
        <w:rPr>
          <w:lang w:bidi="ar-DZ"/>
        </w:rPr>
        <w:t xml:space="preserve">  n</w:t>
      </w:r>
      <w:r w:rsidR="003213F8" w:rsidRPr="000B3E9D">
        <w:rPr>
          <w:vertAlign w:val="subscript"/>
          <w:lang w:bidi="ar-DZ"/>
        </w:rPr>
        <w:t>2</w:t>
      </w:r>
      <w:r w:rsidR="003213F8" w:rsidRPr="000B3E9D">
        <w:rPr>
          <w:lang w:bidi="ar-DZ"/>
        </w:rPr>
        <w:t xml:space="preserve">  =  n</w:t>
      </w:r>
      <w:r w:rsidR="003213F8" w:rsidRPr="000B3E9D">
        <w:rPr>
          <w:vertAlign w:val="subscript"/>
          <w:lang w:bidi="ar-DZ"/>
        </w:rPr>
        <w:t>1</w:t>
      </w:r>
      <w:r w:rsidR="003213F8" w:rsidRPr="000B3E9D">
        <w:rPr>
          <w:lang w:bidi="ar-DZ"/>
        </w:rPr>
        <w:t xml:space="preserve"> sin </w:t>
      </w:r>
      <w:r w:rsidR="003213F8" w:rsidRPr="000B3E9D">
        <w:rPr>
          <w:lang w:eastAsia="el-GR" w:bidi="ar-DZ"/>
        </w:rPr>
        <w:t>θ</w:t>
      </w:r>
      <w:r w:rsidR="003213F8" w:rsidRPr="000B3E9D">
        <w:rPr>
          <w:vertAlign w:val="subscript"/>
          <w:lang w:bidi="ar-DZ"/>
        </w:rPr>
        <w:t>1</w:t>
      </w:r>
      <w:r w:rsidR="00C24892">
        <w:rPr>
          <w:lang w:bidi="ar-DZ"/>
        </w:rPr>
        <w:tab/>
      </w:r>
      <w:r w:rsidR="00C24892">
        <w:rPr>
          <w:lang w:bidi="ar-DZ"/>
        </w:rPr>
        <w:tab/>
      </w:r>
      <w:r w:rsidR="00C24892">
        <w:rPr>
          <w:lang w:bidi="ar-DZ"/>
        </w:rPr>
        <w:tab/>
      </w:r>
      <w:r w:rsidR="00C24892">
        <w:rPr>
          <w:lang w:bidi="ar-DZ"/>
        </w:rPr>
        <w:tab/>
      </w:r>
      <w:r w:rsidR="00C24892">
        <w:rPr>
          <w:lang w:bidi="ar-DZ"/>
        </w:rPr>
        <w:tab/>
      </w:r>
      <w:r w:rsidR="00C24892">
        <w:rPr>
          <w:lang w:bidi="ar-DZ"/>
        </w:rPr>
        <w:tab/>
      </w:r>
      <w:r w:rsidR="00721E76" w:rsidRPr="000B3E9D">
        <w:rPr>
          <w:lang w:bidi="ar-DZ"/>
        </w:rPr>
        <w:t xml:space="preserve"> </w:t>
      </w:r>
      <w:r w:rsidR="004553FE">
        <w:rPr>
          <w:lang w:bidi="ar-DZ"/>
        </w:rPr>
        <w:t xml:space="preserve">                     </w:t>
      </w:r>
      <w:r w:rsidR="00721E76" w:rsidRPr="00B07517">
        <w:rPr>
          <w:lang w:bidi="ar-DZ"/>
        </w:rPr>
        <w:t>(</w:t>
      </w:r>
      <w:r w:rsidR="004553FE">
        <w:rPr>
          <w:lang w:bidi="ar-DZ"/>
        </w:rPr>
        <w:t>II.6</w:t>
      </w:r>
      <w:r w:rsidR="00721E76" w:rsidRPr="00B07517">
        <w:rPr>
          <w:lang w:bidi="ar-DZ"/>
        </w:rPr>
        <w:t>)</w:t>
      </w:r>
    </w:p>
    <w:p w:rsidR="003213F8" w:rsidRPr="000B3E9D" w:rsidRDefault="003213F8" w:rsidP="0038126A">
      <w:pPr>
        <w:tabs>
          <w:tab w:val="left" w:pos="2460"/>
        </w:tabs>
        <w:spacing w:line="360" w:lineRule="auto"/>
        <w:jc w:val="both"/>
        <w:rPr>
          <w:rtl/>
          <w:lang w:eastAsia="en-US" w:bidi="ar-DZ"/>
        </w:rPr>
      </w:pPr>
    </w:p>
    <w:p w:rsidR="003213F8" w:rsidRPr="000B3E9D" w:rsidRDefault="004F6977" w:rsidP="0082070D">
      <w:pPr>
        <w:tabs>
          <w:tab w:val="left" w:pos="2460"/>
        </w:tabs>
        <w:spacing w:line="360" w:lineRule="auto"/>
        <w:jc w:val="both"/>
        <w:rPr>
          <w:lang w:bidi="ar-DZ"/>
        </w:rPr>
      </w:pPr>
      <w:r>
        <w:rPr>
          <w:noProof/>
        </w:rPr>
        <w:pict>
          <v:line id="_x0000_s1028" style="position:absolute;left:0;text-align:left;z-index:251662336" from="62.25pt,7.4pt" to="89.25pt,7.4pt" strokeweight="3pt">
            <v:stroke endarrow="block"/>
            <w10:wrap anchorx="page"/>
          </v:line>
        </w:pict>
      </w:r>
      <w:r w:rsidR="0082070D">
        <w:rPr>
          <w:lang w:bidi="ar-DZ"/>
        </w:rPr>
        <w:t>-</w:t>
      </w:r>
      <w:r w:rsidR="003213F8" w:rsidRPr="000B3E9D">
        <w:rPr>
          <w:lang w:bidi="ar-DZ"/>
        </w:rPr>
        <w:t xml:space="preserve">    </w:t>
      </w:r>
      <w:r w:rsidR="003213F8" w:rsidRPr="000B3E9D">
        <w:rPr>
          <w:b/>
          <w:bCs/>
          <w:lang w:eastAsia="el-GR" w:bidi="ar-DZ"/>
        </w:rPr>
        <w:t>θ</w:t>
      </w:r>
      <w:r w:rsidR="003213F8" w:rsidRPr="000B3E9D">
        <w:rPr>
          <w:b/>
          <w:bCs/>
          <w:vertAlign w:val="subscript"/>
          <w:lang w:bidi="ar-DZ"/>
        </w:rPr>
        <w:t>1</w:t>
      </w:r>
      <w:r w:rsidR="003213F8" w:rsidRPr="000B3E9D">
        <w:rPr>
          <w:b/>
          <w:bCs/>
          <w:lang w:bidi="ar-DZ"/>
        </w:rPr>
        <w:t xml:space="preserve"> &lt; </w:t>
      </w:r>
      <w:r w:rsidR="003213F8" w:rsidRPr="000B3E9D">
        <w:rPr>
          <w:b/>
          <w:bCs/>
          <w:lang w:eastAsia="el-GR" w:bidi="ar-DZ"/>
        </w:rPr>
        <w:t>θ</w:t>
      </w:r>
      <w:r w:rsidR="003213F8" w:rsidRPr="000B3E9D">
        <w:rPr>
          <w:b/>
          <w:bCs/>
          <w:vertAlign w:val="subscript"/>
          <w:lang w:bidi="ar-DZ"/>
        </w:rPr>
        <w:t xml:space="preserve">L </w:t>
      </w:r>
      <w:r w:rsidR="003213F8" w:rsidRPr="000B3E9D">
        <w:rPr>
          <w:lang w:bidi="ar-DZ"/>
        </w:rPr>
        <w:t xml:space="preserve">               réfraction normale régie </w:t>
      </w:r>
      <w:r w:rsidR="00733E23" w:rsidRPr="000B3E9D">
        <w:rPr>
          <w:lang w:bidi="ar-DZ"/>
        </w:rPr>
        <w:t>par la loi de Snell</w:t>
      </w:r>
      <w:r w:rsidR="0082070D">
        <w:rPr>
          <w:lang w:bidi="ar-DZ"/>
        </w:rPr>
        <w:t>–</w:t>
      </w:r>
      <w:r w:rsidR="0082070D" w:rsidRPr="000B3E9D">
        <w:rPr>
          <w:lang w:bidi="ar-DZ"/>
        </w:rPr>
        <w:t>Descartes.</w:t>
      </w:r>
    </w:p>
    <w:p w:rsidR="003213F8" w:rsidRPr="000B3E9D" w:rsidRDefault="003213F8" w:rsidP="0038126A">
      <w:pPr>
        <w:tabs>
          <w:tab w:val="left" w:pos="2460"/>
        </w:tabs>
        <w:spacing w:line="360" w:lineRule="auto"/>
        <w:jc w:val="both"/>
        <w:rPr>
          <w:lang w:bidi="ar-DZ"/>
        </w:rPr>
      </w:pPr>
      <w:r w:rsidRPr="000B3E9D">
        <w:rPr>
          <w:lang w:bidi="ar-DZ"/>
        </w:rPr>
        <w:t xml:space="preserve">   </w:t>
      </w:r>
    </w:p>
    <w:p w:rsidR="003213F8" w:rsidRPr="000B3E9D" w:rsidRDefault="003213F8" w:rsidP="0082070D">
      <w:pPr>
        <w:tabs>
          <w:tab w:val="left" w:pos="2460"/>
        </w:tabs>
        <w:spacing w:line="360" w:lineRule="auto"/>
        <w:jc w:val="both"/>
        <w:rPr>
          <w:lang w:bidi="ar-DZ"/>
        </w:rPr>
      </w:pPr>
      <w:r w:rsidRPr="000B3E9D">
        <w:rPr>
          <w:lang w:bidi="ar-DZ"/>
        </w:rPr>
        <w:t xml:space="preserve">Le prisme utilisé pour les mesures de l’indice de réfraction est un prisme </w:t>
      </w:r>
      <w:r w:rsidR="0082070D">
        <w:rPr>
          <w:lang w:bidi="ar-DZ"/>
        </w:rPr>
        <w:t>M</w:t>
      </w:r>
      <w:r w:rsidRPr="000B3E9D">
        <w:rPr>
          <w:lang w:bidi="ar-DZ"/>
        </w:rPr>
        <w:t>HETRICO</w:t>
      </w:r>
      <w:r w:rsidR="0082070D">
        <w:rPr>
          <w:lang w:bidi="ar-DZ"/>
        </w:rPr>
        <w:t>N</w:t>
      </w:r>
      <w:r w:rsidRPr="000B3E9D">
        <w:rPr>
          <w:lang w:bidi="ar-DZ"/>
        </w:rPr>
        <w:t xml:space="preserve"> de r</w:t>
      </w:r>
      <w:r w:rsidR="0082070D">
        <w:rPr>
          <w:lang w:bidi="ar-DZ"/>
        </w:rPr>
        <w:t>u</w:t>
      </w:r>
      <w:r w:rsidRPr="000B3E9D">
        <w:rPr>
          <w:lang w:bidi="ar-DZ"/>
        </w:rPr>
        <w:t>t</w:t>
      </w:r>
      <w:r w:rsidR="0082070D">
        <w:rPr>
          <w:lang w:bidi="ar-DZ"/>
        </w:rPr>
        <w:t>i</w:t>
      </w:r>
      <w:r w:rsidRPr="000B3E9D">
        <w:rPr>
          <w:lang w:bidi="ar-DZ"/>
        </w:rPr>
        <w:t xml:space="preserve">le  </w:t>
      </w:r>
      <w:r w:rsidR="00615CDA" w:rsidRPr="000B3E9D">
        <w:rPr>
          <w:lang w:bidi="ar-DZ"/>
        </w:rPr>
        <w:t>(figure</w:t>
      </w:r>
      <w:r w:rsidR="008308D8" w:rsidRPr="000B3E9D">
        <w:rPr>
          <w:b/>
          <w:bCs/>
        </w:rPr>
        <w:t xml:space="preserve"> </w:t>
      </w:r>
      <w:r w:rsidR="008308D8" w:rsidRPr="00FB186E">
        <w:t>II.4</w:t>
      </w:r>
      <w:r w:rsidRPr="000B3E9D">
        <w:rPr>
          <w:lang w:bidi="ar-DZ"/>
        </w:rPr>
        <w:t>).</w:t>
      </w:r>
      <w:r w:rsidR="008308D8" w:rsidRPr="000B3E9D">
        <w:rPr>
          <w:b/>
          <w:bCs/>
        </w:rPr>
        <w:t xml:space="preserve"> </w:t>
      </w:r>
    </w:p>
    <w:p w:rsidR="008308D8" w:rsidRPr="000B3E9D" w:rsidRDefault="008308D8" w:rsidP="008308D8">
      <w:pPr>
        <w:jc w:val="lowKashida"/>
        <w:rPr>
          <w:vertAlign w:val="subscript"/>
          <w:lang w:bidi="ar-DZ"/>
        </w:rPr>
      </w:pPr>
      <w:r w:rsidRPr="000B3E9D">
        <w:rPr>
          <w:noProof/>
        </w:rPr>
        <w:drawing>
          <wp:inline distT="0" distB="0" distL="0" distR="0">
            <wp:extent cx="5753100" cy="304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b="16344"/>
                    <a:stretch>
                      <a:fillRect/>
                    </a:stretch>
                  </pic:blipFill>
                  <pic:spPr bwMode="auto">
                    <a:xfrm>
                      <a:off x="0" y="0"/>
                      <a:ext cx="5753100" cy="3048000"/>
                    </a:xfrm>
                    <a:prstGeom prst="rect">
                      <a:avLst/>
                    </a:prstGeom>
                    <a:noFill/>
                    <a:ln w="9525">
                      <a:noFill/>
                      <a:miter lim="800000"/>
                      <a:headEnd/>
                      <a:tailEnd/>
                    </a:ln>
                  </pic:spPr>
                </pic:pic>
              </a:graphicData>
            </a:graphic>
          </wp:inline>
        </w:drawing>
      </w:r>
    </w:p>
    <w:p w:rsidR="008308D8" w:rsidRPr="000B3E9D" w:rsidRDefault="008308D8" w:rsidP="008308D8">
      <w:pPr>
        <w:jc w:val="lowKashida"/>
        <w:rPr>
          <w:vertAlign w:val="subscript"/>
          <w:lang w:bidi="ar-DZ"/>
        </w:rPr>
      </w:pPr>
    </w:p>
    <w:p w:rsidR="005E768A" w:rsidRPr="000B3E9D" w:rsidRDefault="00F41DC6" w:rsidP="008333F8">
      <w:pPr>
        <w:jc w:val="center"/>
      </w:pPr>
      <w:r w:rsidRPr="000B3E9D">
        <w:rPr>
          <w:b/>
          <w:bCs/>
        </w:rPr>
        <w:t>Figure</w:t>
      </w:r>
      <w:r w:rsidR="008308D8" w:rsidRPr="000B3E9D">
        <w:rPr>
          <w:b/>
          <w:bCs/>
        </w:rPr>
        <w:t xml:space="preserve">  </w:t>
      </w:r>
      <w:r w:rsidRPr="000B3E9D">
        <w:rPr>
          <w:b/>
          <w:bCs/>
        </w:rPr>
        <w:t>II.4 :</w:t>
      </w:r>
      <w:r w:rsidR="008308D8" w:rsidRPr="000B3E9D">
        <w:rPr>
          <w:b/>
          <w:bCs/>
        </w:rPr>
        <w:t xml:space="preserve"> </w:t>
      </w:r>
      <w:r w:rsidR="008308D8" w:rsidRPr="008333F8">
        <w:t>Schéma du banc de mesure M – Lines</w:t>
      </w:r>
      <w:r w:rsidR="004553FE">
        <w:t>.</w:t>
      </w:r>
    </w:p>
    <w:p w:rsidR="003C1E4C" w:rsidRDefault="003C1E4C" w:rsidP="00C200C3">
      <w:pPr>
        <w:autoSpaceDE w:val="0"/>
        <w:autoSpaceDN w:val="0"/>
        <w:adjustRightInd w:val="0"/>
        <w:spacing w:line="360" w:lineRule="auto"/>
        <w:jc w:val="both"/>
        <w:rPr>
          <w:b/>
          <w:bCs/>
        </w:rPr>
      </w:pPr>
    </w:p>
    <w:p w:rsidR="008333F8" w:rsidRDefault="005E09A3" w:rsidP="00C200C3">
      <w:pPr>
        <w:autoSpaceDE w:val="0"/>
        <w:autoSpaceDN w:val="0"/>
        <w:adjustRightInd w:val="0"/>
        <w:spacing w:line="360" w:lineRule="auto"/>
        <w:jc w:val="both"/>
        <w:rPr>
          <w:b/>
          <w:bCs/>
        </w:rPr>
      </w:pPr>
      <w:r w:rsidRPr="000B3E9D">
        <w:rPr>
          <w:b/>
          <w:bCs/>
        </w:rPr>
        <w:lastRenderedPageBreak/>
        <w:t>II-2.</w:t>
      </w:r>
      <w:r>
        <w:rPr>
          <w:b/>
          <w:bCs/>
        </w:rPr>
        <w:t>3</w:t>
      </w:r>
      <w:r w:rsidRPr="000B3E9D">
        <w:rPr>
          <w:b/>
          <w:bCs/>
        </w:rPr>
        <w:t xml:space="preserve"> Masse volumique :</w:t>
      </w:r>
    </w:p>
    <w:p w:rsidR="005E09A3" w:rsidRDefault="005E09A3" w:rsidP="00C200C3">
      <w:pPr>
        <w:autoSpaceDE w:val="0"/>
        <w:autoSpaceDN w:val="0"/>
        <w:adjustRightInd w:val="0"/>
        <w:spacing w:line="360" w:lineRule="auto"/>
        <w:jc w:val="both"/>
        <w:rPr>
          <w:rFonts w:ascii="BookAntiqua" w:eastAsia="BookAntiqua" w:hAnsiTheme="minorHAnsi" w:cs="BookAntiqua"/>
          <w:lang w:eastAsia="en-US"/>
        </w:rPr>
      </w:pPr>
      <w:r w:rsidRPr="005E09A3">
        <w:rPr>
          <w:rFonts w:ascii="BookAntiqua" w:eastAsia="BookAntiqua" w:hAnsiTheme="minorHAnsi" w:cs="BookAntiqua"/>
          <w:lang w:eastAsia="en-US"/>
        </w:rPr>
        <w:t xml:space="preserve"> </w:t>
      </w:r>
    </w:p>
    <w:p w:rsidR="0038126A" w:rsidRPr="00C200C3" w:rsidRDefault="005E09A3" w:rsidP="0082070D">
      <w:pPr>
        <w:autoSpaceDE w:val="0"/>
        <w:autoSpaceDN w:val="0"/>
        <w:adjustRightInd w:val="0"/>
        <w:spacing w:line="360" w:lineRule="auto"/>
        <w:ind w:firstLine="708"/>
        <w:jc w:val="both"/>
        <w:rPr>
          <w:rFonts w:eastAsia="BookAntiqua"/>
          <w:lang w:eastAsia="en-US"/>
        </w:rPr>
      </w:pPr>
      <w:r w:rsidRPr="005E09A3">
        <w:rPr>
          <w:rFonts w:eastAsia="BookAntiqua"/>
          <w:lang w:eastAsia="en-US"/>
        </w:rPr>
        <w:t>La densité d’un matériau est une de ses propriétés fondamentales. Selon les publications,</w:t>
      </w:r>
      <w:r>
        <w:rPr>
          <w:rFonts w:eastAsia="BookAntiqua"/>
          <w:lang w:eastAsia="en-US"/>
        </w:rPr>
        <w:t xml:space="preserve"> </w:t>
      </w:r>
      <w:r w:rsidRPr="005E09A3">
        <w:rPr>
          <w:rFonts w:eastAsia="BookAntiqua"/>
          <w:lang w:eastAsia="en-US"/>
        </w:rPr>
        <w:t>l’unité indiquée pour un matériau sera sa masse volumique ou la densité. La masse</w:t>
      </w:r>
      <w:r>
        <w:rPr>
          <w:rFonts w:eastAsia="BookAntiqua"/>
          <w:lang w:eastAsia="en-US"/>
        </w:rPr>
        <w:t xml:space="preserve"> </w:t>
      </w:r>
      <w:r w:rsidRPr="005E09A3">
        <w:rPr>
          <w:rFonts w:eastAsia="BookAntiqua"/>
          <w:lang w:eastAsia="en-US"/>
        </w:rPr>
        <w:t>volumique est un rapport établi entre la masse d’un matériau et son volume et les unîtes</w:t>
      </w:r>
      <w:r>
        <w:rPr>
          <w:rFonts w:eastAsia="BookAntiqua"/>
          <w:lang w:eastAsia="en-US"/>
        </w:rPr>
        <w:t xml:space="preserve"> </w:t>
      </w:r>
      <w:r w:rsidRPr="005E09A3">
        <w:rPr>
          <w:rFonts w:eastAsia="BookAntiqua"/>
          <w:lang w:eastAsia="en-US"/>
        </w:rPr>
        <w:t>seront exprimées en g.cm</w:t>
      </w:r>
      <w:r w:rsidRPr="005E09A3">
        <w:rPr>
          <w:rFonts w:eastAsia="BookAntiqua"/>
          <w:vertAlign w:val="superscript"/>
          <w:lang w:eastAsia="en-US"/>
        </w:rPr>
        <w:t>-3</w:t>
      </w:r>
      <w:r w:rsidRPr="005E09A3">
        <w:rPr>
          <w:rFonts w:eastAsia="BookAntiqua"/>
          <w:lang w:eastAsia="en-US"/>
        </w:rPr>
        <w:t>. La densité permet de s’affranchir de</w:t>
      </w:r>
      <w:r>
        <w:rPr>
          <w:rFonts w:eastAsia="BookAntiqua"/>
          <w:lang w:eastAsia="en-US"/>
        </w:rPr>
        <w:t xml:space="preserve"> </w:t>
      </w:r>
      <w:r w:rsidRPr="005E09A3">
        <w:rPr>
          <w:rFonts w:eastAsia="BookAntiqua"/>
          <w:lang w:eastAsia="en-US"/>
        </w:rPr>
        <w:t>l’</w:t>
      </w:r>
      <w:r w:rsidR="00BE11F6" w:rsidRPr="005E09A3">
        <w:rPr>
          <w:rFonts w:eastAsia="BookAntiqua"/>
          <w:lang w:eastAsia="en-US"/>
        </w:rPr>
        <w:t>unité</w:t>
      </w:r>
      <w:r w:rsidRPr="005E09A3">
        <w:rPr>
          <w:rFonts w:eastAsia="BookAntiqua"/>
          <w:lang w:eastAsia="en-US"/>
        </w:rPr>
        <w:t xml:space="preserve"> puisqu’on rapporte la masse volumique d’un matériau </w:t>
      </w:r>
      <w:r w:rsidR="0082070D" w:rsidRPr="005E09A3">
        <w:rPr>
          <w:rFonts w:eastAsia="BookAntiqua"/>
          <w:lang w:eastAsia="en-US"/>
        </w:rPr>
        <w:t>à</w:t>
      </w:r>
      <w:r w:rsidRPr="005E09A3">
        <w:rPr>
          <w:rFonts w:eastAsia="BookAntiqua"/>
          <w:lang w:eastAsia="en-US"/>
        </w:rPr>
        <w:t xml:space="preserve"> celle de l’eau qui par</w:t>
      </w:r>
      <w:r>
        <w:rPr>
          <w:rFonts w:eastAsia="BookAntiqua"/>
          <w:lang w:eastAsia="en-US"/>
        </w:rPr>
        <w:t xml:space="preserve"> </w:t>
      </w:r>
      <w:r w:rsidR="00C200C3" w:rsidRPr="005E09A3">
        <w:rPr>
          <w:rFonts w:eastAsia="BookAntiqua"/>
          <w:lang w:eastAsia="en-US"/>
        </w:rPr>
        <w:t>définition</w:t>
      </w:r>
      <w:r w:rsidRPr="005E09A3">
        <w:rPr>
          <w:rFonts w:eastAsia="BookAntiqua"/>
          <w:lang w:eastAsia="en-US"/>
        </w:rPr>
        <w:t xml:space="preserve"> </w:t>
      </w:r>
      <w:r w:rsidR="00C200C3" w:rsidRPr="005E09A3">
        <w:rPr>
          <w:rFonts w:eastAsia="BookAntiqua"/>
          <w:lang w:eastAsia="en-US"/>
        </w:rPr>
        <w:t>possède</w:t>
      </w:r>
      <w:r w:rsidRPr="005E09A3">
        <w:rPr>
          <w:rFonts w:eastAsia="BookAntiqua"/>
          <w:lang w:eastAsia="en-US"/>
        </w:rPr>
        <w:t xml:space="preserve"> une </w:t>
      </w:r>
      <w:r w:rsidR="00C200C3" w:rsidRPr="005E09A3">
        <w:rPr>
          <w:rFonts w:eastAsia="BookAntiqua"/>
          <w:lang w:eastAsia="en-US"/>
        </w:rPr>
        <w:t>densité</w:t>
      </w:r>
      <w:r w:rsidRPr="005E09A3">
        <w:rPr>
          <w:rFonts w:eastAsia="BookAntiqua"/>
          <w:lang w:eastAsia="en-US"/>
        </w:rPr>
        <w:t xml:space="preserve"> de 1. Cette </w:t>
      </w:r>
      <w:r w:rsidR="00C200C3" w:rsidRPr="005E09A3">
        <w:rPr>
          <w:rFonts w:eastAsia="BookAntiqua"/>
          <w:lang w:eastAsia="en-US"/>
        </w:rPr>
        <w:t>propriété</w:t>
      </w:r>
      <w:r w:rsidRPr="005E09A3">
        <w:rPr>
          <w:rFonts w:eastAsia="BookAntiqua"/>
          <w:lang w:eastAsia="en-US"/>
        </w:rPr>
        <w:t xml:space="preserve"> est rarement prise en compte dans la</w:t>
      </w:r>
      <w:r w:rsidR="00C200C3">
        <w:rPr>
          <w:rFonts w:eastAsia="BookAntiqua"/>
          <w:lang w:eastAsia="en-US"/>
        </w:rPr>
        <w:t xml:space="preserve"> </w:t>
      </w:r>
      <w:r w:rsidR="00C200C3" w:rsidRPr="005E09A3">
        <w:rPr>
          <w:rFonts w:eastAsia="BookAntiqua"/>
          <w:lang w:eastAsia="en-US"/>
        </w:rPr>
        <w:t>sélection</w:t>
      </w:r>
      <w:r w:rsidRPr="005E09A3">
        <w:rPr>
          <w:rFonts w:eastAsia="BookAntiqua"/>
          <w:lang w:eastAsia="en-US"/>
        </w:rPr>
        <w:t xml:space="preserve"> d’un </w:t>
      </w:r>
      <w:r w:rsidR="00C200C3" w:rsidRPr="005E09A3">
        <w:rPr>
          <w:rFonts w:eastAsia="BookAntiqua"/>
          <w:lang w:eastAsia="en-US"/>
        </w:rPr>
        <w:t>matériau</w:t>
      </w:r>
      <w:r w:rsidRPr="005E09A3">
        <w:rPr>
          <w:rFonts w:eastAsia="BookAntiqua"/>
          <w:lang w:eastAsia="en-US"/>
        </w:rPr>
        <w:t xml:space="preserve"> en clinique</w:t>
      </w:r>
      <w:r w:rsidR="00C200C3">
        <w:rPr>
          <w:rFonts w:eastAsia="BookAntiqua"/>
          <w:lang w:eastAsia="en-US"/>
        </w:rPr>
        <w:t xml:space="preserve"> </w:t>
      </w:r>
      <w:r w:rsidR="00C200C3" w:rsidRPr="007741EE">
        <w:rPr>
          <w:lang w:bidi="ar-DZ"/>
        </w:rPr>
        <w:t>[5].</w:t>
      </w:r>
      <w:r w:rsidR="00C200C3" w:rsidRPr="007741EE">
        <w:rPr>
          <w:rFonts w:eastAsia="BookAntiqua"/>
          <w:lang w:eastAsia="en-US"/>
        </w:rPr>
        <w:t xml:space="preserve"> </w:t>
      </w:r>
      <w:r w:rsidR="00C200C3" w:rsidRPr="000B3E9D">
        <w:t xml:space="preserve">On peut la mesurer par la méthode du pycnomètre qui permet d’atteindre la quatrième décimale. L’autre méthode est celle de la poussée hydrostatique. </w:t>
      </w:r>
    </w:p>
    <w:p w:rsidR="0038126A" w:rsidRPr="000B3E9D" w:rsidRDefault="0038126A" w:rsidP="00607595">
      <w:pPr>
        <w:autoSpaceDE w:val="0"/>
        <w:autoSpaceDN w:val="0"/>
        <w:adjustRightInd w:val="0"/>
        <w:spacing w:line="360" w:lineRule="auto"/>
        <w:rPr>
          <w:b/>
          <w:bCs/>
        </w:rPr>
      </w:pPr>
    </w:p>
    <w:p w:rsidR="00C200C3" w:rsidRPr="000B3E9D" w:rsidRDefault="00C200C3" w:rsidP="0082070D">
      <w:pPr>
        <w:pStyle w:val="Paragraphedeliste"/>
        <w:spacing w:after="200" w:line="360" w:lineRule="auto"/>
        <w:ind w:left="502"/>
        <w:jc w:val="both"/>
        <w:rPr>
          <w:b/>
          <w:bCs/>
        </w:rPr>
      </w:pPr>
      <w:r w:rsidRPr="000B3E9D">
        <w:rPr>
          <w:b/>
          <w:bCs/>
        </w:rPr>
        <w:t>Méthode de pycnomètre :</w:t>
      </w:r>
      <w:r w:rsidR="00524D64">
        <w:rPr>
          <w:b/>
          <w:bCs/>
        </w:rPr>
        <w:t xml:space="preserve">  </w:t>
      </w:r>
    </w:p>
    <w:p w:rsidR="00C200C3" w:rsidRPr="000B3E9D" w:rsidRDefault="00C200C3" w:rsidP="00C200C3">
      <w:pPr>
        <w:spacing w:line="360" w:lineRule="auto"/>
        <w:ind w:firstLine="567"/>
        <w:jc w:val="both"/>
      </w:pPr>
      <w:r w:rsidRPr="000B3E9D">
        <w:t xml:space="preserve"> </w:t>
      </w:r>
      <w:r w:rsidR="00524D64">
        <w:tab/>
      </w:r>
      <w:r w:rsidRPr="000B3E9D">
        <w:t>Cet appareil (Figure II.5) utilise usuellement trois volumes de chambre (1 cc, 3.5 cc, 10 cc). Le gaz est introduit avec une pression de 19,5 Psi sous température ambiante. L’échantillon pesé (masse &gt; 1 g) est introduit dans la chambre hermétique ou la cellule de mesure, accompagné d’une (ou de deux billes) bille dont le volume est initialement connu. L’appareil permet de mesurer le volume de l’ensemble et de déduire donc le volume de l’échantillon. La précision usuelle de la mesure est de ± 0.001 cc soit 0.01% du volume maximum de la chambre.</w:t>
      </w:r>
    </w:p>
    <w:p w:rsidR="00C200C3" w:rsidRPr="000B3E9D" w:rsidRDefault="00C200C3" w:rsidP="00C200C3">
      <w:pPr>
        <w:spacing w:line="360" w:lineRule="auto"/>
        <w:jc w:val="both"/>
      </w:pPr>
      <w:r>
        <w:t xml:space="preserve">                                  </w:t>
      </w:r>
      <w:r w:rsidRPr="000B3E9D">
        <w:rPr>
          <w:noProof/>
        </w:rPr>
        <w:drawing>
          <wp:inline distT="0" distB="0" distL="0" distR="0">
            <wp:extent cx="3009900" cy="2857500"/>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3"/>
                    <a:srcRect/>
                    <a:stretch>
                      <a:fillRect/>
                    </a:stretch>
                  </pic:blipFill>
                  <pic:spPr bwMode="auto">
                    <a:xfrm>
                      <a:off x="0" y="0"/>
                      <a:ext cx="3009900" cy="2857500"/>
                    </a:xfrm>
                    <a:prstGeom prst="rect">
                      <a:avLst/>
                    </a:prstGeom>
                    <a:noFill/>
                    <a:ln w="9525">
                      <a:noFill/>
                      <a:miter lim="800000"/>
                      <a:headEnd/>
                      <a:tailEnd/>
                    </a:ln>
                  </pic:spPr>
                </pic:pic>
              </a:graphicData>
            </a:graphic>
          </wp:inline>
        </w:drawing>
      </w:r>
    </w:p>
    <w:p w:rsidR="00C200C3" w:rsidRPr="008333F8" w:rsidRDefault="00C200C3" w:rsidP="008333F8">
      <w:pPr>
        <w:spacing w:line="360" w:lineRule="auto"/>
        <w:jc w:val="center"/>
      </w:pPr>
      <w:r w:rsidRPr="00524D64">
        <w:rPr>
          <w:b/>
          <w:bCs/>
        </w:rPr>
        <w:t xml:space="preserve">Figure II.5   : </w:t>
      </w:r>
      <w:r w:rsidRPr="008333F8">
        <w:t>Pycnomètre à hélium modèle ACCUPYC 1330 MICROMERITICS</w:t>
      </w:r>
      <w:r w:rsidR="004553FE">
        <w:t>.</w:t>
      </w:r>
    </w:p>
    <w:p w:rsidR="0082070D" w:rsidRPr="008333F8" w:rsidRDefault="0082070D" w:rsidP="00C200C3">
      <w:pPr>
        <w:spacing w:line="360" w:lineRule="auto"/>
        <w:jc w:val="both"/>
      </w:pPr>
    </w:p>
    <w:p w:rsidR="0082070D" w:rsidRPr="008333F8" w:rsidRDefault="0082070D" w:rsidP="00C200C3">
      <w:pPr>
        <w:spacing w:line="360" w:lineRule="auto"/>
        <w:jc w:val="both"/>
      </w:pPr>
    </w:p>
    <w:p w:rsidR="0082070D" w:rsidRPr="00524D64" w:rsidRDefault="0082070D" w:rsidP="00C200C3">
      <w:pPr>
        <w:spacing w:line="360" w:lineRule="auto"/>
        <w:jc w:val="both"/>
        <w:rPr>
          <w:b/>
          <w:bCs/>
        </w:rPr>
      </w:pPr>
    </w:p>
    <w:p w:rsidR="00C200C3" w:rsidRPr="000B3E9D" w:rsidRDefault="00C200C3" w:rsidP="00C200C3">
      <w:pPr>
        <w:spacing w:line="360" w:lineRule="auto"/>
        <w:jc w:val="both"/>
        <w:rPr>
          <w:b/>
          <w:bCs/>
          <w:i/>
          <w:iCs/>
        </w:rPr>
      </w:pPr>
    </w:p>
    <w:p w:rsidR="00607595" w:rsidRDefault="00607595" w:rsidP="00607595">
      <w:pPr>
        <w:autoSpaceDE w:val="0"/>
        <w:autoSpaceDN w:val="0"/>
        <w:adjustRightInd w:val="0"/>
        <w:spacing w:line="360" w:lineRule="auto"/>
        <w:rPr>
          <w:rFonts w:eastAsiaTheme="minorHAnsi"/>
          <w:b/>
          <w:bCs/>
          <w:lang w:eastAsia="en-US"/>
        </w:rPr>
      </w:pPr>
      <w:r w:rsidRPr="000B3E9D">
        <w:rPr>
          <w:b/>
          <w:bCs/>
        </w:rPr>
        <w:t xml:space="preserve">II-2.4 </w:t>
      </w:r>
      <w:r w:rsidRPr="000B3E9D">
        <w:rPr>
          <w:rFonts w:eastAsiaTheme="minorHAnsi"/>
          <w:b/>
          <w:bCs/>
          <w:lang w:eastAsia="en-US"/>
        </w:rPr>
        <w:t>- Spectroscopie infrarouge</w:t>
      </w:r>
    </w:p>
    <w:p w:rsidR="007741EE" w:rsidRDefault="007741EE" w:rsidP="00607595">
      <w:pPr>
        <w:autoSpaceDE w:val="0"/>
        <w:autoSpaceDN w:val="0"/>
        <w:adjustRightInd w:val="0"/>
        <w:spacing w:line="360" w:lineRule="auto"/>
        <w:rPr>
          <w:rFonts w:eastAsiaTheme="minorHAnsi"/>
          <w:b/>
          <w:bCs/>
          <w:lang w:eastAsia="en-US"/>
        </w:rPr>
      </w:pPr>
    </w:p>
    <w:p w:rsidR="007741EE" w:rsidRPr="007741EE" w:rsidRDefault="0082070D" w:rsidP="0082070D">
      <w:pPr>
        <w:autoSpaceDE w:val="0"/>
        <w:autoSpaceDN w:val="0"/>
        <w:adjustRightInd w:val="0"/>
        <w:spacing w:line="360" w:lineRule="auto"/>
        <w:ind w:firstLine="708"/>
        <w:jc w:val="both"/>
        <w:rPr>
          <w:rFonts w:eastAsiaTheme="minorHAnsi"/>
          <w:color w:val="000000"/>
          <w:lang w:eastAsia="en-US"/>
        </w:rPr>
      </w:pPr>
      <w:r>
        <w:rPr>
          <w:rFonts w:eastAsiaTheme="minorHAnsi"/>
          <w:lang w:eastAsia="en-US"/>
        </w:rPr>
        <w:t>L</w:t>
      </w:r>
      <w:r w:rsidRPr="007741EE">
        <w:rPr>
          <w:rFonts w:eastAsiaTheme="minorHAnsi"/>
          <w:lang w:eastAsia="en-US"/>
        </w:rPr>
        <w:t>a spectroscopie</w:t>
      </w:r>
      <w:r>
        <w:rPr>
          <w:rFonts w:eastAsiaTheme="minorHAnsi"/>
          <w:lang w:eastAsia="en-US"/>
        </w:rPr>
        <w:t xml:space="preserve"> </w:t>
      </w:r>
      <w:r w:rsidRPr="007741EE">
        <w:rPr>
          <w:rFonts w:eastAsiaTheme="minorHAnsi"/>
          <w:lang w:eastAsia="en-US"/>
        </w:rPr>
        <w:t>de l’infrarouge</w:t>
      </w:r>
      <w:r>
        <w:rPr>
          <w:rFonts w:eastAsiaTheme="minorHAnsi"/>
          <w:lang w:eastAsia="en-US"/>
        </w:rPr>
        <w:t xml:space="preserve"> sert à maitre en évidence l</w:t>
      </w:r>
      <w:r w:rsidR="007741EE" w:rsidRPr="007741EE">
        <w:rPr>
          <w:rFonts w:eastAsiaTheme="minorHAnsi"/>
          <w:lang w:eastAsia="en-US"/>
        </w:rPr>
        <w:t xml:space="preserve">'effet des  vibrations des </w:t>
      </w:r>
      <w:r w:rsidR="004F779E" w:rsidRPr="007741EE">
        <w:rPr>
          <w:rFonts w:eastAsiaTheme="minorHAnsi"/>
          <w:lang w:eastAsia="en-US"/>
        </w:rPr>
        <w:t>niveaux</w:t>
      </w:r>
      <w:r w:rsidR="007741EE" w:rsidRPr="007741EE">
        <w:rPr>
          <w:rFonts w:eastAsiaTheme="minorHAnsi"/>
          <w:lang w:eastAsia="en-US"/>
        </w:rPr>
        <w:t xml:space="preserve"> d'énergies</w:t>
      </w:r>
      <w:r>
        <w:rPr>
          <w:rFonts w:eastAsiaTheme="minorHAnsi"/>
          <w:lang w:eastAsia="en-US"/>
        </w:rPr>
        <w:t xml:space="preserve">. </w:t>
      </w:r>
      <w:r w:rsidR="007741EE" w:rsidRPr="007741EE">
        <w:rPr>
          <w:rFonts w:eastAsiaTheme="minorHAnsi"/>
          <w:lang w:eastAsia="en-US"/>
        </w:rPr>
        <w:t>Cette technique permet  l'analyse et l'identification des molécules complexes par leur  signature d'absorption dans l'infrarouge. Dans  cette technique, l'énergie incident</w:t>
      </w:r>
      <w:r>
        <w:rPr>
          <w:rFonts w:eastAsiaTheme="minorHAnsi"/>
          <w:lang w:eastAsia="en-US"/>
        </w:rPr>
        <w:t>e</w:t>
      </w:r>
      <w:r w:rsidR="007741EE" w:rsidRPr="007741EE">
        <w:rPr>
          <w:rFonts w:eastAsiaTheme="minorHAnsi"/>
          <w:lang w:eastAsia="en-US"/>
        </w:rPr>
        <w:t xml:space="preserve"> d</w:t>
      </w:r>
      <w:r>
        <w:rPr>
          <w:rFonts w:eastAsiaTheme="minorHAnsi"/>
          <w:lang w:eastAsia="en-US"/>
        </w:rPr>
        <w:t>ans l</w:t>
      </w:r>
      <w:r w:rsidR="007741EE" w:rsidRPr="007741EE">
        <w:rPr>
          <w:rFonts w:eastAsiaTheme="minorHAnsi"/>
          <w:lang w:eastAsia="en-US"/>
        </w:rPr>
        <w:t xml:space="preserve">’infrarouge  fait </w:t>
      </w:r>
      <w:r>
        <w:rPr>
          <w:rFonts w:eastAsiaTheme="minorHAnsi"/>
          <w:lang w:eastAsia="en-US"/>
        </w:rPr>
        <w:t>vibrer</w:t>
      </w:r>
      <w:r w:rsidR="007741EE" w:rsidRPr="007741EE">
        <w:rPr>
          <w:rFonts w:eastAsiaTheme="minorHAnsi"/>
          <w:lang w:eastAsia="en-US"/>
        </w:rPr>
        <w:t xml:space="preserve"> les liaisons covalentes entre les atomes </w:t>
      </w:r>
      <w:r>
        <w:rPr>
          <w:rFonts w:eastAsiaTheme="minorHAnsi"/>
          <w:lang w:eastAsia="en-US"/>
        </w:rPr>
        <w:t xml:space="preserve">et les </w:t>
      </w:r>
      <w:r w:rsidR="007741EE" w:rsidRPr="007741EE">
        <w:rPr>
          <w:rFonts w:eastAsiaTheme="minorHAnsi"/>
          <w:lang w:eastAsia="en-US"/>
        </w:rPr>
        <w:t xml:space="preserve"> molécules. Puisque les liaisons   entre les atomes de différentes masses ont </w:t>
      </w:r>
      <w:r>
        <w:rPr>
          <w:rFonts w:eastAsiaTheme="minorHAnsi"/>
          <w:lang w:eastAsia="en-US"/>
        </w:rPr>
        <w:t xml:space="preserve">des </w:t>
      </w:r>
      <w:r w:rsidR="007741EE" w:rsidRPr="007741EE">
        <w:rPr>
          <w:rFonts w:eastAsiaTheme="minorHAnsi"/>
          <w:lang w:eastAsia="en-US"/>
        </w:rPr>
        <w:t xml:space="preserve">différentes </w:t>
      </w:r>
      <w:r>
        <w:rPr>
          <w:rFonts w:eastAsiaTheme="minorHAnsi"/>
          <w:lang w:eastAsia="en-US"/>
        </w:rPr>
        <w:t xml:space="preserve">forces de liaison </w:t>
      </w:r>
      <w:r w:rsidR="007741EE" w:rsidRPr="007741EE">
        <w:rPr>
          <w:lang w:bidi="ar-DZ"/>
        </w:rPr>
        <w:t>[</w:t>
      </w:r>
      <w:r w:rsidR="004F779E">
        <w:rPr>
          <w:lang w:bidi="ar-DZ"/>
        </w:rPr>
        <w:t>6</w:t>
      </w:r>
      <w:r w:rsidR="007741EE" w:rsidRPr="007741EE">
        <w:rPr>
          <w:lang w:bidi="ar-DZ"/>
        </w:rPr>
        <w:t xml:space="preserve">]. </w:t>
      </w:r>
      <w:r w:rsidR="007741EE" w:rsidRPr="007741EE">
        <w:rPr>
          <w:rFonts w:eastAsiaTheme="minorHAnsi"/>
          <w:lang w:eastAsia="en-US"/>
        </w:rPr>
        <w:t xml:space="preserve"> </w:t>
      </w:r>
    </w:p>
    <w:p w:rsidR="00607595" w:rsidRPr="00123789" w:rsidRDefault="00607595" w:rsidP="00123789">
      <w:pPr>
        <w:autoSpaceDE w:val="0"/>
        <w:autoSpaceDN w:val="0"/>
        <w:adjustRightInd w:val="0"/>
        <w:spacing w:line="360" w:lineRule="auto"/>
        <w:jc w:val="both"/>
        <w:rPr>
          <w:rFonts w:eastAsiaTheme="minorHAnsi"/>
          <w:b/>
          <w:bCs/>
          <w:lang w:eastAsia="en-US"/>
        </w:rPr>
      </w:pPr>
      <w:r w:rsidRPr="000B3E9D">
        <w:rPr>
          <w:rFonts w:eastAsiaTheme="minorHAnsi"/>
          <w:b/>
          <w:bCs/>
          <w:lang w:eastAsia="en-US"/>
        </w:rPr>
        <w:t xml:space="preserve">        </w:t>
      </w:r>
      <w:r w:rsidRPr="000B3E9D">
        <w:rPr>
          <w:rFonts w:eastAsiaTheme="minorHAnsi"/>
          <w:lang w:eastAsia="en-US"/>
        </w:rPr>
        <w:t xml:space="preserve"> La spectroscopie infrarouge s’appuie sur la modification du moment dipolaire électrique par les modes de vibration caractéristiques des groupements moléculaires du réseau vitreux.</w:t>
      </w:r>
      <w:r w:rsidR="001240A3">
        <w:rPr>
          <w:rFonts w:eastAsiaTheme="minorHAnsi"/>
          <w:lang w:eastAsia="en-US"/>
        </w:rPr>
        <w:t xml:space="preserve"> </w:t>
      </w:r>
      <w:r w:rsidRPr="000B3E9D">
        <w:rPr>
          <w:rFonts w:eastAsiaTheme="minorHAnsi"/>
          <w:lang w:eastAsia="en-US"/>
        </w:rPr>
        <w:t>Cette modification du moment dipolaire électrique entraîne alors l’absorpti</w:t>
      </w:r>
      <w:r w:rsidR="001240A3">
        <w:rPr>
          <w:rFonts w:eastAsiaTheme="minorHAnsi"/>
          <w:lang w:eastAsia="en-US"/>
        </w:rPr>
        <w:t>on des ondes électromagnétiques.</w:t>
      </w:r>
    </w:p>
    <w:p w:rsidR="000C31DF" w:rsidRPr="000B3E9D" w:rsidRDefault="0010540C" w:rsidP="0038126A">
      <w:pPr>
        <w:spacing w:line="360" w:lineRule="auto"/>
        <w:jc w:val="both"/>
      </w:pPr>
      <w:r w:rsidRPr="000B3E9D">
        <w:t xml:space="preserve">       </w:t>
      </w:r>
      <w:r w:rsidR="00AA450B">
        <w:tab/>
      </w:r>
      <w:r w:rsidRPr="000B3E9D">
        <w:t xml:space="preserve"> </w:t>
      </w:r>
      <w:r w:rsidR="000C31DF" w:rsidRPr="000B3E9D">
        <w:t>La vibration d’une liaison dans un matériau présente un maximum d’absorption à une longueur d’onde d’après l’expression :</w:t>
      </w:r>
    </w:p>
    <w:p w:rsidR="000C31DF" w:rsidRDefault="0082070D" w:rsidP="004553FE">
      <w:pPr>
        <w:pStyle w:val="Index1"/>
      </w:pPr>
      <w:r w:rsidRPr="0082070D">
        <w:rPr>
          <w:position w:val="-24"/>
        </w:rPr>
        <w:object w:dxaOrig="1380" w:dyaOrig="639">
          <v:shape id="_x0000_i1026" type="#_x0000_t75" style="width:69pt;height:32.25pt" o:ole="">
            <v:imagedata r:id="rId14" o:title=""/>
          </v:shape>
          <o:OLEObject Type="Embed" ProgID="Equation.3" ShapeID="_x0000_i1026" DrawAspect="Content" ObjectID="_1414564450" r:id="rId15"/>
        </w:object>
      </w:r>
      <w:r>
        <w:tab/>
      </w:r>
      <w:r w:rsidR="000C31DF" w:rsidRPr="000B3E9D">
        <w:t>(</w:t>
      </w:r>
      <w:r w:rsidR="004553FE">
        <w:t>II.7</w:t>
      </w:r>
      <w:r w:rsidR="000C31DF" w:rsidRPr="000B3E9D">
        <w:t>)</w:t>
      </w:r>
    </w:p>
    <w:p w:rsidR="0082070D" w:rsidRPr="0082070D" w:rsidRDefault="0082070D" w:rsidP="0082070D"/>
    <w:p w:rsidR="000C31DF" w:rsidRPr="000B3E9D" w:rsidRDefault="00C11445" w:rsidP="0038126A">
      <w:pPr>
        <w:pStyle w:val="Corpsdetexte2"/>
        <w:rPr>
          <w:szCs w:val="24"/>
        </w:rPr>
      </w:pPr>
      <w:r w:rsidRPr="000B3E9D">
        <w:rPr>
          <w:szCs w:val="24"/>
        </w:rPr>
        <w:t>Avec</w:t>
      </w:r>
      <w:r w:rsidR="000C31DF" w:rsidRPr="000B3E9D">
        <w:rPr>
          <w:szCs w:val="24"/>
        </w:rPr>
        <w:t xml:space="preserve">  c : vitesse de la lumière dans le vide </w:t>
      </w:r>
    </w:p>
    <w:p w:rsidR="000C31DF" w:rsidRPr="000B3E9D" w:rsidRDefault="000C31DF" w:rsidP="0038126A">
      <w:pPr>
        <w:pStyle w:val="Corpsdetexte2"/>
        <w:rPr>
          <w:szCs w:val="24"/>
        </w:rPr>
      </w:pPr>
      <w:r w:rsidRPr="000B3E9D">
        <w:rPr>
          <w:szCs w:val="24"/>
        </w:rPr>
        <w:tab/>
      </w:r>
      <w:r w:rsidRPr="000B3E9D">
        <w:rPr>
          <w:szCs w:val="24"/>
        </w:rPr>
        <w:sym w:font="Symbol" w:char="F06D"/>
      </w:r>
      <w:r w:rsidRPr="000B3E9D">
        <w:rPr>
          <w:szCs w:val="24"/>
        </w:rPr>
        <w:t xml:space="preserve"> : </w:t>
      </w:r>
      <w:r w:rsidR="00C11445" w:rsidRPr="000B3E9D">
        <w:rPr>
          <w:szCs w:val="24"/>
        </w:rPr>
        <w:t>Masse</w:t>
      </w:r>
      <w:r w:rsidRPr="000B3E9D">
        <w:rPr>
          <w:szCs w:val="24"/>
        </w:rPr>
        <w:t xml:space="preserve"> réduite des vibrateurs </w:t>
      </w:r>
    </w:p>
    <w:p w:rsidR="000C31DF" w:rsidRDefault="000C31DF" w:rsidP="0038126A">
      <w:pPr>
        <w:pStyle w:val="Corpsdetexte2"/>
        <w:rPr>
          <w:szCs w:val="24"/>
        </w:rPr>
      </w:pPr>
      <w:r w:rsidRPr="000B3E9D">
        <w:rPr>
          <w:szCs w:val="24"/>
        </w:rPr>
        <w:tab/>
        <w:t>f : constante de force de la liaison</w:t>
      </w:r>
    </w:p>
    <w:p w:rsidR="001240A3" w:rsidRPr="000B3E9D" w:rsidRDefault="001240A3" w:rsidP="0038126A">
      <w:pPr>
        <w:pStyle w:val="Corpsdetexte2"/>
        <w:rPr>
          <w:szCs w:val="24"/>
        </w:rPr>
      </w:pPr>
    </w:p>
    <w:p w:rsidR="00EE119B" w:rsidRDefault="00682F81" w:rsidP="0082070D">
      <w:pPr>
        <w:autoSpaceDE w:val="0"/>
        <w:autoSpaceDN w:val="0"/>
        <w:adjustRightInd w:val="0"/>
        <w:spacing w:line="360" w:lineRule="auto"/>
        <w:jc w:val="both"/>
        <w:rPr>
          <w:rFonts w:eastAsiaTheme="minorHAnsi"/>
          <w:lang w:eastAsia="en-US"/>
        </w:rPr>
      </w:pPr>
      <w:r w:rsidRPr="000B3E9D">
        <w:rPr>
          <w:rFonts w:eastAsiaTheme="minorHAnsi"/>
          <w:lang w:eastAsia="en-US"/>
        </w:rPr>
        <w:t xml:space="preserve">    </w:t>
      </w:r>
      <w:r w:rsidR="00AA450B">
        <w:rPr>
          <w:rFonts w:eastAsiaTheme="minorHAnsi"/>
          <w:lang w:eastAsia="en-US"/>
        </w:rPr>
        <w:tab/>
      </w:r>
      <w:r w:rsidRPr="000B3E9D">
        <w:rPr>
          <w:rFonts w:eastAsiaTheme="minorHAnsi"/>
          <w:lang w:eastAsia="en-US"/>
        </w:rPr>
        <w:t xml:space="preserve"> </w:t>
      </w:r>
      <w:r w:rsidR="00C51836" w:rsidRPr="000B3E9D">
        <w:rPr>
          <w:rFonts w:eastAsiaTheme="minorHAnsi"/>
          <w:lang w:eastAsia="en-US"/>
        </w:rPr>
        <w:t>Les bandes de vibration du verre sont ainsi généralement attribuées en fonction des unités</w:t>
      </w:r>
      <w:r w:rsidRPr="000B3E9D">
        <w:rPr>
          <w:rFonts w:eastAsiaTheme="minorHAnsi"/>
          <w:lang w:eastAsia="en-US"/>
        </w:rPr>
        <w:t xml:space="preserve"> </w:t>
      </w:r>
      <w:r w:rsidR="00C51836" w:rsidRPr="000B3E9D">
        <w:rPr>
          <w:rFonts w:eastAsiaTheme="minorHAnsi"/>
          <w:lang w:eastAsia="en-US"/>
        </w:rPr>
        <w:t>structurales existant dans le cristal présentant les mêmes entités. En s’appuyant sur la</w:t>
      </w:r>
      <w:r w:rsidRPr="000B3E9D">
        <w:rPr>
          <w:rFonts w:eastAsiaTheme="minorHAnsi"/>
          <w:lang w:eastAsia="en-US"/>
        </w:rPr>
        <w:t xml:space="preserve"> </w:t>
      </w:r>
      <w:r w:rsidR="00C51836" w:rsidRPr="000B3E9D">
        <w:rPr>
          <w:rFonts w:eastAsiaTheme="minorHAnsi"/>
          <w:lang w:eastAsia="en-US"/>
        </w:rPr>
        <w:t>similarité entre l’origine des modes vibrationnels dans les verres et les cristaux, le spectre IR</w:t>
      </w:r>
      <w:r w:rsidRPr="000B3E9D">
        <w:rPr>
          <w:rFonts w:eastAsiaTheme="minorHAnsi"/>
          <w:lang w:eastAsia="en-US"/>
        </w:rPr>
        <w:t xml:space="preserve"> </w:t>
      </w:r>
      <w:r w:rsidR="00C51836" w:rsidRPr="000B3E9D">
        <w:rPr>
          <w:rFonts w:eastAsiaTheme="minorHAnsi"/>
          <w:lang w:eastAsia="en-US"/>
        </w:rPr>
        <w:t>d’un verre peut être reproduit de façon</w:t>
      </w:r>
      <w:r w:rsidRPr="000B3E9D">
        <w:rPr>
          <w:rFonts w:eastAsiaTheme="minorHAnsi"/>
          <w:lang w:eastAsia="en-US"/>
        </w:rPr>
        <w:t xml:space="preserve"> satisfaisante en utilisant les </w:t>
      </w:r>
      <w:r w:rsidR="00C51836" w:rsidRPr="000B3E9D">
        <w:rPr>
          <w:rFonts w:eastAsiaTheme="minorHAnsi"/>
          <w:lang w:eastAsia="en-US"/>
        </w:rPr>
        <w:t>fréquences et les intensités</w:t>
      </w:r>
      <w:r w:rsidRPr="000B3E9D">
        <w:rPr>
          <w:rFonts w:eastAsiaTheme="minorHAnsi"/>
          <w:lang w:eastAsia="en-US"/>
        </w:rPr>
        <w:t xml:space="preserve"> </w:t>
      </w:r>
      <w:r w:rsidR="00C51836" w:rsidRPr="000B3E9D">
        <w:rPr>
          <w:rFonts w:eastAsiaTheme="minorHAnsi"/>
          <w:lang w:eastAsia="en-US"/>
        </w:rPr>
        <w:t>des bandes des cristaux. Les spectres des verres et des cristaux voisins correspondants sont</w:t>
      </w:r>
      <w:r w:rsidRPr="000B3E9D">
        <w:rPr>
          <w:rFonts w:eastAsiaTheme="minorHAnsi"/>
          <w:lang w:eastAsia="en-US"/>
        </w:rPr>
        <w:t xml:space="preserve"> généralement </w:t>
      </w:r>
      <w:r w:rsidR="00C51836" w:rsidRPr="000B3E9D">
        <w:rPr>
          <w:rFonts w:eastAsiaTheme="minorHAnsi"/>
          <w:lang w:eastAsia="en-US"/>
        </w:rPr>
        <w:t xml:space="preserve">similaires avec un élargissement </w:t>
      </w:r>
      <w:r w:rsidRPr="000B3E9D">
        <w:rPr>
          <w:rFonts w:eastAsiaTheme="minorHAnsi"/>
          <w:lang w:eastAsia="en-US"/>
        </w:rPr>
        <w:t xml:space="preserve">systématique des bandes pour le </w:t>
      </w:r>
      <w:r w:rsidR="00C51836" w:rsidRPr="000B3E9D">
        <w:rPr>
          <w:rFonts w:eastAsiaTheme="minorHAnsi"/>
          <w:lang w:eastAsia="en-US"/>
        </w:rPr>
        <w:t>système</w:t>
      </w:r>
      <w:r w:rsidRPr="000B3E9D">
        <w:rPr>
          <w:rFonts w:eastAsiaTheme="minorHAnsi"/>
          <w:lang w:eastAsia="en-US"/>
        </w:rPr>
        <w:t xml:space="preserve"> </w:t>
      </w:r>
      <w:r w:rsidR="00C51836" w:rsidRPr="000B3E9D">
        <w:rPr>
          <w:rFonts w:eastAsiaTheme="minorHAnsi"/>
          <w:lang w:eastAsia="en-US"/>
        </w:rPr>
        <w:t>vitreux</w:t>
      </w:r>
      <w:r w:rsidR="00733E23" w:rsidRPr="000B3E9D">
        <w:rPr>
          <w:rFonts w:eastAsiaTheme="minorHAnsi"/>
          <w:lang w:eastAsia="en-US"/>
        </w:rPr>
        <w:t xml:space="preserve"> </w:t>
      </w:r>
      <w:r w:rsidR="00733E23" w:rsidRPr="007741EE">
        <w:rPr>
          <w:lang w:bidi="ar-DZ"/>
        </w:rPr>
        <w:t>[</w:t>
      </w:r>
      <w:r w:rsidR="00AE0B49">
        <w:rPr>
          <w:lang w:bidi="ar-DZ"/>
        </w:rPr>
        <w:t>7</w:t>
      </w:r>
      <w:r w:rsidR="00733E23" w:rsidRPr="007741EE">
        <w:rPr>
          <w:lang w:bidi="ar-DZ"/>
        </w:rPr>
        <w:t>]</w:t>
      </w:r>
      <w:r w:rsidR="00AA450B" w:rsidRPr="007741EE">
        <w:rPr>
          <w:lang w:bidi="ar-DZ"/>
        </w:rPr>
        <w:t xml:space="preserve">. </w:t>
      </w:r>
      <w:r w:rsidR="00EE119B" w:rsidRPr="007741EE">
        <w:rPr>
          <w:rFonts w:eastAsiaTheme="minorHAnsi"/>
          <w:lang w:eastAsia="en-US"/>
        </w:rPr>
        <w:t xml:space="preserve"> </w:t>
      </w:r>
      <w:r w:rsidR="009A6969" w:rsidRPr="000B3E9D">
        <w:rPr>
          <w:rFonts w:eastAsiaTheme="minorHAnsi"/>
          <w:lang w:eastAsia="en-US"/>
        </w:rPr>
        <w:t>Habituellement, l’anal</w:t>
      </w:r>
      <w:r w:rsidRPr="000B3E9D">
        <w:rPr>
          <w:rFonts w:eastAsiaTheme="minorHAnsi"/>
          <w:lang w:eastAsia="en-US"/>
        </w:rPr>
        <w:t xml:space="preserve">yse en spectroscopie infrarouge </w:t>
      </w:r>
      <w:r w:rsidR="009A6969" w:rsidRPr="000B3E9D">
        <w:rPr>
          <w:rFonts w:eastAsiaTheme="minorHAnsi"/>
          <w:lang w:eastAsia="en-US"/>
        </w:rPr>
        <w:t>s</w:t>
      </w:r>
      <w:r w:rsidR="0082070D">
        <w:rPr>
          <w:rFonts w:eastAsiaTheme="minorHAnsi"/>
          <w:lang w:eastAsia="en-US"/>
        </w:rPr>
        <w:t xml:space="preserve">e fait en mode de </w:t>
      </w:r>
      <w:r w:rsidR="009A6969" w:rsidRPr="000B3E9D">
        <w:rPr>
          <w:rFonts w:eastAsiaTheme="minorHAnsi"/>
          <w:lang w:eastAsia="en-US"/>
        </w:rPr>
        <w:t xml:space="preserve">transmission. </w:t>
      </w:r>
    </w:p>
    <w:p w:rsidR="002B20DC" w:rsidRDefault="00AA450B" w:rsidP="0082070D">
      <w:pPr>
        <w:spacing w:line="360" w:lineRule="auto"/>
        <w:jc w:val="both"/>
      </w:pPr>
      <w:r>
        <w:t xml:space="preserve">     </w:t>
      </w:r>
      <w:r>
        <w:tab/>
      </w:r>
      <w:r w:rsidR="00EE119B" w:rsidRPr="000B3E9D">
        <w:t xml:space="preserve"> Les spectres de transmission ont été effectués à l’aide d’un spectromètre Bomem Michelson 100 dans un domaine de mesure qui s’étend de 4000 à 400 cm</w:t>
      </w:r>
      <w:r w:rsidR="00EE119B" w:rsidRPr="000B3E9D">
        <w:rPr>
          <w:vertAlign w:val="superscript"/>
        </w:rPr>
        <w:t>-1</w:t>
      </w:r>
      <w:r w:rsidR="00EE119B" w:rsidRPr="000B3E9D">
        <w:t>.</w:t>
      </w:r>
      <w:r w:rsidR="0082070D">
        <w:t xml:space="preserve"> </w:t>
      </w:r>
    </w:p>
    <w:p w:rsidR="002A305D" w:rsidRDefault="002A305D" w:rsidP="0082070D">
      <w:pPr>
        <w:spacing w:line="360" w:lineRule="auto"/>
        <w:jc w:val="both"/>
      </w:pPr>
    </w:p>
    <w:p w:rsidR="002A305D" w:rsidRDefault="002A305D" w:rsidP="0082070D">
      <w:pPr>
        <w:spacing w:line="360" w:lineRule="auto"/>
        <w:jc w:val="both"/>
        <w:rPr>
          <w:rFonts w:eastAsiaTheme="minorHAnsi"/>
          <w:lang w:eastAsia="en-US"/>
        </w:rPr>
      </w:pPr>
    </w:p>
    <w:p w:rsidR="006808EF" w:rsidRPr="000B3E9D" w:rsidRDefault="006808EF" w:rsidP="00B07517">
      <w:pPr>
        <w:autoSpaceDE w:val="0"/>
        <w:autoSpaceDN w:val="0"/>
        <w:adjustRightInd w:val="0"/>
        <w:spacing w:line="360" w:lineRule="auto"/>
        <w:jc w:val="both"/>
      </w:pPr>
    </w:p>
    <w:p w:rsidR="00A267CD" w:rsidRDefault="00A267CD" w:rsidP="002A305D">
      <w:pPr>
        <w:autoSpaceDE w:val="0"/>
        <w:autoSpaceDN w:val="0"/>
        <w:adjustRightInd w:val="0"/>
        <w:spacing w:line="360" w:lineRule="auto"/>
        <w:jc w:val="both"/>
        <w:rPr>
          <w:b/>
          <w:bCs/>
        </w:rPr>
      </w:pPr>
      <w:r w:rsidRPr="000B3E9D">
        <w:rPr>
          <w:b/>
          <w:bCs/>
        </w:rPr>
        <w:lastRenderedPageBreak/>
        <w:t>II.2</w:t>
      </w:r>
      <w:r w:rsidR="00F2094C" w:rsidRPr="000B3E9D">
        <w:rPr>
          <w:b/>
          <w:bCs/>
        </w:rPr>
        <w:t>-</w:t>
      </w:r>
      <w:r w:rsidR="005E09A3">
        <w:rPr>
          <w:b/>
          <w:bCs/>
        </w:rPr>
        <w:t>5</w:t>
      </w:r>
      <w:r w:rsidRPr="000B3E9D">
        <w:rPr>
          <w:b/>
          <w:bCs/>
        </w:rPr>
        <w:t xml:space="preserve"> Spectr</w:t>
      </w:r>
      <w:r w:rsidR="002A305D">
        <w:rPr>
          <w:b/>
          <w:bCs/>
        </w:rPr>
        <w:t>oscopie dans l’UV-Vis</w:t>
      </w:r>
    </w:p>
    <w:p w:rsidR="008333F8" w:rsidRDefault="008333F8" w:rsidP="002A305D">
      <w:pPr>
        <w:autoSpaceDE w:val="0"/>
        <w:autoSpaceDN w:val="0"/>
        <w:adjustRightInd w:val="0"/>
        <w:spacing w:line="360" w:lineRule="auto"/>
        <w:jc w:val="both"/>
        <w:rPr>
          <w:b/>
          <w:bCs/>
        </w:rPr>
      </w:pPr>
    </w:p>
    <w:p w:rsidR="005C410D" w:rsidRPr="000B3E9D" w:rsidRDefault="0038126A" w:rsidP="002A305D">
      <w:pPr>
        <w:autoSpaceDE w:val="0"/>
        <w:autoSpaceDN w:val="0"/>
        <w:adjustRightInd w:val="0"/>
        <w:spacing w:line="360" w:lineRule="auto"/>
        <w:jc w:val="both"/>
        <w:rPr>
          <w:rFonts w:eastAsiaTheme="minorHAnsi"/>
          <w:lang w:eastAsia="en-US"/>
        </w:rPr>
      </w:pPr>
      <w:r w:rsidRPr="000B3E9D">
        <w:rPr>
          <w:rFonts w:eastAsiaTheme="minorHAnsi"/>
          <w:lang w:eastAsia="en-US"/>
        </w:rPr>
        <w:t xml:space="preserve">        </w:t>
      </w:r>
      <w:r w:rsidR="00AA450B">
        <w:rPr>
          <w:rFonts w:eastAsiaTheme="minorHAnsi"/>
          <w:lang w:eastAsia="en-US"/>
        </w:rPr>
        <w:tab/>
      </w:r>
      <w:r w:rsidRPr="000B3E9D">
        <w:rPr>
          <w:rFonts w:eastAsiaTheme="minorHAnsi"/>
          <w:lang w:eastAsia="en-US"/>
        </w:rPr>
        <w:t xml:space="preserve"> </w:t>
      </w:r>
      <w:r w:rsidR="008732E4" w:rsidRPr="000B3E9D">
        <w:rPr>
          <w:rFonts w:eastAsiaTheme="minorHAnsi"/>
          <w:lang w:eastAsia="en-US"/>
        </w:rPr>
        <w:t>Les spectres d’absorption o</w:t>
      </w:r>
      <w:r w:rsidR="00A267CD" w:rsidRPr="000B3E9D">
        <w:rPr>
          <w:rFonts w:eastAsiaTheme="minorHAnsi"/>
          <w:lang w:eastAsia="en-US"/>
        </w:rPr>
        <w:t xml:space="preserve">ptique ont été enregistres a l’aide d’un spectrophotomètre </w:t>
      </w:r>
      <w:r w:rsidR="002A305D">
        <w:rPr>
          <w:rFonts w:eastAsiaTheme="minorHAnsi"/>
          <w:lang w:eastAsia="en-US"/>
        </w:rPr>
        <w:t xml:space="preserve">à </w:t>
      </w:r>
      <w:r w:rsidR="00A267CD" w:rsidRPr="000B3E9D">
        <w:rPr>
          <w:rFonts w:eastAsiaTheme="minorHAnsi"/>
          <w:lang w:eastAsia="en-US"/>
        </w:rPr>
        <w:t>double faisceau CARY 5 et du logiciel CARY Win UV</w:t>
      </w:r>
      <w:r w:rsidR="008732E4" w:rsidRPr="000B3E9D">
        <w:t xml:space="preserve"> opérant entre 200 nm et 3000 nm</w:t>
      </w:r>
      <w:r w:rsidR="000D4B28" w:rsidRPr="000B3E9D">
        <w:t> ‘</w:t>
      </w:r>
    </w:p>
    <w:p w:rsidR="00C97582" w:rsidRPr="000B3E9D" w:rsidRDefault="00C97582" w:rsidP="00C97582">
      <w:pPr>
        <w:spacing w:line="360" w:lineRule="auto"/>
        <w:rPr>
          <w:b/>
          <w:bCs/>
        </w:rPr>
      </w:pPr>
    </w:p>
    <w:p w:rsidR="000D4B28" w:rsidRPr="000B3E9D" w:rsidRDefault="000D4B28" w:rsidP="00C97582">
      <w:pPr>
        <w:spacing w:line="360" w:lineRule="auto"/>
        <w:rPr>
          <w:b/>
          <w:bCs/>
        </w:rPr>
      </w:pPr>
      <w:r w:rsidRPr="000B3E9D">
        <w:rPr>
          <w:b/>
          <w:bCs/>
          <w:noProof/>
        </w:rPr>
        <w:drawing>
          <wp:anchor distT="0" distB="0" distL="114300" distR="114300" simplePos="0" relativeHeight="251663360" behindDoc="0" locked="0" layoutInCell="1" allowOverlap="1">
            <wp:simplePos x="0" y="0"/>
            <wp:positionH relativeFrom="column">
              <wp:posOffset>1080135</wp:posOffset>
            </wp:positionH>
            <wp:positionV relativeFrom="paragraph">
              <wp:align>top</wp:align>
            </wp:positionV>
            <wp:extent cx="3419475" cy="2847975"/>
            <wp:effectExtent l="19050" t="0" r="9525" b="0"/>
            <wp:wrapSquare wrapText="bothSides"/>
            <wp:docPr id="6" name="Image 6" descr="IMG_0091"/>
            <wp:cNvGraphicFramePr/>
            <a:graphic xmlns:a="http://schemas.openxmlformats.org/drawingml/2006/main">
              <a:graphicData uri="http://schemas.openxmlformats.org/drawingml/2006/picture">
                <pic:pic xmlns:pic="http://schemas.openxmlformats.org/drawingml/2006/picture">
                  <pic:nvPicPr>
                    <pic:cNvPr id="8194" name="Picture 2" descr="IMG_0091"/>
                    <pic:cNvPicPr>
                      <a:picLocks noChangeAspect="1" noChangeArrowheads="1"/>
                    </pic:cNvPicPr>
                  </pic:nvPicPr>
                  <pic:blipFill>
                    <a:blip r:embed="rId16"/>
                    <a:srcRect/>
                    <a:stretch>
                      <a:fillRect/>
                    </a:stretch>
                  </pic:blipFill>
                  <pic:spPr bwMode="auto">
                    <a:xfrm>
                      <a:off x="0" y="0"/>
                      <a:ext cx="3419475" cy="2847975"/>
                    </a:xfrm>
                    <a:prstGeom prst="rect">
                      <a:avLst/>
                    </a:prstGeom>
                    <a:noFill/>
                    <a:ln w="9525">
                      <a:noFill/>
                      <a:miter lim="800000"/>
                      <a:headEnd/>
                      <a:tailEnd/>
                    </a:ln>
                  </pic:spPr>
                </pic:pic>
              </a:graphicData>
            </a:graphic>
          </wp:anchor>
        </w:drawing>
      </w:r>
      <w:r w:rsidR="00C97582" w:rsidRPr="000B3E9D">
        <w:rPr>
          <w:b/>
          <w:bCs/>
        </w:rPr>
        <w:br w:type="textWrapping" w:clear="all"/>
      </w:r>
    </w:p>
    <w:p w:rsidR="000D4B28" w:rsidRPr="000B3E9D" w:rsidRDefault="000D4B28" w:rsidP="000D4B28">
      <w:pPr>
        <w:spacing w:line="360" w:lineRule="auto"/>
        <w:jc w:val="center"/>
      </w:pPr>
      <w:r w:rsidRPr="000B3E9D">
        <w:rPr>
          <w:b/>
          <w:bCs/>
        </w:rPr>
        <w:t>Figure II.12</w:t>
      </w:r>
      <w:r w:rsidR="008333F8">
        <w:rPr>
          <w:b/>
          <w:bCs/>
        </w:rPr>
        <w:t> :</w:t>
      </w:r>
      <w:r w:rsidRPr="000B3E9D">
        <w:rPr>
          <w:b/>
          <w:bCs/>
        </w:rPr>
        <w:t xml:space="preserve"> </w:t>
      </w:r>
      <w:r w:rsidRPr="000B3E9D">
        <w:t>Spectrophotomètre  UV-V-NIR Carry 5</w:t>
      </w:r>
    </w:p>
    <w:p w:rsidR="00FE4F8C" w:rsidRPr="000B3E9D" w:rsidRDefault="00FE4F8C" w:rsidP="004660E7">
      <w:pPr>
        <w:tabs>
          <w:tab w:val="left" w:pos="567"/>
        </w:tabs>
        <w:spacing w:before="120" w:after="120" w:line="360" w:lineRule="auto"/>
        <w:ind w:firstLine="720"/>
        <w:jc w:val="lowKashida"/>
      </w:pPr>
    </w:p>
    <w:p w:rsidR="00FE4F8C" w:rsidRDefault="006808EF" w:rsidP="00396374">
      <w:pPr>
        <w:tabs>
          <w:tab w:val="left" w:pos="567"/>
        </w:tabs>
        <w:spacing w:before="120" w:after="120" w:line="360" w:lineRule="auto"/>
        <w:jc w:val="both"/>
        <w:rPr>
          <w:lang w:bidi="ar-DZ"/>
        </w:rPr>
      </w:pPr>
      <w:r>
        <w:tab/>
      </w:r>
      <w:r w:rsidR="00DA13D1" w:rsidRPr="000B3E9D">
        <w:t xml:space="preserve">Dan la plupart </w:t>
      </w:r>
      <w:r w:rsidR="002A305D">
        <w:t xml:space="preserve">des cas, les </w:t>
      </w:r>
      <w:r w:rsidR="00FE4F8C" w:rsidRPr="000B3E9D">
        <w:t xml:space="preserve">spectrophotomètres sont conçus pour être utilisés </w:t>
      </w:r>
      <w:r w:rsidR="002A305D">
        <w:t>san</w:t>
      </w:r>
      <w:r w:rsidR="00FE4F8C" w:rsidRPr="000B3E9D">
        <w:t>s a</w:t>
      </w:r>
      <w:r w:rsidR="008E4550" w:rsidRPr="000B3E9D">
        <w:t xml:space="preserve">ucune connaissance particulière </w:t>
      </w:r>
      <w:r w:rsidR="00FE4F8C" w:rsidRPr="000B3E9D">
        <w:t xml:space="preserve">ou de </w:t>
      </w:r>
      <w:r w:rsidR="00711FDC" w:rsidRPr="000B3E9D">
        <w:t>formation, L’échantillon</w:t>
      </w:r>
      <w:r w:rsidR="00FA2338" w:rsidRPr="000B3E9D">
        <w:t xml:space="preserve"> préparé se présente sous forme d’un verre</w:t>
      </w:r>
      <w:r w:rsidR="00097FCC" w:rsidRPr="000B3E9D">
        <w:t xml:space="preserve"> p</w:t>
      </w:r>
      <w:r w:rsidR="002A305D">
        <w:t>l</w:t>
      </w:r>
      <w:r w:rsidR="00097FCC" w:rsidRPr="000B3E9D">
        <w:t xml:space="preserve">at </w:t>
      </w:r>
      <w:r w:rsidR="00FA2338" w:rsidRPr="000B3E9D">
        <w:t xml:space="preserve"> </w:t>
      </w:r>
      <w:r w:rsidR="00732268" w:rsidRPr="000B3E9D">
        <w:t>poli,</w:t>
      </w:r>
      <w:r w:rsidR="00FE4F8C" w:rsidRPr="000B3E9D">
        <w:t xml:space="preserve"> </w:t>
      </w:r>
      <w:r w:rsidR="00835611" w:rsidRPr="000B3E9D">
        <w:t>d'épaisseur 1-2mm</w:t>
      </w:r>
      <w:r w:rsidR="00BC04D0" w:rsidRPr="000B3E9D">
        <w:t xml:space="preserve"> </w:t>
      </w:r>
      <w:r w:rsidR="00BC04D0" w:rsidRPr="006808EF">
        <w:rPr>
          <w:lang w:bidi="ar-DZ"/>
        </w:rPr>
        <w:t>[</w:t>
      </w:r>
      <w:r w:rsidR="00396374">
        <w:rPr>
          <w:lang w:bidi="ar-DZ"/>
        </w:rPr>
        <w:t>8</w:t>
      </w:r>
      <w:r w:rsidR="00BC04D0" w:rsidRPr="006808EF">
        <w:rPr>
          <w:lang w:bidi="ar-DZ"/>
        </w:rPr>
        <w:t>].</w:t>
      </w:r>
    </w:p>
    <w:p w:rsidR="00A267CD" w:rsidRDefault="00770B86" w:rsidP="00396374">
      <w:pPr>
        <w:autoSpaceDE w:val="0"/>
        <w:autoSpaceDN w:val="0"/>
        <w:adjustRightInd w:val="0"/>
        <w:spacing w:line="360" w:lineRule="auto"/>
        <w:jc w:val="both"/>
      </w:pPr>
      <w:r w:rsidRPr="000B3E9D">
        <w:t xml:space="preserve">         </w:t>
      </w:r>
      <w:r w:rsidR="00DA13D1" w:rsidRPr="000B3E9D">
        <w:t xml:space="preserve"> </w:t>
      </w:r>
      <w:r w:rsidR="00C97582" w:rsidRPr="000B3E9D">
        <w:rPr>
          <w:rFonts w:eastAsiaTheme="minorHAnsi"/>
          <w:lang w:eastAsia="en-US"/>
        </w:rPr>
        <w:t>L’expérience consiste à mesurer le coefficient</w:t>
      </w:r>
      <w:r w:rsidRPr="000B3E9D">
        <w:rPr>
          <w:rFonts w:eastAsiaTheme="minorHAnsi"/>
          <w:lang w:eastAsia="en-US"/>
        </w:rPr>
        <w:t xml:space="preserve"> </w:t>
      </w:r>
      <w:r w:rsidR="00C97582" w:rsidRPr="000B3E9D">
        <w:rPr>
          <w:rFonts w:eastAsiaTheme="minorHAnsi"/>
          <w:lang w:eastAsia="en-US"/>
        </w:rPr>
        <w:t xml:space="preserve">d’absorption en fonction de la longueur d’onde lorsqu’un faisceau de rayons </w:t>
      </w:r>
      <w:r w:rsidR="002A305D">
        <w:rPr>
          <w:rFonts w:eastAsiaTheme="minorHAnsi"/>
          <w:lang w:eastAsia="en-US"/>
        </w:rPr>
        <w:t xml:space="preserve">lumineux </w:t>
      </w:r>
      <w:r w:rsidR="00C97582" w:rsidRPr="000B3E9D">
        <w:rPr>
          <w:rFonts w:eastAsiaTheme="minorHAnsi"/>
          <w:lang w:eastAsia="en-US"/>
        </w:rPr>
        <w:t>monochromatique</w:t>
      </w:r>
      <w:r w:rsidRPr="000B3E9D">
        <w:rPr>
          <w:rFonts w:eastAsiaTheme="minorHAnsi"/>
          <w:lang w:eastAsia="en-US"/>
        </w:rPr>
        <w:t xml:space="preserve"> </w:t>
      </w:r>
      <w:r w:rsidR="00C97582" w:rsidRPr="000B3E9D">
        <w:rPr>
          <w:rFonts w:eastAsiaTheme="minorHAnsi"/>
          <w:lang w:eastAsia="en-US"/>
        </w:rPr>
        <w:t>d’intensité I</w:t>
      </w:r>
      <w:r w:rsidR="00C97582" w:rsidRPr="002A305D">
        <w:rPr>
          <w:rFonts w:eastAsiaTheme="minorHAnsi"/>
          <w:vertAlign w:val="subscript"/>
          <w:lang w:eastAsia="en-US"/>
        </w:rPr>
        <w:t>0</w:t>
      </w:r>
      <w:r w:rsidR="00C97582" w:rsidRPr="000B3E9D">
        <w:rPr>
          <w:rFonts w:eastAsiaTheme="minorHAnsi"/>
          <w:lang w:eastAsia="en-US"/>
        </w:rPr>
        <w:t xml:space="preserve"> traverse le matériau étudié</w:t>
      </w:r>
      <w:r w:rsidR="00DA13D1" w:rsidRPr="000B3E9D">
        <w:t xml:space="preserve">  </w:t>
      </w:r>
      <w:r w:rsidR="00097FCC" w:rsidRPr="006808EF">
        <w:rPr>
          <w:lang w:bidi="ar-DZ"/>
        </w:rPr>
        <w:t>[</w:t>
      </w:r>
      <w:r w:rsidR="00396374">
        <w:rPr>
          <w:lang w:bidi="ar-DZ"/>
        </w:rPr>
        <w:t>9</w:t>
      </w:r>
      <w:r w:rsidR="00097FCC" w:rsidRPr="006808EF">
        <w:rPr>
          <w:lang w:bidi="ar-DZ"/>
        </w:rPr>
        <w:t>].</w:t>
      </w:r>
      <w:r w:rsidR="001240A3">
        <w:t xml:space="preserve"> </w:t>
      </w:r>
      <w:r w:rsidR="00DA13D1" w:rsidRPr="000B3E9D">
        <w:t xml:space="preserve"> </w:t>
      </w:r>
      <w:r w:rsidR="00AE0B49">
        <w:t>L’énergie</w:t>
      </w:r>
      <w:r w:rsidR="004660E7" w:rsidRPr="000B3E9D">
        <w:t xml:space="preserve"> de la plus petite longueur d’onde que le verre transmet, correspond un gap d’énergie entre la bande de conduction et la bande de valence de la matrice vitreuse.</w:t>
      </w:r>
      <w:r w:rsidR="00AA450B">
        <w:t xml:space="preserve"> </w:t>
      </w:r>
      <w:r w:rsidR="004660E7" w:rsidRPr="000B3E9D">
        <w:t xml:space="preserve"> Pour les  petites  longueurs d’onde, l’énergie de la radiation sera plus grandes donc le verre n’est alors plus transparent [</w:t>
      </w:r>
      <w:r w:rsidR="00AE0B49">
        <w:t>1</w:t>
      </w:r>
      <w:r w:rsidR="00396374">
        <w:t>0</w:t>
      </w:r>
      <w:r w:rsidR="001240A3">
        <w:t xml:space="preserve">]. </w:t>
      </w:r>
      <w:r w:rsidR="00C85A99" w:rsidRPr="000B3E9D">
        <w:t xml:space="preserve">Pour déterminer la valeur de l’énergie de </w:t>
      </w:r>
      <w:r w:rsidR="002A305D">
        <w:t xml:space="preserve">la </w:t>
      </w:r>
      <w:r w:rsidR="00C85A99" w:rsidRPr="000B3E9D">
        <w:t>b</w:t>
      </w:r>
      <w:r w:rsidR="002A305D">
        <w:t>a</w:t>
      </w:r>
      <w:r w:rsidR="00C85A99" w:rsidRPr="000B3E9D">
        <w:t>nde interdit</w:t>
      </w:r>
      <w:r w:rsidR="002A305D">
        <w:t>e</w:t>
      </w:r>
      <w:r w:rsidR="00C85A99" w:rsidRPr="000B3E9D">
        <w:t xml:space="preserve"> il suffit d’appliqu</w:t>
      </w:r>
      <w:r w:rsidR="002A305D">
        <w:t>er</w:t>
      </w:r>
      <w:r w:rsidR="00C85A99" w:rsidRPr="000B3E9D">
        <w:t xml:space="preserve"> la formule :</w:t>
      </w:r>
    </w:p>
    <w:p w:rsidR="002A305D" w:rsidRPr="001240A3" w:rsidRDefault="002A305D" w:rsidP="002A305D">
      <w:pPr>
        <w:autoSpaceDE w:val="0"/>
        <w:autoSpaceDN w:val="0"/>
        <w:adjustRightInd w:val="0"/>
        <w:spacing w:line="360" w:lineRule="auto"/>
        <w:jc w:val="both"/>
        <w:rPr>
          <w:rFonts w:eastAsiaTheme="minorHAnsi"/>
          <w:lang w:eastAsia="en-US"/>
        </w:rPr>
      </w:pPr>
    </w:p>
    <w:p w:rsidR="00143F13" w:rsidRPr="00C80B86" w:rsidRDefault="00143F13" w:rsidP="00143F13">
      <w:pPr>
        <w:spacing w:line="360" w:lineRule="auto"/>
        <w:rPr>
          <w:rFonts w:asciiTheme="majorBidi" w:eastAsiaTheme="minorHAnsi" w:hAnsiTheme="majorBidi" w:cstheme="majorBidi"/>
          <w:lang w:eastAsia="en-US"/>
        </w:rPr>
      </w:pPr>
      <w:r w:rsidRPr="000B3E9D">
        <w:rPr>
          <w:sz w:val="32"/>
          <w:szCs w:val="32"/>
        </w:rPr>
        <w:t xml:space="preserve">                                 </w:t>
      </w:r>
      <w:r w:rsidRPr="004553FE">
        <w:t xml:space="preserve">    </w:t>
      </w:r>
      <w:r w:rsidR="003D3E05" w:rsidRPr="004553FE">
        <w:t>E</w:t>
      </w:r>
      <w:r w:rsidRPr="004553FE">
        <w:rPr>
          <w:position w:val="-8"/>
          <w:vertAlign w:val="subscript"/>
        </w:rPr>
        <w:t>g</w:t>
      </w:r>
      <w:r w:rsidR="003D3E05" w:rsidRPr="004553FE">
        <w:t>= hc / λ</w:t>
      </w:r>
      <w:r w:rsidR="004553FE" w:rsidRPr="004553FE">
        <w:t xml:space="preserve">                                         </w:t>
      </w:r>
      <w:r w:rsidR="004553FE">
        <w:t xml:space="preserve">                       </w:t>
      </w:r>
      <w:r w:rsidR="004553FE" w:rsidRPr="004553FE">
        <w:t xml:space="preserve"> (II.8)</w:t>
      </w:r>
    </w:p>
    <w:p w:rsidR="00DA13D1" w:rsidRPr="000B3E9D" w:rsidRDefault="00DA13D1" w:rsidP="00DA13D1"/>
    <w:p w:rsidR="002A305D" w:rsidRDefault="00DA13D1" w:rsidP="002A305D">
      <w:pPr>
        <w:jc w:val="both"/>
      </w:pPr>
      <w:r w:rsidRPr="000B3E9D">
        <w:t xml:space="preserve"> E</w:t>
      </w:r>
      <w:r w:rsidRPr="000B3E9D">
        <w:rPr>
          <w:position w:val="-8"/>
          <w:vertAlign w:val="subscript"/>
        </w:rPr>
        <w:t>g </w:t>
      </w:r>
      <w:r w:rsidR="002A305D">
        <w:t xml:space="preserve"> l’énergie du gap, </w:t>
      </w:r>
    </w:p>
    <w:p w:rsidR="00DA13D1" w:rsidRPr="000B3E9D" w:rsidRDefault="002A305D" w:rsidP="002A305D">
      <w:pPr>
        <w:jc w:val="both"/>
      </w:pPr>
      <w:r>
        <w:t>h=</w:t>
      </w:r>
      <w:r w:rsidR="00DA13D1" w:rsidRPr="002A305D">
        <w:t>6.62*10</w:t>
      </w:r>
      <w:r w:rsidR="00DA13D1" w:rsidRPr="002A305D">
        <w:rPr>
          <w:position w:val="8"/>
        </w:rPr>
        <w:t xml:space="preserve">-34  </w:t>
      </w:r>
      <w:r w:rsidR="00DA13D1" w:rsidRPr="002A305D">
        <w:t xml:space="preserve">j.s : </w:t>
      </w:r>
      <w:r>
        <w:t>C</w:t>
      </w:r>
      <w:r w:rsidR="00DA13D1" w:rsidRPr="002A305D">
        <w:t>onstante de Plank.</w:t>
      </w:r>
    </w:p>
    <w:p w:rsidR="00DE6557" w:rsidRPr="000B3E9D" w:rsidRDefault="00DE6557" w:rsidP="0038126A">
      <w:pPr>
        <w:jc w:val="both"/>
      </w:pPr>
    </w:p>
    <w:p w:rsidR="00DE6557" w:rsidRPr="000B3E9D" w:rsidRDefault="00DE6557" w:rsidP="0038126A">
      <w:pPr>
        <w:jc w:val="both"/>
      </w:pPr>
      <w:r w:rsidRPr="000B3E9D">
        <w:t>C= 3*10</w:t>
      </w:r>
      <w:r w:rsidRPr="000B3E9D">
        <w:rPr>
          <w:position w:val="8"/>
          <w:vertAlign w:val="superscript"/>
        </w:rPr>
        <w:t>8</w:t>
      </w:r>
      <w:r w:rsidRPr="000B3E9D">
        <w:t>m.s</w:t>
      </w:r>
      <w:r w:rsidRPr="000B3E9D">
        <w:rPr>
          <w:position w:val="8"/>
          <w:vertAlign w:val="superscript"/>
        </w:rPr>
        <w:t>-1</w:t>
      </w:r>
      <w:r w:rsidRPr="000B3E9D">
        <w:t>: vitesse de la lumière le visible.</w:t>
      </w:r>
    </w:p>
    <w:p w:rsidR="00DE6557" w:rsidRPr="000B3E9D" w:rsidRDefault="00DE6557" w:rsidP="0038126A">
      <w:pPr>
        <w:jc w:val="both"/>
      </w:pPr>
    </w:p>
    <w:p w:rsidR="00F2094C" w:rsidRDefault="00DE6557" w:rsidP="0038126A">
      <w:pPr>
        <w:pStyle w:val="Normal6"/>
        <w:spacing w:line="360" w:lineRule="auto"/>
        <w:jc w:val="both"/>
        <w:rPr>
          <w:b/>
          <w:bCs/>
        </w:rPr>
      </w:pPr>
      <w:r w:rsidRPr="000B3E9D">
        <w:t xml:space="preserve"> λ : longueur d’onde de la radiation électromagnétique exprimée en mètre.</w:t>
      </w:r>
      <w:r w:rsidR="00F2094C" w:rsidRPr="000B3E9D">
        <w:rPr>
          <w:b/>
          <w:bCs/>
        </w:rPr>
        <w:t xml:space="preserve"> </w:t>
      </w:r>
    </w:p>
    <w:p w:rsidR="001240A3" w:rsidRPr="001240A3" w:rsidRDefault="001240A3" w:rsidP="001240A3">
      <w:pPr>
        <w:pStyle w:val="Default"/>
        <w:rPr>
          <w:lang w:eastAsia="en-US"/>
        </w:rPr>
      </w:pPr>
    </w:p>
    <w:p w:rsidR="006808EF" w:rsidRPr="006808EF" w:rsidRDefault="006808EF" w:rsidP="006808EF">
      <w:pPr>
        <w:pStyle w:val="Default"/>
        <w:rPr>
          <w:lang w:eastAsia="en-US"/>
        </w:rPr>
      </w:pPr>
    </w:p>
    <w:p w:rsidR="008333F8" w:rsidRDefault="00F2094C" w:rsidP="002A305D">
      <w:pPr>
        <w:pStyle w:val="Normal6"/>
        <w:spacing w:line="360" w:lineRule="auto"/>
        <w:jc w:val="both"/>
        <w:rPr>
          <w:b/>
          <w:bCs/>
        </w:rPr>
      </w:pPr>
      <w:r w:rsidRPr="000B3E9D">
        <w:rPr>
          <w:b/>
          <w:bCs/>
        </w:rPr>
        <w:t>II-2.</w:t>
      </w:r>
      <w:r w:rsidR="005E09A3">
        <w:rPr>
          <w:b/>
          <w:bCs/>
        </w:rPr>
        <w:t>6</w:t>
      </w:r>
      <w:r w:rsidRPr="000B3E9D">
        <w:rPr>
          <w:b/>
          <w:bCs/>
        </w:rPr>
        <w:t xml:space="preserve"> </w:t>
      </w:r>
      <w:r w:rsidR="002A305D">
        <w:rPr>
          <w:b/>
          <w:bCs/>
        </w:rPr>
        <w:t>M</w:t>
      </w:r>
      <w:r w:rsidRPr="000B3E9D">
        <w:rPr>
          <w:b/>
          <w:bCs/>
        </w:rPr>
        <w:t>esure</w:t>
      </w:r>
      <w:r w:rsidR="002A305D">
        <w:rPr>
          <w:b/>
          <w:bCs/>
        </w:rPr>
        <w:t xml:space="preserve"> des modules élastiques</w:t>
      </w:r>
      <w:r w:rsidRPr="000B3E9D">
        <w:rPr>
          <w:b/>
          <w:bCs/>
        </w:rPr>
        <w:t xml:space="preserve"> </w:t>
      </w:r>
    </w:p>
    <w:p w:rsidR="001240A3" w:rsidRDefault="00F2094C" w:rsidP="002A305D">
      <w:pPr>
        <w:pStyle w:val="Normal6"/>
        <w:spacing w:line="360" w:lineRule="auto"/>
        <w:jc w:val="both"/>
      </w:pPr>
      <w:r w:rsidRPr="000B3E9D">
        <w:t xml:space="preserve">  </w:t>
      </w:r>
    </w:p>
    <w:p w:rsidR="00271E85" w:rsidRPr="00AF741A" w:rsidRDefault="00F2094C" w:rsidP="00271E85">
      <w:pPr>
        <w:widowControl w:val="0"/>
        <w:overflowPunct w:val="0"/>
        <w:autoSpaceDE w:val="0"/>
        <w:autoSpaceDN w:val="0"/>
        <w:adjustRightInd w:val="0"/>
        <w:spacing w:line="360" w:lineRule="auto"/>
        <w:jc w:val="both"/>
        <w:rPr>
          <w:rFonts w:asciiTheme="majorBidi" w:hAnsiTheme="majorBidi" w:cstheme="majorBidi"/>
          <w:kern w:val="28"/>
        </w:rPr>
      </w:pPr>
      <w:r w:rsidRPr="000B3E9D">
        <w:t xml:space="preserve">      </w:t>
      </w:r>
      <w:r w:rsidR="00271E85">
        <w:rPr>
          <w:rFonts w:asciiTheme="majorBidi" w:hAnsiTheme="majorBidi" w:cstheme="majorBidi"/>
          <w:iCs/>
          <w:lang w:bidi="ar-DZ"/>
        </w:rPr>
        <w:t xml:space="preserve">    </w:t>
      </w:r>
      <w:r w:rsidR="00271E85" w:rsidRPr="009572BB">
        <w:rPr>
          <w:rFonts w:asciiTheme="majorBidi" w:hAnsiTheme="majorBidi" w:cstheme="majorBidi"/>
          <w:iCs/>
          <w:lang w:bidi="ar-DZ"/>
        </w:rPr>
        <w:t>On a procédé à la mesure des propriétés élastiques par échographie ultrasonore</w:t>
      </w:r>
      <w:r w:rsidR="00271E85">
        <w:rPr>
          <w:rFonts w:asciiTheme="majorBidi" w:hAnsiTheme="majorBidi" w:cstheme="majorBidi"/>
          <w:iCs/>
          <w:lang w:bidi="ar-DZ"/>
        </w:rPr>
        <w:t xml:space="preserve"> en utilisant un montage dit : Pulse-echo</w:t>
      </w:r>
      <w:r w:rsidR="00271E85" w:rsidRPr="009572BB">
        <w:rPr>
          <w:rFonts w:asciiTheme="majorBidi" w:hAnsiTheme="majorBidi" w:cstheme="majorBidi"/>
          <w:iCs/>
          <w:lang w:bidi="ar-DZ"/>
        </w:rPr>
        <w:t xml:space="preserve">. Cette technique est basée sur la mesure des vitesses de propagation </w:t>
      </w:r>
      <w:r w:rsidR="00271E85">
        <w:rPr>
          <w:rFonts w:asciiTheme="majorBidi" w:hAnsiTheme="majorBidi" w:cstheme="majorBidi"/>
          <w:iCs/>
          <w:lang w:bidi="ar-DZ"/>
        </w:rPr>
        <w:t xml:space="preserve">longitudinale </w:t>
      </w:r>
      <w:r w:rsidR="00271E85" w:rsidRPr="009572BB">
        <w:rPr>
          <w:rFonts w:asciiTheme="majorBidi" w:hAnsiTheme="majorBidi" w:cstheme="majorBidi"/>
          <w:iCs/>
          <w:lang w:bidi="ar-DZ"/>
        </w:rPr>
        <w:t>V</w:t>
      </w:r>
      <w:r w:rsidR="00271E85" w:rsidRPr="009572BB">
        <w:rPr>
          <w:rFonts w:asciiTheme="majorBidi" w:hAnsiTheme="majorBidi" w:cstheme="majorBidi"/>
          <w:iCs/>
          <w:vertAlign w:val="subscript"/>
          <w:lang w:bidi="ar-DZ"/>
        </w:rPr>
        <w:t>L</w:t>
      </w:r>
      <w:r w:rsidR="00271E85" w:rsidRPr="009572BB">
        <w:rPr>
          <w:rFonts w:asciiTheme="majorBidi" w:hAnsiTheme="majorBidi" w:cstheme="majorBidi"/>
          <w:iCs/>
          <w:lang w:bidi="ar-DZ"/>
        </w:rPr>
        <w:t xml:space="preserve"> et transversale V</w:t>
      </w:r>
      <w:r w:rsidR="00271E85" w:rsidRPr="009572BB">
        <w:rPr>
          <w:rFonts w:asciiTheme="majorBidi" w:hAnsiTheme="majorBidi" w:cstheme="majorBidi"/>
          <w:iCs/>
          <w:vertAlign w:val="subscript"/>
          <w:lang w:bidi="ar-DZ"/>
        </w:rPr>
        <w:t xml:space="preserve">T  </w:t>
      </w:r>
      <w:r w:rsidR="00271E85" w:rsidRPr="009572BB">
        <w:rPr>
          <w:rFonts w:asciiTheme="majorBidi" w:hAnsiTheme="majorBidi" w:cstheme="majorBidi"/>
          <w:iCs/>
          <w:lang w:bidi="ar-DZ"/>
        </w:rPr>
        <w:t>d'une onde ultrasonore dans le matériau étudié.</w:t>
      </w:r>
      <w:r w:rsidR="00271E85" w:rsidRPr="000055C3">
        <w:rPr>
          <w:rFonts w:asciiTheme="majorBidi" w:hAnsiTheme="majorBidi" w:cstheme="majorBidi"/>
          <w:kern w:val="28"/>
        </w:rPr>
        <w:t xml:space="preserve"> </w:t>
      </w:r>
      <w:r w:rsidR="00271E85" w:rsidRPr="009572BB">
        <w:rPr>
          <w:rFonts w:asciiTheme="majorBidi" w:hAnsiTheme="majorBidi" w:cstheme="majorBidi"/>
          <w:kern w:val="28"/>
        </w:rPr>
        <w:t>Les ondes ultrasonores sont des vibrations mécaniques de fréquence situées</w:t>
      </w:r>
      <w:r w:rsidR="00271E85" w:rsidRPr="0039077B">
        <w:rPr>
          <w:rFonts w:asciiTheme="majorBidi" w:hAnsiTheme="majorBidi" w:cstheme="majorBidi"/>
          <w:kern w:val="28"/>
          <w:sz w:val="28"/>
          <w:szCs w:val="28"/>
        </w:rPr>
        <w:t xml:space="preserve"> </w:t>
      </w:r>
      <w:r w:rsidR="00271E85" w:rsidRPr="000F4054">
        <w:rPr>
          <w:rFonts w:asciiTheme="majorBidi" w:hAnsiTheme="majorBidi" w:cstheme="majorBidi"/>
          <w:kern w:val="28"/>
        </w:rPr>
        <w:t>entre 10KHz et quelques centaines de MHz.</w:t>
      </w:r>
      <w:r w:rsidR="00271E85" w:rsidRPr="00AF741A">
        <w:t xml:space="preserve"> </w:t>
      </w:r>
    </w:p>
    <w:p w:rsidR="00271E85" w:rsidRDefault="00271E85" w:rsidP="00271E85">
      <w:pPr>
        <w:widowControl w:val="0"/>
        <w:overflowPunct w:val="0"/>
        <w:autoSpaceDE w:val="0"/>
        <w:autoSpaceDN w:val="0"/>
        <w:adjustRightInd w:val="0"/>
        <w:spacing w:line="360" w:lineRule="auto"/>
        <w:jc w:val="both"/>
        <w:rPr>
          <w:rFonts w:asciiTheme="majorBidi" w:hAnsiTheme="majorBidi" w:cstheme="majorBidi"/>
          <w:kern w:val="28"/>
        </w:rPr>
      </w:pPr>
      <w:r>
        <w:rPr>
          <w:rFonts w:asciiTheme="majorBidi" w:hAnsiTheme="majorBidi" w:cstheme="majorBidi"/>
          <w:kern w:val="28"/>
        </w:rPr>
        <w:t xml:space="preserve">Dans la méthode pulse-écho, les transducteurs piézoélectriques (émetteurs et récepteurs à la fois) (Voir la figure II-14) génèrent une impulsion mécanique d'excitation de 15 MHz transmise à l'échantillon par l'intermédiaire d'une graisse. Sur l'écran de l'oscilloscope; le signal composé d'une séquence d'échos d'amplitudes correspondant aux réflexions successives de l'onde ultrasonore sur la face de l'échantillon opposée à celle en contact avec le transducteur. La mesure du </w:t>
      </w:r>
      <w:r>
        <w:rPr>
          <w:rFonts w:ascii="French Script MT" w:hAnsi="French Script MT" w:cstheme="majorBidi"/>
          <w:kern w:val="28"/>
        </w:rPr>
        <w:t>∆</w:t>
      </w:r>
      <w:r>
        <w:rPr>
          <w:rFonts w:asciiTheme="majorBidi" w:hAnsiTheme="majorBidi" w:cstheme="majorBidi"/>
          <w:kern w:val="28"/>
        </w:rPr>
        <w:t xml:space="preserve">T (temps mis par l'onde pour faire un aller-retour entre deux échos successifs) permet de calculer la vitesse de propagation de l'onde à partir de la relation:     </w:t>
      </w:r>
    </w:p>
    <w:p w:rsidR="00271E85" w:rsidRPr="00252B52" w:rsidRDefault="00271E85" w:rsidP="00271E85">
      <w:pPr>
        <w:widowControl w:val="0"/>
        <w:overflowPunct w:val="0"/>
        <w:autoSpaceDE w:val="0"/>
        <w:autoSpaceDN w:val="0"/>
        <w:adjustRightInd w:val="0"/>
        <w:spacing w:line="360" w:lineRule="auto"/>
        <w:jc w:val="both"/>
        <w:rPr>
          <w:rFonts w:asciiTheme="majorBidi" w:hAnsiTheme="majorBidi" w:cstheme="majorBidi"/>
          <w:kern w:val="28"/>
        </w:rPr>
      </w:pPr>
      <w:r>
        <w:rPr>
          <w:rFonts w:asciiTheme="majorBidi" w:hAnsiTheme="majorBidi" w:cstheme="majorBidi"/>
          <w:kern w:val="28"/>
        </w:rPr>
        <w:t xml:space="preserve"> </w:t>
      </w:r>
    </w:p>
    <w:p w:rsidR="00271E85" w:rsidRDefault="00271E85" w:rsidP="00271E85">
      <w:pPr>
        <w:widowControl w:val="0"/>
        <w:overflowPunct w:val="0"/>
        <w:autoSpaceDE w:val="0"/>
        <w:autoSpaceDN w:val="0"/>
        <w:adjustRightInd w:val="0"/>
        <w:spacing w:line="360" w:lineRule="auto"/>
        <w:jc w:val="center"/>
        <w:rPr>
          <w:rFonts w:asciiTheme="majorBidi" w:hAnsiTheme="majorBidi" w:cstheme="majorBidi"/>
          <w:kern w:val="28"/>
        </w:rPr>
      </w:pPr>
      <m:oMathPara>
        <m:oMath>
          <m:r>
            <m:rPr>
              <m:sty m:val="p"/>
            </m:rPr>
            <w:rPr>
              <w:rFonts w:ascii="Cambria Math" w:hAnsi="Cambria Math" w:cstheme="majorBidi"/>
              <w:kern w:val="28"/>
            </w:rPr>
            <m:t>V=</m:t>
          </m:r>
          <m:f>
            <m:fPr>
              <m:ctrlPr>
                <w:rPr>
                  <w:rFonts w:ascii="Cambria Math" w:hAnsi="Cambria Math" w:cstheme="majorBidi"/>
                  <w:i/>
                  <w:kern w:val="28"/>
                </w:rPr>
              </m:ctrlPr>
            </m:fPr>
            <m:num>
              <m:r>
                <m:rPr>
                  <m:sty m:val="p"/>
                </m:rPr>
                <w:rPr>
                  <w:rFonts w:ascii="Cambria Math" w:hAnsi="Cambria Math" w:cstheme="majorBidi"/>
                  <w:kern w:val="28"/>
                </w:rPr>
                <m:t>2e</m:t>
              </m:r>
            </m:num>
            <m:den>
              <m:r>
                <m:rPr>
                  <m:sty m:val="p"/>
                </m:rPr>
                <w:rPr>
                  <w:rFonts w:ascii="Cambria Math" w:hAnsi="Cambria Math" w:cstheme="majorBidi"/>
                  <w:kern w:val="28"/>
                </w:rPr>
                <m:t>∆T</m:t>
              </m:r>
            </m:den>
          </m:f>
        </m:oMath>
      </m:oMathPara>
    </w:p>
    <w:p w:rsidR="00271E85" w:rsidRDefault="00271E85" w:rsidP="00271E85">
      <w:pPr>
        <w:widowControl w:val="0"/>
        <w:overflowPunct w:val="0"/>
        <w:autoSpaceDE w:val="0"/>
        <w:autoSpaceDN w:val="0"/>
        <w:adjustRightInd w:val="0"/>
        <w:spacing w:line="360" w:lineRule="auto"/>
        <w:jc w:val="center"/>
        <w:rPr>
          <w:rFonts w:asciiTheme="majorBidi" w:hAnsiTheme="majorBidi" w:cstheme="majorBidi"/>
          <w:kern w:val="28"/>
        </w:rPr>
      </w:pPr>
    </w:p>
    <w:p w:rsidR="00271E85" w:rsidRDefault="00271E85" w:rsidP="00271E85">
      <w:pPr>
        <w:widowControl w:val="0"/>
        <w:overflowPunct w:val="0"/>
        <w:autoSpaceDE w:val="0"/>
        <w:autoSpaceDN w:val="0"/>
        <w:adjustRightInd w:val="0"/>
        <w:spacing w:line="360" w:lineRule="auto"/>
        <w:jc w:val="center"/>
        <w:rPr>
          <w:rFonts w:asciiTheme="majorBidi" w:hAnsiTheme="majorBidi" w:cstheme="majorBidi"/>
          <w:kern w:val="28"/>
        </w:rPr>
      </w:pPr>
    </w:p>
    <w:p w:rsidR="00271E85" w:rsidRDefault="00271E85" w:rsidP="00271E85">
      <w:pPr>
        <w:widowControl w:val="0"/>
        <w:overflowPunct w:val="0"/>
        <w:autoSpaceDE w:val="0"/>
        <w:autoSpaceDN w:val="0"/>
        <w:adjustRightInd w:val="0"/>
        <w:spacing w:line="360" w:lineRule="auto"/>
        <w:jc w:val="center"/>
        <w:rPr>
          <w:rFonts w:asciiTheme="majorBidi" w:hAnsiTheme="majorBidi" w:cstheme="majorBidi"/>
          <w:kern w:val="28"/>
        </w:rPr>
      </w:pPr>
      <w:r w:rsidRPr="000914B0">
        <w:rPr>
          <w:rFonts w:asciiTheme="majorBidi" w:hAnsiTheme="majorBidi" w:cstheme="majorBidi"/>
          <w:noProof/>
          <w:kern w:val="28"/>
        </w:rPr>
        <w:drawing>
          <wp:inline distT="0" distB="0" distL="0" distR="0">
            <wp:extent cx="4030675" cy="2626156"/>
            <wp:effectExtent l="19050" t="0" r="7925"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034451" cy="2628616"/>
                    </a:xfrm>
                    <a:prstGeom prst="rect">
                      <a:avLst/>
                    </a:prstGeom>
                    <a:noFill/>
                    <a:ln w="9525">
                      <a:noFill/>
                      <a:miter lim="800000"/>
                      <a:headEnd/>
                      <a:tailEnd/>
                    </a:ln>
                  </pic:spPr>
                </pic:pic>
              </a:graphicData>
            </a:graphic>
          </wp:inline>
        </w:drawing>
      </w:r>
    </w:p>
    <w:p w:rsidR="00271E85" w:rsidRPr="008333F8" w:rsidRDefault="00271E85" w:rsidP="008333F8">
      <w:pPr>
        <w:widowControl w:val="0"/>
        <w:overflowPunct w:val="0"/>
        <w:autoSpaceDE w:val="0"/>
        <w:autoSpaceDN w:val="0"/>
        <w:adjustRightInd w:val="0"/>
        <w:spacing w:line="360" w:lineRule="auto"/>
        <w:jc w:val="center"/>
        <w:rPr>
          <w:rFonts w:asciiTheme="majorBidi" w:hAnsiTheme="majorBidi" w:cstheme="majorBidi"/>
          <w:kern w:val="28"/>
        </w:rPr>
      </w:pPr>
      <w:r w:rsidRPr="008333F8">
        <w:rPr>
          <w:rFonts w:asciiTheme="majorBidi" w:hAnsiTheme="majorBidi" w:cstheme="majorBidi"/>
          <w:b/>
          <w:bCs/>
          <w:kern w:val="28"/>
        </w:rPr>
        <w:t>Figure (II-14):</w:t>
      </w:r>
      <w:r w:rsidRPr="008333F8">
        <w:rPr>
          <w:rFonts w:asciiTheme="majorBidi" w:hAnsiTheme="majorBidi" w:cstheme="majorBidi"/>
          <w:kern w:val="28"/>
        </w:rPr>
        <w:t xml:space="preserve"> Montage des mesures élastiques</w:t>
      </w:r>
    </w:p>
    <w:p w:rsidR="00271E85" w:rsidRPr="008333F8" w:rsidRDefault="00271E85" w:rsidP="00271E85">
      <w:pPr>
        <w:widowControl w:val="0"/>
        <w:overflowPunct w:val="0"/>
        <w:autoSpaceDE w:val="0"/>
        <w:autoSpaceDN w:val="0"/>
        <w:adjustRightInd w:val="0"/>
        <w:spacing w:line="360" w:lineRule="auto"/>
        <w:jc w:val="both"/>
        <w:rPr>
          <w:rFonts w:asciiTheme="majorBidi" w:hAnsiTheme="majorBidi" w:cstheme="majorBidi"/>
          <w:kern w:val="28"/>
        </w:rPr>
      </w:pPr>
    </w:p>
    <w:p w:rsidR="00271E85" w:rsidRPr="009572BB" w:rsidRDefault="00271E85" w:rsidP="00271E85">
      <w:pPr>
        <w:widowControl w:val="0"/>
        <w:overflowPunct w:val="0"/>
        <w:autoSpaceDE w:val="0"/>
        <w:autoSpaceDN w:val="0"/>
        <w:adjustRightInd w:val="0"/>
        <w:spacing w:line="360" w:lineRule="auto"/>
        <w:jc w:val="both"/>
        <w:rPr>
          <w:rFonts w:asciiTheme="majorBidi" w:hAnsiTheme="majorBidi" w:cstheme="majorBidi"/>
          <w:kern w:val="28"/>
        </w:rPr>
      </w:pPr>
      <w:r w:rsidRPr="009572BB">
        <w:rPr>
          <w:rFonts w:asciiTheme="majorBidi" w:hAnsiTheme="majorBidi" w:cstheme="majorBidi"/>
          <w:kern w:val="28"/>
        </w:rPr>
        <w:t xml:space="preserve">Les modules élastiques E, G, K, </w:t>
      </w:r>
      <w:r w:rsidRPr="006D4BC2">
        <w:rPr>
          <w:rFonts w:asciiTheme="majorBidi" w:hAnsiTheme="majorBidi" w:cstheme="majorBidi"/>
        </w:rPr>
        <w:t>υ</w:t>
      </w:r>
      <w:r w:rsidRPr="009572BB">
        <w:rPr>
          <w:rFonts w:asciiTheme="majorBidi" w:hAnsiTheme="majorBidi" w:cstheme="majorBidi"/>
          <w:kern w:val="28"/>
        </w:rPr>
        <w:t xml:space="preserve"> sont </w:t>
      </w:r>
      <w:r>
        <w:rPr>
          <w:rFonts w:asciiTheme="majorBidi" w:hAnsiTheme="majorBidi" w:cstheme="majorBidi"/>
          <w:kern w:val="28"/>
        </w:rPr>
        <w:t>calculés à partir des mesures d</w:t>
      </w:r>
      <w:r w:rsidRPr="009572BB">
        <w:rPr>
          <w:rFonts w:asciiTheme="majorBidi" w:hAnsiTheme="majorBidi" w:cstheme="majorBidi"/>
          <w:kern w:val="28"/>
        </w:rPr>
        <w:t>es vitesses de propagation longitudinales V</w:t>
      </w:r>
      <w:r w:rsidRPr="009572BB">
        <w:rPr>
          <w:rFonts w:asciiTheme="majorBidi" w:hAnsiTheme="majorBidi" w:cstheme="majorBidi"/>
          <w:kern w:val="28"/>
          <w:vertAlign w:val="subscript"/>
        </w:rPr>
        <w:t>L</w:t>
      </w:r>
      <w:r w:rsidRPr="009572BB">
        <w:rPr>
          <w:rFonts w:asciiTheme="majorBidi" w:hAnsiTheme="majorBidi" w:cstheme="majorBidi"/>
          <w:kern w:val="28"/>
        </w:rPr>
        <w:t xml:space="preserve"> et transversales V</w:t>
      </w:r>
      <w:r w:rsidRPr="009572BB">
        <w:rPr>
          <w:rFonts w:asciiTheme="majorBidi" w:hAnsiTheme="majorBidi" w:cstheme="majorBidi"/>
          <w:kern w:val="28"/>
          <w:vertAlign w:val="subscript"/>
        </w:rPr>
        <w:t>T</w:t>
      </w:r>
      <w:r w:rsidRPr="009572BB">
        <w:rPr>
          <w:rFonts w:asciiTheme="majorBidi" w:hAnsiTheme="majorBidi" w:cstheme="majorBidi"/>
          <w:kern w:val="28"/>
        </w:rPr>
        <w:t xml:space="preserve"> </w:t>
      </w:r>
      <w:r>
        <w:rPr>
          <w:rFonts w:asciiTheme="majorBidi" w:hAnsiTheme="majorBidi" w:cstheme="majorBidi"/>
          <w:kern w:val="28"/>
        </w:rPr>
        <w:t xml:space="preserve">en utilisant les </w:t>
      </w:r>
      <w:r w:rsidRPr="009572BB">
        <w:rPr>
          <w:rFonts w:asciiTheme="majorBidi" w:hAnsiTheme="majorBidi" w:cstheme="majorBidi"/>
          <w:kern w:val="28"/>
        </w:rPr>
        <w:t>expressions suivantes</w:t>
      </w:r>
      <w:r>
        <w:rPr>
          <w:rFonts w:asciiTheme="majorBidi" w:hAnsiTheme="majorBidi" w:cstheme="majorBidi"/>
          <w:kern w:val="28"/>
        </w:rPr>
        <w:t>:</w:t>
      </w:r>
    </w:p>
    <w:p w:rsidR="00271E85" w:rsidRPr="009572BB" w:rsidRDefault="00271E85" w:rsidP="00271E85">
      <w:pPr>
        <w:widowControl w:val="0"/>
        <w:overflowPunct w:val="0"/>
        <w:autoSpaceDE w:val="0"/>
        <w:autoSpaceDN w:val="0"/>
        <w:adjustRightInd w:val="0"/>
        <w:spacing w:line="360" w:lineRule="auto"/>
        <w:jc w:val="both"/>
        <w:rPr>
          <w:rFonts w:asciiTheme="majorBidi" w:hAnsiTheme="majorBidi" w:cstheme="majorBidi"/>
          <w:kern w:val="28"/>
        </w:rPr>
      </w:pPr>
    </w:p>
    <w:p w:rsidR="00271E85" w:rsidRPr="00271E85" w:rsidRDefault="00271E85" w:rsidP="00271E85">
      <w:pPr>
        <w:widowControl w:val="0"/>
        <w:overflowPunct w:val="0"/>
        <w:autoSpaceDE w:val="0"/>
        <w:autoSpaceDN w:val="0"/>
        <w:adjustRightInd w:val="0"/>
        <w:spacing w:line="720" w:lineRule="auto"/>
        <w:ind w:left="426"/>
        <w:jc w:val="both"/>
        <w:rPr>
          <w:rFonts w:asciiTheme="majorBidi" w:hAnsiTheme="majorBidi" w:cstheme="majorBidi"/>
          <w:kern w:val="28"/>
          <w:lang w:val="en-US"/>
        </w:rPr>
      </w:pPr>
      <w:r w:rsidRPr="00271E85">
        <w:rPr>
          <w:rFonts w:asciiTheme="majorBidi" w:hAnsiTheme="majorBidi" w:cstheme="majorBidi"/>
          <w:kern w:val="28"/>
          <w:lang w:val="en-US"/>
        </w:rPr>
        <w:t xml:space="preserve">Module de Young:                                       E= </w:t>
      </w:r>
      <m:oMath>
        <m:r>
          <m:rPr>
            <m:sty m:val="p"/>
          </m:rPr>
          <w:rPr>
            <w:rFonts w:ascii="Cambria Math" w:hAnsi="Cambria Math" w:cstheme="majorBidi"/>
            <w:kern w:val="28"/>
          </w:rPr>
          <m:t>ρ</m:t>
        </m:r>
        <m:sSubSup>
          <m:sSubSupPr>
            <m:ctrlPr>
              <w:rPr>
                <w:rFonts w:ascii="Cambria Math" w:hAnsiTheme="majorBidi" w:cstheme="majorBidi"/>
                <w:iCs/>
                <w:kern w:val="28"/>
              </w:rPr>
            </m:ctrlPr>
          </m:sSubSupPr>
          <m:e>
            <m:r>
              <m:rPr>
                <m:sty m:val="p"/>
              </m:rPr>
              <w:rPr>
                <w:rFonts w:ascii="Cambria Math" w:hAnsi="Cambria Math" w:cstheme="majorBidi"/>
                <w:kern w:val="28"/>
                <w:lang w:val="en-US"/>
              </w:rPr>
              <m:t>V</m:t>
            </m:r>
          </m:e>
          <m:sub>
            <m:r>
              <m:rPr>
                <m:sty m:val="p"/>
              </m:rPr>
              <w:rPr>
                <w:rFonts w:ascii="Cambria Math" w:hAnsi="Cambria Math" w:cstheme="majorBidi"/>
                <w:kern w:val="28"/>
                <w:lang w:val="en-US"/>
              </w:rPr>
              <m:t>T</m:t>
            </m:r>
          </m:sub>
          <m:sup>
            <m:r>
              <m:rPr>
                <m:sty m:val="p"/>
              </m:rPr>
              <w:rPr>
                <w:rFonts w:ascii="Cambria Math" w:hAnsiTheme="majorBidi" w:cstheme="majorBidi"/>
                <w:kern w:val="28"/>
                <w:lang w:val="en-US"/>
              </w:rPr>
              <m:t>2</m:t>
            </m:r>
          </m:sup>
        </m:sSubSup>
        <m:f>
          <m:fPr>
            <m:ctrlPr>
              <w:rPr>
                <w:rFonts w:ascii="Cambria Math" w:hAnsiTheme="majorBidi" w:cstheme="majorBidi"/>
                <w:iCs/>
                <w:kern w:val="28"/>
              </w:rPr>
            </m:ctrlPr>
          </m:fPr>
          <m:num>
            <m:r>
              <m:rPr>
                <m:sty m:val="p"/>
              </m:rPr>
              <w:rPr>
                <w:rFonts w:ascii="Cambria Math" w:hAnsiTheme="majorBidi" w:cstheme="majorBidi"/>
                <w:kern w:val="28"/>
                <w:lang w:val="en-US"/>
              </w:rPr>
              <m:t xml:space="preserve"> 3</m:t>
            </m:r>
            <m:sSubSup>
              <m:sSubSupPr>
                <m:ctrlPr>
                  <w:rPr>
                    <w:rFonts w:ascii="Cambria Math" w:hAnsiTheme="majorBidi" w:cstheme="majorBidi"/>
                    <w:iCs/>
                    <w:kern w:val="28"/>
                  </w:rPr>
                </m:ctrlPr>
              </m:sSubSupPr>
              <m:e>
                <m:r>
                  <m:rPr>
                    <m:sty m:val="p"/>
                  </m:rPr>
                  <w:rPr>
                    <w:rFonts w:ascii="Cambria Math" w:hAnsi="Cambria Math" w:cstheme="majorBidi"/>
                    <w:kern w:val="28"/>
                    <w:lang w:val="en-US"/>
                  </w:rPr>
                  <m:t>V</m:t>
                </m:r>
              </m:e>
              <m:sub>
                <m:r>
                  <m:rPr>
                    <m:sty m:val="p"/>
                  </m:rPr>
                  <w:rPr>
                    <w:rFonts w:ascii="Cambria Math" w:hAnsi="Cambria Math" w:cstheme="majorBidi"/>
                    <w:kern w:val="28"/>
                    <w:lang w:val="en-US"/>
                  </w:rPr>
                  <m:t>L</m:t>
                </m:r>
                <m:r>
                  <m:rPr>
                    <m:sty m:val="p"/>
                  </m:rPr>
                  <w:rPr>
                    <w:rFonts w:ascii="Cambria Math" w:hAnsiTheme="majorBidi" w:cstheme="majorBidi"/>
                    <w:kern w:val="28"/>
                    <w:lang w:val="en-US"/>
                  </w:rPr>
                  <m:t xml:space="preserve"> </m:t>
                </m:r>
              </m:sub>
              <m:sup>
                <m:r>
                  <m:rPr>
                    <m:sty m:val="p"/>
                  </m:rPr>
                  <w:rPr>
                    <w:rFonts w:ascii="Cambria Math" w:hAnsiTheme="majorBidi" w:cstheme="majorBidi"/>
                    <w:kern w:val="28"/>
                    <w:lang w:val="en-US"/>
                  </w:rPr>
                  <m:t>2</m:t>
                </m:r>
              </m:sup>
            </m:sSubSup>
            <m:r>
              <m:rPr>
                <m:sty m:val="p"/>
              </m:rPr>
              <w:rPr>
                <w:rFonts w:ascii="Cambria Math" w:hAnsi="Cambria Math" w:cstheme="majorBidi"/>
                <w:kern w:val="28"/>
                <w:lang w:val="en-US"/>
              </w:rPr>
              <m:t>-</m:t>
            </m:r>
            <m:r>
              <m:rPr>
                <m:sty m:val="p"/>
              </m:rPr>
              <w:rPr>
                <w:rFonts w:ascii="Cambria Math" w:hAnsiTheme="majorBidi" w:cstheme="majorBidi"/>
                <w:kern w:val="28"/>
                <w:lang w:val="en-US"/>
              </w:rPr>
              <m:t xml:space="preserve">4 </m:t>
            </m:r>
            <m:sSubSup>
              <m:sSubSupPr>
                <m:ctrlPr>
                  <w:rPr>
                    <w:rFonts w:ascii="Cambria Math" w:hAnsiTheme="majorBidi" w:cstheme="majorBidi"/>
                    <w:iCs/>
                    <w:kern w:val="28"/>
                  </w:rPr>
                </m:ctrlPr>
              </m:sSubSupPr>
              <m:e>
                <m:r>
                  <m:rPr>
                    <m:sty m:val="p"/>
                  </m:rPr>
                  <w:rPr>
                    <w:rFonts w:ascii="Cambria Math" w:hAnsi="Cambria Math" w:cstheme="majorBidi"/>
                    <w:kern w:val="28"/>
                    <w:lang w:val="en-US"/>
                  </w:rPr>
                  <m:t>V</m:t>
                </m:r>
              </m:e>
              <m:sub>
                <m:r>
                  <m:rPr>
                    <m:sty m:val="p"/>
                  </m:rPr>
                  <w:rPr>
                    <w:rFonts w:ascii="Cambria Math" w:hAnsi="Cambria Math" w:cstheme="majorBidi"/>
                    <w:kern w:val="28"/>
                    <w:lang w:val="en-US"/>
                  </w:rPr>
                  <m:t>T</m:t>
                </m:r>
              </m:sub>
              <m:sup>
                <m:r>
                  <m:rPr>
                    <m:sty m:val="p"/>
                  </m:rPr>
                  <w:rPr>
                    <w:rFonts w:ascii="Cambria Math" w:hAnsiTheme="majorBidi" w:cstheme="majorBidi"/>
                    <w:kern w:val="28"/>
                    <w:lang w:val="en-US"/>
                  </w:rPr>
                  <m:t>2</m:t>
                </m:r>
              </m:sup>
            </m:sSubSup>
          </m:num>
          <m:den>
            <m:sSubSup>
              <m:sSubSupPr>
                <m:ctrlPr>
                  <w:rPr>
                    <w:rFonts w:ascii="Cambria Math" w:hAnsiTheme="majorBidi" w:cstheme="majorBidi"/>
                    <w:iCs/>
                    <w:kern w:val="28"/>
                  </w:rPr>
                </m:ctrlPr>
              </m:sSubSupPr>
              <m:e>
                <m:r>
                  <m:rPr>
                    <m:sty m:val="p"/>
                  </m:rPr>
                  <w:rPr>
                    <w:rFonts w:ascii="Cambria Math" w:hAnsi="Cambria Math" w:cstheme="majorBidi"/>
                    <w:kern w:val="28"/>
                    <w:lang w:val="en-US"/>
                  </w:rPr>
                  <m:t>V</m:t>
                </m:r>
              </m:e>
              <m:sub>
                <m:r>
                  <m:rPr>
                    <m:sty m:val="p"/>
                  </m:rPr>
                  <w:rPr>
                    <w:rFonts w:ascii="Cambria Math" w:hAnsi="Cambria Math" w:cstheme="majorBidi"/>
                    <w:kern w:val="28"/>
                    <w:lang w:val="en-US"/>
                  </w:rPr>
                  <m:t>L</m:t>
                </m:r>
                <m:r>
                  <m:rPr>
                    <m:sty m:val="p"/>
                  </m:rPr>
                  <w:rPr>
                    <w:rFonts w:ascii="Cambria Math" w:hAnsiTheme="majorBidi" w:cstheme="majorBidi"/>
                    <w:kern w:val="28"/>
                    <w:lang w:val="en-US"/>
                  </w:rPr>
                  <m:t xml:space="preserve"> </m:t>
                </m:r>
              </m:sub>
              <m:sup>
                <m:r>
                  <m:rPr>
                    <m:sty m:val="p"/>
                  </m:rPr>
                  <w:rPr>
                    <w:rFonts w:ascii="Cambria Math" w:hAnsiTheme="majorBidi" w:cstheme="majorBidi"/>
                    <w:kern w:val="28"/>
                    <w:lang w:val="en-US"/>
                  </w:rPr>
                  <m:t>2</m:t>
                </m:r>
              </m:sup>
            </m:sSubSup>
            <m:r>
              <m:rPr>
                <m:sty m:val="p"/>
              </m:rPr>
              <w:rPr>
                <w:rFonts w:ascii="Cambria Math" w:hAnsi="Cambria Math" w:cstheme="majorBidi"/>
                <w:kern w:val="28"/>
                <w:lang w:val="en-US"/>
              </w:rPr>
              <m:t>-</m:t>
            </m:r>
            <m:r>
              <m:rPr>
                <m:sty m:val="p"/>
              </m:rPr>
              <w:rPr>
                <w:rFonts w:ascii="Cambria Math" w:hAnsiTheme="majorBidi" w:cstheme="majorBidi"/>
                <w:kern w:val="28"/>
                <w:lang w:val="en-US"/>
              </w:rPr>
              <m:t xml:space="preserve"> </m:t>
            </m:r>
            <m:sSubSup>
              <m:sSubSupPr>
                <m:ctrlPr>
                  <w:rPr>
                    <w:rFonts w:ascii="Cambria Math" w:hAnsiTheme="majorBidi" w:cstheme="majorBidi"/>
                    <w:iCs/>
                    <w:kern w:val="28"/>
                  </w:rPr>
                </m:ctrlPr>
              </m:sSubSupPr>
              <m:e>
                <m:r>
                  <m:rPr>
                    <m:sty m:val="p"/>
                  </m:rPr>
                  <w:rPr>
                    <w:rFonts w:ascii="Cambria Math" w:hAnsi="Cambria Math" w:cstheme="majorBidi"/>
                    <w:kern w:val="28"/>
                    <w:lang w:val="en-US"/>
                  </w:rPr>
                  <m:t>V</m:t>
                </m:r>
              </m:e>
              <m:sub>
                <m:r>
                  <m:rPr>
                    <m:sty m:val="p"/>
                  </m:rPr>
                  <w:rPr>
                    <w:rFonts w:ascii="Cambria Math" w:hAnsi="Cambria Math" w:cstheme="majorBidi"/>
                    <w:kern w:val="28"/>
                    <w:lang w:val="en-US"/>
                  </w:rPr>
                  <m:t>T</m:t>
                </m:r>
              </m:sub>
              <m:sup>
                <m:r>
                  <m:rPr>
                    <m:sty m:val="p"/>
                  </m:rPr>
                  <w:rPr>
                    <w:rFonts w:ascii="Cambria Math" w:hAnsiTheme="majorBidi" w:cstheme="majorBidi"/>
                    <w:kern w:val="28"/>
                    <w:lang w:val="en-US"/>
                  </w:rPr>
                  <m:t>2</m:t>
                </m:r>
              </m:sup>
            </m:sSubSup>
          </m:den>
        </m:f>
      </m:oMath>
      <w:r w:rsidRPr="00271E85">
        <w:rPr>
          <w:rFonts w:asciiTheme="majorBidi" w:hAnsiTheme="majorBidi" w:cstheme="majorBidi"/>
          <w:kern w:val="28"/>
          <w:lang w:val="en-US"/>
        </w:rPr>
        <w:t xml:space="preserve"> </w:t>
      </w:r>
    </w:p>
    <w:p w:rsidR="00271E85" w:rsidRPr="009572BB" w:rsidRDefault="00271E85" w:rsidP="00271E85">
      <w:pPr>
        <w:widowControl w:val="0"/>
        <w:overflowPunct w:val="0"/>
        <w:autoSpaceDE w:val="0"/>
        <w:autoSpaceDN w:val="0"/>
        <w:adjustRightInd w:val="0"/>
        <w:spacing w:line="720" w:lineRule="auto"/>
        <w:ind w:left="426"/>
        <w:jc w:val="both"/>
        <w:rPr>
          <w:rFonts w:asciiTheme="majorBidi" w:hAnsiTheme="majorBidi" w:cstheme="majorBidi"/>
          <w:kern w:val="28"/>
        </w:rPr>
      </w:pPr>
      <w:r w:rsidRPr="009572BB">
        <w:rPr>
          <w:rFonts w:asciiTheme="majorBidi" w:hAnsiTheme="majorBidi" w:cstheme="majorBidi"/>
          <w:kern w:val="28"/>
        </w:rPr>
        <w:t xml:space="preserve">Module de cisellement:          </w:t>
      </w:r>
      <w:r>
        <w:rPr>
          <w:rFonts w:asciiTheme="majorBidi" w:hAnsiTheme="majorBidi" w:cstheme="majorBidi"/>
          <w:kern w:val="28"/>
        </w:rPr>
        <w:t xml:space="preserve"> </w:t>
      </w:r>
      <w:r w:rsidRPr="009572BB">
        <w:rPr>
          <w:rFonts w:asciiTheme="majorBidi" w:hAnsiTheme="majorBidi" w:cstheme="majorBidi"/>
          <w:kern w:val="28"/>
        </w:rPr>
        <w:t xml:space="preserve">                     G</w:t>
      </w:r>
      <w:r w:rsidR="003C32B0" w:rsidRPr="009572BB">
        <w:rPr>
          <w:rFonts w:asciiTheme="majorBidi" w:hAnsiTheme="majorBidi" w:cstheme="majorBidi"/>
          <w:kern w:val="28"/>
        </w:rPr>
        <w:t>=</w:t>
      </w:r>
      <w:r w:rsidRPr="00B81DE5">
        <w:rPr>
          <w:rFonts w:asciiTheme="majorBidi" w:hAnsiTheme="majorBidi" w:cstheme="majorBidi"/>
          <w:kern w:val="28"/>
        </w:rPr>
        <w:sym w:font="Symbol" w:char="F072"/>
      </w:r>
      <w:r w:rsidRPr="00B81DE5">
        <w:rPr>
          <w:rFonts w:asciiTheme="majorBidi" w:hAnsiTheme="majorBidi" w:cstheme="majorBidi"/>
          <w:kern w:val="28"/>
        </w:rPr>
        <w:t>.</w:t>
      </w:r>
      <m:oMath>
        <m:sSubSup>
          <m:sSubSupPr>
            <m:ctrlPr>
              <w:rPr>
                <w:rFonts w:ascii="Cambria Math" w:hAnsiTheme="majorBidi" w:cstheme="majorBidi"/>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T</m:t>
            </m:r>
          </m:sub>
          <m:sup>
            <m:r>
              <m:rPr>
                <m:sty m:val="p"/>
              </m:rPr>
              <w:rPr>
                <w:rFonts w:ascii="Cambria Math" w:hAnsiTheme="majorBidi" w:cstheme="majorBidi"/>
                <w:kern w:val="28"/>
              </w:rPr>
              <m:t>2</m:t>
            </m:r>
          </m:sup>
        </m:sSubSup>
      </m:oMath>
      <w:r w:rsidRPr="009572BB">
        <w:rPr>
          <w:rFonts w:asciiTheme="majorBidi" w:hAnsiTheme="majorBidi" w:cstheme="majorBidi"/>
          <w:kern w:val="28"/>
        </w:rPr>
        <w:t xml:space="preserve"> </w:t>
      </w:r>
    </w:p>
    <w:p w:rsidR="00271E85" w:rsidRDefault="00271E85" w:rsidP="00271E85">
      <w:pPr>
        <w:widowControl w:val="0"/>
        <w:tabs>
          <w:tab w:val="left" w:pos="5490"/>
          <w:tab w:val="left" w:pos="5595"/>
        </w:tabs>
        <w:overflowPunct w:val="0"/>
        <w:autoSpaceDE w:val="0"/>
        <w:autoSpaceDN w:val="0"/>
        <w:adjustRightInd w:val="0"/>
        <w:spacing w:line="720" w:lineRule="auto"/>
        <w:ind w:left="426"/>
        <w:jc w:val="both"/>
        <w:rPr>
          <w:rFonts w:asciiTheme="majorBidi" w:hAnsiTheme="majorBidi" w:cstheme="majorBidi"/>
          <w:kern w:val="28"/>
        </w:rPr>
      </w:pPr>
      <w:r>
        <w:rPr>
          <w:rFonts w:asciiTheme="majorBidi" w:hAnsiTheme="majorBidi" w:cstheme="majorBidi"/>
          <w:kern w:val="28"/>
        </w:rPr>
        <w:t xml:space="preserve">Module longitudinale                                   </w:t>
      </w:r>
      <m:oMath>
        <m:r>
          <m:rPr>
            <m:sty m:val="p"/>
          </m:rPr>
          <w:rPr>
            <w:rFonts w:ascii="Cambria Math" w:hAnsi="Cambria Math" w:cstheme="majorBidi"/>
            <w:kern w:val="28"/>
          </w:rPr>
          <m:t>L=ρ.</m:t>
        </m:r>
        <m:sSubSup>
          <m:sSubSupPr>
            <m:ctrlPr>
              <w:rPr>
                <w:rFonts w:ascii="Cambria Math" w:hAnsi="Cambria Math"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L</m:t>
            </m:r>
          </m:sub>
          <m:sup>
            <m:r>
              <m:rPr>
                <m:sty m:val="p"/>
              </m:rPr>
              <w:rPr>
                <w:rFonts w:ascii="Cambria Math" w:hAnsi="Cambria Math" w:cstheme="majorBidi"/>
                <w:kern w:val="28"/>
              </w:rPr>
              <m:t>2</m:t>
            </m:r>
          </m:sup>
        </m:sSubSup>
      </m:oMath>
      <w:r>
        <w:rPr>
          <w:rFonts w:asciiTheme="majorBidi" w:hAnsiTheme="majorBidi" w:cstheme="majorBidi"/>
          <w:kern w:val="28"/>
        </w:rPr>
        <w:t xml:space="preserve">  </w:t>
      </w:r>
    </w:p>
    <w:p w:rsidR="00271E85" w:rsidRPr="00A04CF1" w:rsidRDefault="00271E85" w:rsidP="00271E85">
      <w:pPr>
        <w:widowControl w:val="0"/>
        <w:tabs>
          <w:tab w:val="left" w:pos="5490"/>
          <w:tab w:val="left" w:pos="5595"/>
        </w:tabs>
        <w:overflowPunct w:val="0"/>
        <w:autoSpaceDE w:val="0"/>
        <w:autoSpaceDN w:val="0"/>
        <w:adjustRightInd w:val="0"/>
        <w:spacing w:line="720" w:lineRule="auto"/>
        <w:ind w:left="426"/>
        <w:jc w:val="both"/>
        <w:rPr>
          <w:rFonts w:asciiTheme="majorBidi" w:hAnsiTheme="majorBidi" w:cstheme="majorBidi"/>
          <w:kern w:val="28"/>
        </w:rPr>
      </w:pPr>
      <w:r w:rsidRPr="009572BB">
        <w:rPr>
          <w:rFonts w:asciiTheme="majorBidi" w:hAnsiTheme="majorBidi" w:cstheme="majorBidi"/>
          <w:kern w:val="28"/>
        </w:rPr>
        <w:t>Module volumique:</w:t>
      </w:r>
      <w:r>
        <w:rPr>
          <w:rFonts w:asciiTheme="majorBidi" w:hAnsiTheme="majorBidi" w:cstheme="majorBidi"/>
          <w:kern w:val="28"/>
        </w:rPr>
        <w:t xml:space="preserve">      </w:t>
      </w:r>
      <m:oMath>
        <m:r>
          <m:rPr>
            <m:sty m:val="p"/>
          </m:rPr>
          <w:rPr>
            <w:rFonts w:ascii="Cambria Math" w:hAnsi="Cambria Math" w:cstheme="majorBidi"/>
            <w:kern w:val="28"/>
          </w:rPr>
          <m:t xml:space="preserve">                                    K=ρ</m:t>
        </m:r>
        <m:f>
          <m:fPr>
            <m:type m:val="lin"/>
            <m:ctrlPr>
              <w:rPr>
                <w:rFonts w:ascii="Cambria Math" w:hAnsi="Cambria Math" w:cstheme="majorBidi"/>
                <w:iCs/>
                <w:kern w:val="28"/>
              </w:rPr>
            </m:ctrlPr>
          </m:fPr>
          <m:num>
            <m:r>
              <m:rPr>
                <m:sty m:val="p"/>
              </m:rPr>
              <w:rPr>
                <w:rFonts w:ascii="Cambria Math" w:hAnsi="Cambria Math" w:cstheme="majorBidi"/>
                <w:kern w:val="28"/>
              </w:rPr>
              <m:t>(3</m:t>
            </m:r>
            <m:sSubSup>
              <m:sSubSupPr>
                <m:ctrlPr>
                  <w:rPr>
                    <w:rFonts w:ascii="Cambria Math" w:hAnsi="Cambria Math"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L</m:t>
                </m:r>
              </m:sub>
              <m:sup>
                <m:r>
                  <m:rPr>
                    <m:sty m:val="p"/>
                  </m:rPr>
                  <w:rPr>
                    <w:rFonts w:ascii="Cambria Math" w:hAnsi="Cambria Math" w:cstheme="majorBidi"/>
                    <w:kern w:val="28"/>
                  </w:rPr>
                  <m:t>2</m:t>
                </m:r>
              </m:sup>
            </m:sSubSup>
            <m:r>
              <m:rPr>
                <m:sty m:val="p"/>
              </m:rPr>
              <w:rPr>
                <w:rFonts w:ascii="Cambria Math" w:hAnsi="Cambria Math" w:cstheme="majorBidi"/>
                <w:kern w:val="28"/>
              </w:rPr>
              <m:t>-4</m:t>
            </m:r>
            <m:sSubSup>
              <m:sSubSupPr>
                <m:ctrlPr>
                  <w:rPr>
                    <w:rFonts w:ascii="Cambria Math" w:hAnsi="Cambria Math"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T</m:t>
                </m:r>
              </m:sub>
              <m:sup>
                <m:r>
                  <m:rPr>
                    <m:sty m:val="p"/>
                  </m:rPr>
                  <w:rPr>
                    <w:rFonts w:ascii="Cambria Math" w:hAnsi="Cambria Math" w:cstheme="majorBidi"/>
                    <w:kern w:val="28"/>
                  </w:rPr>
                  <m:t>2</m:t>
                </m:r>
              </m:sup>
            </m:sSubSup>
            <m:r>
              <m:rPr>
                <m:sty m:val="p"/>
              </m:rPr>
              <w:rPr>
                <w:rFonts w:ascii="Cambria Math" w:hAnsi="Cambria Math" w:cstheme="majorBidi"/>
                <w:kern w:val="28"/>
              </w:rPr>
              <m:t>)</m:t>
            </m:r>
          </m:num>
          <m:den>
            <m:r>
              <m:rPr>
                <m:sty m:val="p"/>
              </m:rPr>
              <w:rPr>
                <w:rFonts w:ascii="Cambria Math" w:hAnsi="Cambria Math" w:cstheme="majorBidi"/>
                <w:kern w:val="28"/>
              </w:rPr>
              <m:t>3</m:t>
            </m:r>
          </m:den>
        </m:f>
      </m:oMath>
    </w:p>
    <w:p w:rsidR="00271E85" w:rsidRPr="009572BB" w:rsidRDefault="00271E85" w:rsidP="00271E85">
      <w:pPr>
        <w:widowControl w:val="0"/>
        <w:tabs>
          <w:tab w:val="left" w:pos="5490"/>
          <w:tab w:val="left" w:pos="5595"/>
        </w:tabs>
        <w:overflowPunct w:val="0"/>
        <w:autoSpaceDE w:val="0"/>
        <w:autoSpaceDN w:val="0"/>
        <w:adjustRightInd w:val="0"/>
        <w:spacing w:line="720" w:lineRule="auto"/>
        <w:ind w:left="426"/>
        <w:jc w:val="both"/>
        <w:rPr>
          <w:rFonts w:asciiTheme="majorBidi" w:hAnsiTheme="majorBidi" w:cstheme="majorBidi"/>
          <w:kern w:val="28"/>
        </w:rPr>
      </w:pPr>
      <w:r w:rsidRPr="009572BB">
        <w:rPr>
          <w:rFonts w:asciiTheme="majorBidi" w:hAnsiTheme="majorBidi" w:cstheme="majorBidi"/>
          <w:kern w:val="28"/>
        </w:rPr>
        <w:t xml:space="preserve">Coefficient de Poisson:                              </w:t>
      </w:r>
      <w:r w:rsidRPr="00B81DE5">
        <w:rPr>
          <w:rFonts w:asciiTheme="majorBidi" w:hAnsiTheme="majorBidi" w:cstheme="majorBidi"/>
        </w:rPr>
        <w:t xml:space="preserve">  </w:t>
      </w:r>
      <w:r w:rsidRPr="006D4BC2">
        <w:rPr>
          <w:rFonts w:asciiTheme="majorBidi" w:hAnsiTheme="majorBidi" w:cstheme="majorBidi"/>
        </w:rPr>
        <w:t>υ</w:t>
      </w:r>
      <w:r w:rsidRPr="009572BB">
        <w:rPr>
          <w:rFonts w:asciiTheme="majorBidi" w:hAnsiTheme="majorBidi" w:cstheme="majorBidi"/>
          <w:kern w:val="28"/>
        </w:rPr>
        <w:t>=</w:t>
      </w:r>
      <m:oMath>
        <m:r>
          <w:rPr>
            <w:rFonts w:ascii="Cambria Math" w:hAnsiTheme="majorBidi" w:cstheme="majorBidi"/>
            <w:kern w:val="28"/>
          </w:rPr>
          <m:t xml:space="preserve"> </m:t>
        </m:r>
        <m:f>
          <m:fPr>
            <m:ctrlPr>
              <w:rPr>
                <w:rFonts w:ascii="Cambria Math" w:hAnsiTheme="majorBidi" w:cstheme="majorBidi"/>
                <w:iCs/>
                <w:kern w:val="28"/>
              </w:rPr>
            </m:ctrlPr>
          </m:fPr>
          <m:num>
            <m:sSubSup>
              <m:sSubSupPr>
                <m:ctrlPr>
                  <w:rPr>
                    <w:rFonts w:ascii="Cambria Math" w:hAnsiTheme="majorBidi"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L</m:t>
                </m:r>
                <m:r>
                  <m:rPr>
                    <m:sty m:val="p"/>
                  </m:rPr>
                  <w:rPr>
                    <w:rFonts w:ascii="Cambria Math" w:hAnsiTheme="majorBidi" w:cstheme="majorBidi"/>
                    <w:kern w:val="28"/>
                  </w:rPr>
                  <m:t xml:space="preserve"> </m:t>
                </m:r>
              </m:sub>
              <m:sup>
                <m:r>
                  <m:rPr>
                    <m:sty m:val="p"/>
                  </m:rPr>
                  <w:rPr>
                    <w:rFonts w:ascii="Cambria Math" w:hAnsiTheme="majorBidi" w:cstheme="majorBidi"/>
                    <w:kern w:val="28"/>
                  </w:rPr>
                  <m:t>2</m:t>
                </m:r>
              </m:sup>
            </m:sSubSup>
            <m:r>
              <m:rPr>
                <m:sty m:val="p"/>
              </m:rPr>
              <w:rPr>
                <w:rFonts w:ascii="Cambria Math" w:hAnsi="Cambria Math" w:cstheme="majorBidi"/>
                <w:kern w:val="28"/>
              </w:rPr>
              <m:t>-</m:t>
            </m:r>
            <m:r>
              <m:rPr>
                <m:sty m:val="p"/>
              </m:rPr>
              <w:rPr>
                <w:rFonts w:ascii="Cambria Math" w:hAnsiTheme="majorBidi" w:cstheme="majorBidi"/>
                <w:kern w:val="28"/>
              </w:rPr>
              <m:t xml:space="preserve"> 2</m:t>
            </m:r>
            <m:sSubSup>
              <m:sSubSupPr>
                <m:ctrlPr>
                  <w:rPr>
                    <w:rFonts w:ascii="Cambria Math" w:hAnsiTheme="majorBidi"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T</m:t>
                </m:r>
              </m:sub>
              <m:sup>
                <m:r>
                  <m:rPr>
                    <m:sty m:val="p"/>
                  </m:rPr>
                  <w:rPr>
                    <w:rFonts w:ascii="Cambria Math" w:hAnsiTheme="majorBidi" w:cstheme="majorBidi"/>
                    <w:kern w:val="28"/>
                  </w:rPr>
                  <m:t>2</m:t>
                </m:r>
              </m:sup>
            </m:sSubSup>
          </m:num>
          <m:den>
            <m:sSubSup>
              <m:sSubSupPr>
                <m:ctrlPr>
                  <w:rPr>
                    <w:rFonts w:ascii="Cambria Math" w:hAnsiTheme="majorBidi" w:cstheme="majorBidi"/>
                    <w:iCs/>
                    <w:kern w:val="28"/>
                  </w:rPr>
                </m:ctrlPr>
              </m:sSubSupPr>
              <m:e>
                <m:r>
                  <m:rPr>
                    <m:sty m:val="p"/>
                  </m:rPr>
                  <w:rPr>
                    <w:rFonts w:ascii="Cambria Math" w:hAnsiTheme="majorBidi" w:cstheme="majorBidi"/>
                    <w:kern w:val="28"/>
                  </w:rPr>
                  <m:t>2(</m:t>
                </m:r>
                <m:r>
                  <m:rPr>
                    <m:sty m:val="p"/>
                  </m:rPr>
                  <w:rPr>
                    <w:rFonts w:ascii="Cambria Math" w:hAnsi="Cambria Math" w:cstheme="majorBidi"/>
                    <w:kern w:val="28"/>
                  </w:rPr>
                  <m:t>V</m:t>
                </m:r>
              </m:e>
              <m:sub>
                <m:r>
                  <m:rPr>
                    <m:sty m:val="p"/>
                  </m:rPr>
                  <w:rPr>
                    <w:rFonts w:ascii="Cambria Math" w:hAnsi="Cambria Math" w:cstheme="majorBidi"/>
                    <w:kern w:val="28"/>
                  </w:rPr>
                  <m:t>L</m:t>
                </m:r>
                <m:r>
                  <m:rPr>
                    <m:sty m:val="p"/>
                  </m:rPr>
                  <w:rPr>
                    <w:rFonts w:ascii="Cambria Math" w:hAnsiTheme="majorBidi" w:cstheme="majorBidi"/>
                    <w:kern w:val="28"/>
                  </w:rPr>
                  <m:t xml:space="preserve"> </m:t>
                </m:r>
              </m:sub>
              <m:sup>
                <m:r>
                  <m:rPr>
                    <m:sty m:val="p"/>
                  </m:rPr>
                  <w:rPr>
                    <w:rFonts w:ascii="Cambria Math" w:hAnsiTheme="majorBidi" w:cstheme="majorBidi"/>
                    <w:kern w:val="28"/>
                  </w:rPr>
                  <m:t>2</m:t>
                </m:r>
              </m:sup>
            </m:sSubSup>
            <m:r>
              <m:rPr>
                <m:sty m:val="p"/>
              </m:rPr>
              <w:rPr>
                <w:rFonts w:ascii="Cambria Math" w:hAnsi="Cambria Math" w:cstheme="majorBidi"/>
                <w:kern w:val="28"/>
              </w:rPr>
              <m:t>-</m:t>
            </m:r>
            <m:r>
              <m:rPr>
                <m:sty m:val="p"/>
              </m:rPr>
              <w:rPr>
                <w:rFonts w:ascii="Cambria Math" w:hAnsiTheme="majorBidi" w:cstheme="majorBidi"/>
                <w:kern w:val="28"/>
              </w:rPr>
              <m:t xml:space="preserve"> </m:t>
            </m:r>
            <m:sSubSup>
              <m:sSubSupPr>
                <m:ctrlPr>
                  <w:rPr>
                    <w:rFonts w:ascii="Cambria Math" w:hAnsiTheme="majorBidi" w:cstheme="majorBidi"/>
                    <w:iCs/>
                    <w:kern w:val="28"/>
                  </w:rPr>
                </m:ctrlPr>
              </m:sSubSupPr>
              <m:e>
                <m:r>
                  <m:rPr>
                    <m:sty m:val="p"/>
                  </m:rPr>
                  <w:rPr>
                    <w:rFonts w:ascii="Cambria Math" w:hAnsi="Cambria Math" w:cstheme="majorBidi"/>
                    <w:kern w:val="28"/>
                  </w:rPr>
                  <m:t>V</m:t>
                </m:r>
              </m:e>
              <m:sub>
                <m:r>
                  <m:rPr>
                    <m:sty m:val="p"/>
                  </m:rPr>
                  <w:rPr>
                    <w:rFonts w:ascii="Cambria Math" w:hAnsi="Cambria Math" w:cstheme="majorBidi"/>
                    <w:kern w:val="28"/>
                  </w:rPr>
                  <m:t>T</m:t>
                </m:r>
              </m:sub>
              <m:sup>
                <m:r>
                  <m:rPr>
                    <m:sty m:val="p"/>
                  </m:rPr>
                  <w:rPr>
                    <w:rFonts w:ascii="Cambria Math" w:hAnsiTheme="majorBidi" w:cstheme="majorBidi"/>
                    <w:kern w:val="28"/>
                  </w:rPr>
                  <m:t>2</m:t>
                </m:r>
              </m:sup>
            </m:sSubSup>
            <m:r>
              <m:rPr>
                <m:sty m:val="p"/>
              </m:rPr>
              <w:rPr>
                <w:rFonts w:ascii="Cambria Math" w:hAnsiTheme="majorBidi" w:cstheme="majorBidi"/>
                <w:kern w:val="28"/>
              </w:rPr>
              <m:t>)</m:t>
            </m:r>
          </m:den>
        </m:f>
      </m:oMath>
      <w:r w:rsidRPr="009572BB">
        <w:rPr>
          <w:rFonts w:asciiTheme="majorBidi" w:hAnsiTheme="majorBidi" w:cstheme="majorBidi"/>
          <w:kern w:val="28"/>
        </w:rPr>
        <w:t xml:space="preserve">     </w:t>
      </w:r>
    </w:p>
    <w:p w:rsidR="00271E85" w:rsidRPr="009572BB" w:rsidRDefault="00271E85" w:rsidP="00271E85">
      <w:pPr>
        <w:widowControl w:val="0"/>
        <w:tabs>
          <w:tab w:val="left" w:pos="5490"/>
          <w:tab w:val="left" w:pos="5595"/>
        </w:tabs>
        <w:overflowPunct w:val="0"/>
        <w:autoSpaceDE w:val="0"/>
        <w:autoSpaceDN w:val="0"/>
        <w:adjustRightInd w:val="0"/>
        <w:spacing w:line="360" w:lineRule="auto"/>
        <w:ind w:left="425"/>
        <w:jc w:val="both"/>
        <w:rPr>
          <w:rFonts w:asciiTheme="majorBidi" w:hAnsiTheme="majorBidi" w:cstheme="majorBidi"/>
          <w:kern w:val="28"/>
        </w:rPr>
      </w:pPr>
      <w:r>
        <w:rPr>
          <w:rFonts w:asciiTheme="majorBidi" w:hAnsiTheme="majorBidi" w:cstheme="majorBidi"/>
          <w:kern w:val="28"/>
        </w:rPr>
        <w:t xml:space="preserve">Ou : </w:t>
      </w:r>
      <w:r w:rsidRPr="009572BB">
        <w:rPr>
          <w:rFonts w:asciiTheme="majorBidi" w:hAnsiTheme="majorBidi" w:cstheme="majorBidi"/>
          <w:kern w:val="28"/>
        </w:rPr>
        <w:t>V</w:t>
      </w:r>
      <w:r w:rsidRPr="009572BB">
        <w:rPr>
          <w:rFonts w:asciiTheme="majorBidi" w:hAnsiTheme="majorBidi" w:cstheme="majorBidi"/>
          <w:kern w:val="28"/>
          <w:vertAlign w:val="subscript"/>
        </w:rPr>
        <w:t>L</w:t>
      </w:r>
      <w:r>
        <w:rPr>
          <w:rFonts w:asciiTheme="majorBidi" w:hAnsiTheme="majorBidi" w:cstheme="majorBidi"/>
          <w:kern w:val="28"/>
        </w:rPr>
        <w:t xml:space="preserve"> est la</w:t>
      </w:r>
      <w:r w:rsidRPr="009572BB">
        <w:rPr>
          <w:rFonts w:asciiTheme="majorBidi" w:hAnsiTheme="majorBidi" w:cstheme="majorBidi"/>
          <w:kern w:val="28"/>
        </w:rPr>
        <w:t xml:space="preserve"> vitesse de propagation longitudinale</w:t>
      </w:r>
    </w:p>
    <w:p w:rsidR="00271E85" w:rsidRPr="009572BB" w:rsidRDefault="00E33206" w:rsidP="00271E85">
      <w:pPr>
        <w:widowControl w:val="0"/>
        <w:tabs>
          <w:tab w:val="left" w:pos="5490"/>
          <w:tab w:val="left" w:pos="5595"/>
        </w:tabs>
        <w:overflowPunct w:val="0"/>
        <w:autoSpaceDE w:val="0"/>
        <w:autoSpaceDN w:val="0"/>
        <w:adjustRightInd w:val="0"/>
        <w:spacing w:line="360" w:lineRule="auto"/>
        <w:ind w:left="425"/>
        <w:jc w:val="both"/>
        <w:rPr>
          <w:rFonts w:asciiTheme="majorBidi" w:hAnsiTheme="majorBidi" w:cstheme="majorBidi"/>
          <w:kern w:val="28"/>
        </w:rPr>
      </w:pPr>
      <w:r>
        <w:rPr>
          <w:rFonts w:asciiTheme="majorBidi" w:hAnsiTheme="majorBidi" w:cstheme="majorBidi"/>
          <w:kern w:val="28"/>
        </w:rPr>
        <w:t xml:space="preserve">        </w:t>
      </w:r>
      <w:r w:rsidR="00271E85" w:rsidRPr="009572BB">
        <w:rPr>
          <w:rFonts w:asciiTheme="majorBidi" w:hAnsiTheme="majorBidi" w:cstheme="majorBidi"/>
          <w:kern w:val="28"/>
        </w:rPr>
        <w:t>V</w:t>
      </w:r>
      <w:r w:rsidR="00271E85" w:rsidRPr="009572BB">
        <w:rPr>
          <w:rFonts w:asciiTheme="majorBidi" w:hAnsiTheme="majorBidi" w:cstheme="majorBidi"/>
          <w:kern w:val="28"/>
          <w:vertAlign w:val="subscript"/>
        </w:rPr>
        <w:t>T</w:t>
      </w:r>
      <w:r w:rsidR="00271E85">
        <w:rPr>
          <w:rFonts w:asciiTheme="majorBidi" w:hAnsiTheme="majorBidi" w:cstheme="majorBidi"/>
          <w:kern w:val="28"/>
        </w:rPr>
        <w:t xml:space="preserve"> est la</w:t>
      </w:r>
      <w:r w:rsidR="00271E85" w:rsidRPr="009572BB">
        <w:rPr>
          <w:rFonts w:asciiTheme="majorBidi" w:hAnsiTheme="majorBidi" w:cstheme="majorBidi"/>
          <w:kern w:val="28"/>
        </w:rPr>
        <w:t xml:space="preserve"> vitesse de propagation transversale   </w:t>
      </w:r>
    </w:p>
    <w:p w:rsidR="00271E85" w:rsidRDefault="00E33206" w:rsidP="00271E85">
      <w:pPr>
        <w:pStyle w:val="Normal6"/>
        <w:spacing w:line="360" w:lineRule="auto"/>
        <w:jc w:val="both"/>
        <w:rPr>
          <w:rFonts w:asciiTheme="majorBidi" w:hAnsiTheme="majorBidi" w:cstheme="majorBidi"/>
          <w:kern w:val="28"/>
        </w:rPr>
      </w:pPr>
      <w:r>
        <w:rPr>
          <w:rFonts w:asciiTheme="majorBidi" w:hAnsiTheme="majorBidi" w:cstheme="majorBidi"/>
          <w:kern w:val="28"/>
        </w:rPr>
        <w:t xml:space="preserve">                </w:t>
      </w:r>
      <w:r w:rsidR="00271E85" w:rsidRPr="009572BB">
        <w:rPr>
          <w:rFonts w:asciiTheme="majorBidi" w:hAnsiTheme="majorBidi" w:cstheme="majorBidi"/>
          <w:kern w:val="28"/>
        </w:rPr>
        <w:sym w:font="Symbol" w:char="F072"/>
      </w:r>
      <w:r w:rsidR="00271E85" w:rsidRPr="0096495A">
        <w:rPr>
          <w:rFonts w:asciiTheme="majorBidi" w:hAnsiTheme="majorBidi" w:cstheme="majorBidi"/>
          <w:kern w:val="28"/>
        </w:rPr>
        <w:t xml:space="preserve"> </w:t>
      </w:r>
      <w:r w:rsidR="00271E85">
        <w:rPr>
          <w:rFonts w:asciiTheme="majorBidi" w:hAnsiTheme="majorBidi" w:cstheme="majorBidi"/>
          <w:kern w:val="28"/>
        </w:rPr>
        <w:t>est la masse volumique.</w:t>
      </w:r>
    </w:p>
    <w:p w:rsidR="00271E85" w:rsidRDefault="00271E85" w:rsidP="00271E85">
      <w:pPr>
        <w:pStyle w:val="Normal6"/>
        <w:spacing w:line="360" w:lineRule="auto"/>
        <w:jc w:val="both"/>
        <w:rPr>
          <w:rFonts w:asciiTheme="majorBidi" w:hAnsiTheme="majorBidi" w:cstheme="majorBidi"/>
          <w:kern w:val="28"/>
        </w:rPr>
      </w:pPr>
    </w:p>
    <w:p w:rsidR="00271E85" w:rsidRDefault="00271E85" w:rsidP="00271E85">
      <w:pPr>
        <w:pStyle w:val="Normal6"/>
        <w:spacing w:line="360" w:lineRule="auto"/>
        <w:jc w:val="both"/>
        <w:rPr>
          <w:rFonts w:asciiTheme="majorBidi" w:hAnsiTheme="majorBidi" w:cstheme="majorBidi"/>
          <w:kern w:val="28"/>
        </w:rPr>
      </w:pPr>
    </w:p>
    <w:p w:rsidR="00271E85" w:rsidRDefault="00271E85" w:rsidP="00271E85">
      <w:pPr>
        <w:pStyle w:val="Normal6"/>
        <w:spacing w:line="360" w:lineRule="auto"/>
        <w:jc w:val="both"/>
        <w:rPr>
          <w:rFonts w:asciiTheme="majorBidi" w:hAnsiTheme="majorBidi" w:cstheme="majorBidi"/>
          <w:kern w:val="28"/>
        </w:rPr>
      </w:pPr>
    </w:p>
    <w:p w:rsidR="008333F8" w:rsidRDefault="008333F8" w:rsidP="00271E85">
      <w:pPr>
        <w:pStyle w:val="Normal6"/>
        <w:spacing w:line="360" w:lineRule="auto"/>
        <w:jc w:val="both"/>
        <w:rPr>
          <w:rFonts w:asciiTheme="majorBidi" w:hAnsiTheme="majorBidi" w:cstheme="majorBidi"/>
          <w:kern w:val="28"/>
        </w:rPr>
      </w:pPr>
    </w:p>
    <w:p w:rsidR="008333F8" w:rsidRDefault="008333F8" w:rsidP="00271E85">
      <w:pPr>
        <w:pStyle w:val="Normal6"/>
        <w:spacing w:line="360" w:lineRule="auto"/>
        <w:jc w:val="both"/>
        <w:rPr>
          <w:rFonts w:asciiTheme="majorBidi" w:hAnsiTheme="majorBidi" w:cstheme="majorBidi"/>
          <w:kern w:val="28"/>
        </w:rPr>
      </w:pPr>
    </w:p>
    <w:p w:rsidR="008333F8" w:rsidRDefault="008333F8" w:rsidP="00271E85">
      <w:pPr>
        <w:pStyle w:val="Normal6"/>
        <w:spacing w:line="360" w:lineRule="auto"/>
        <w:jc w:val="both"/>
        <w:rPr>
          <w:rFonts w:asciiTheme="majorBidi" w:hAnsiTheme="majorBidi" w:cstheme="majorBidi"/>
          <w:kern w:val="28"/>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64298D" w:rsidRDefault="0064298D" w:rsidP="0064298D">
      <w:pPr>
        <w:pStyle w:val="Default"/>
        <w:rPr>
          <w:lang w:eastAsia="en-US"/>
        </w:rPr>
      </w:pPr>
    </w:p>
    <w:p w:rsidR="00D7432D" w:rsidRDefault="008A5ECE" w:rsidP="00D7432D">
      <w:pPr>
        <w:pStyle w:val="Normal6"/>
        <w:spacing w:line="360" w:lineRule="auto"/>
        <w:jc w:val="both"/>
      </w:pPr>
      <w:r w:rsidRPr="00164FC9">
        <w:rPr>
          <w:b/>
          <w:bCs/>
        </w:rPr>
        <w:t>Référence</w:t>
      </w:r>
    </w:p>
    <w:p w:rsidR="0087796A" w:rsidRPr="00164FC9" w:rsidRDefault="00D7432D" w:rsidP="00D7432D">
      <w:pPr>
        <w:spacing w:line="360" w:lineRule="auto"/>
        <w:jc w:val="both"/>
      </w:pPr>
      <w:r w:rsidRPr="00164FC9">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4"/>
      </w:tblGrid>
      <w:tr w:rsidR="00F15899" w:rsidRPr="00D7432D" w:rsidTr="00D7432D">
        <w:trPr>
          <w:trHeight w:val="671"/>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[1]</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M. R. Lionel, Thèse de l’Université Bordeaux 1,  (2010).</w:t>
            </w:r>
          </w:p>
        </w:tc>
      </w:tr>
      <w:tr w:rsidR="00F15899" w:rsidRPr="00D7432D" w:rsidTr="00D7432D">
        <w:trPr>
          <w:trHeight w:val="681"/>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[2]</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F. Rahal, mémoire de magistère de l’Université de Biskra,</w:t>
            </w:r>
          </w:p>
        </w:tc>
      </w:tr>
      <w:tr w:rsidR="00F15899" w:rsidRPr="00D7432D" w:rsidTr="00D7432D">
        <w:trPr>
          <w:trHeight w:val="705"/>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[3]</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lang w:bidi="ar-DZ"/>
              </w:rPr>
              <w:t>B. Dubois, Thèse de l’Université de Bordeaux I, (1984).</w:t>
            </w:r>
          </w:p>
        </w:tc>
      </w:tr>
      <w:tr w:rsidR="00F15899" w:rsidRPr="00D7432D" w:rsidTr="00D7432D">
        <w:trPr>
          <w:trHeight w:val="701"/>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[4]</w:t>
            </w:r>
          </w:p>
        </w:tc>
        <w:tc>
          <w:tcPr>
            <w:tcW w:w="8394" w:type="dxa"/>
            <w:shd w:val="clear" w:color="auto" w:fill="FFFFFF" w:themeFill="background1"/>
          </w:tcPr>
          <w:p w:rsidR="00D7432D" w:rsidRPr="00D7432D" w:rsidRDefault="00D7432D" w:rsidP="00D7432D">
            <w:pPr>
              <w:tabs>
                <w:tab w:val="num" w:pos="540"/>
                <w:tab w:val="left" w:pos="567"/>
              </w:tabs>
              <w:spacing w:line="360" w:lineRule="auto"/>
              <w:jc w:val="both"/>
              <w:rPr>
                <w:sz w:val="24"/>
                <w:szCs w:val="24"/>
              </w:rPr>
            </w:pPr>
            <w:r w:rsidRPr="00D7432D">
              <w:rPr>
                <w:sz w:val="24"/>
                <w:szCs w:val="24"/>
              </w:rPr>
              <w:t>S. Ungar, Fibres Optiques, Théorie et application, Bordas, Paris,  (1989).</w:t>
            </w:r>
          </w:p>
          <w:p w:rsidR="00F15899" w:rsidRPr="00D7432D" w:rsidRDefault="00F15899" w:rsidP="00D7432D">
            <w:pPr>
              <w:autoSpaceDE w:val="0"/>
              <w:autoSpaceDN w:val="0"/>
              <w:adjustRightInd w:val="0"/>
              <w:spacing w:line="360" w:lineRule="auto"/>
              <w:rPr>
                <w:rFonts w:eastAsiaTheme="minorHAnsi"/>
                <w:sz w:val="24"/>
                <w:szCs w:val="24"/>
                <w:lang w:eastAsia="en-US"/>
              </w:rPr>
            </w:pPr>
          </w:p>
        </w:tc>
      </w:tr>
      <w:tr w:rsidR="00F15899" w:rsidRPr="00D7432D" w:rsidTr="00D7432D">
        <w:trPr>
          <w:trHeight w:val="697"/>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[5]</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 xml:space="preserve">P. Millet, P. Weiss, Propriétés physique des matériaux dentaires, cours, (2009).     </w:t>
            </w:r>
          </w:p>
        </w:tc>
      </w:tr>
      <w:tr w:rsidR="00F15899" w:rsidRPr="00F715F0" w:rsidTr="00D7432D">
        <w:trPr>
          <w:trHeight w:val="693"/>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[6]</w:t>
            </w:r>
          </w:p>
        </w:tc>
        <w:tc>
          <w:tcPr>
            <w:tcW w:w="8394" w:type="dxa"/>
            <w:shd w:val="clear" w:color="auto" w:fill="FFFFFF" w:themeFill="background1"/>
          </w:tcPr>
          <w:p w:rsidR="00D7432D" w:rsidRPr="00D7432D" w:rsidRDefault="00D7432D" w:rsidP="00D7432D">
            <w:pPr>
              <w:tabs>
                <w:tab w:val="num" w:pos="540"/>
                <w:tab w:val="left" w:pos="567"/>
              </w:tabs>
              <w:spacing w:line="360" w:lineRule="auto"/>
              <w:jc w:val="both"/>
              <w:rPr>
                <w:sz w:val="24"/>
                <w:szCs w:val="24"/>
                <w:lang w:val="en-US"/>
              </w:rPr>
            </w:pPr>
            <w:r w:rsidRPr="00D7432D">
              <w:rPr>
                <w:sz w:val="24"/>
                <w:szCs w:val="24"/>
                <w:lang w:val="en-US"/>
              </w:rPr>
              <w:t>M. Csele, Fundamentals of light sources and laser, Wiley-Interscience publication (2004).</w:t>
            </w:r>
          </w:p>
          <w:p w:rsidR="00F15899" w:rsidRPr="00D7432D" w:rsidRDefault="00F15899" w:rsidP="00D7432D">
            <w:pPr>
              <w:autoSpaceDE w:val="0"/>
              <w:autoSpaceDN w:val="0"/>
              <w:adjustRightInd w:val="0"/>
              <w:spacing w:line="360" w:lineRule="auto"/>
              <w:rPr>
                <w:rFonts w:eastAsiaTheme="minorHAnsi"/>
                <w:sz w:val="24"/>
                <w:szCs w:val="24"/>
                <w:lang w:val="en-US" w:eastAsia="en-US"/>
              </w:rPr>
            </w:pPr>
          </w:p>
        </w:tc>
      </w:tr>
      <w:tr w:rsidR="00F15899" w:rsidRPr="00D7432D" w:rsidTr="00D7432D">
        <w:trPr>
          <w:trHeight w:val="703"/>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[7]</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V.  Nazaball, Thèse de l’Université de Bordeaux I, (1999).</w:t>
            </w:r>
          </w:p>
        </w:tc>
      </w:tr>
      <w:tr w:rsidR="00F15899" w:rsidRPr="00D7432D" w:rsidTr="00D7432D">
        <w:trPr>
          <w:trHeight w:val="713"/>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[8]</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H. Keppler, Am. Min., 77, (1992) 62-75.</w:t>
            </w:r>
          </w:p>
        </w:tc>
      </w:tr>
      <w:tr w:rsidR="00F15899" w:rsidRPr="00D7432D" w:rsidTr="00D7432D">
        <w:trPr>
          <w:trHeight w:val="713"/>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[9]</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lang w:bidi="ar-DZ"/>
              </w:rPr>
              <w:t>L. Petit, Thèse de l’Université de Bordeaux (2002).</w:t>
            </w:r>
          </w:p>
        </w:tc>
      </w:tr>
      <w:tr w:rsidR="00F15899" w:rsidRPr="00D7432D" w:rsidTr="00D7432D">
        <w:trPr>
          <w:trHeight w:val="713"/>
        </w:trPr>
        <w:tc>
          <w:tcPr>
            <w:tcW w:w="817" w:type="dxa"/>
            <w:shd w:val="clear" w:color="auto" w:fill="FFFFFF" w:themeFill="background1"/>
          </w:tcPr>
          <w:p w:rsidR="00F15899" w:rsidRPr="00D7432D" w:rsidRDefault="00F15899" w:rsidP="00D7432D">
            <w:pPr>
              <w:autoSpaceDE w:val="0"/>
              <w:autoSpaceDN w:val="0"/>
              <w:adjustRightInd w:val="0"/>
              <w:spacing w:line="360" w:lineRule="auto"/>
              <w:rPr>
                <w:rFonts w:eastAsiaTheme="minorHAnsi"/>
                <w:sz w:val="24"/>
                <w:szCs w:val="24"/>
                <w:lang w:eastAsia="en-US"/>
              </w:rPr>
            </w:pPr>
            <w:r w:rsidRPr="00D7432D">
              <w:rPr>
                <w:sz w:val="24"/>
                <w:szCs w:val="24"/>
              </w:rPr>
              <w:t>[10]</w:t>
            </w:r>
          </w:p>
        </w:tc>
        <w:tc>
          <w:tcPr>
            <w:tcW w:w="8394" w:type="dxa"/>
            <w:shd w:val="clear" w:color="auto" w:fill="FFFFFF" w:themeFill="background1"/>
          </w:tcPr>
          <w:p w:rsidR="00F15899" w:rsidRPr="00D7432D" w:rsidRDefault="00D7432D" w:rsidP="00D7432D">
            <w:pPr>
              <w:autoSpaceDE w:val="0"/>
              <w:autoSpaceDN w:val="0"/>
              <w:adjustRightInd w:val="0"/>
              <w:spacing w:line="360" w:lineRule="auto"/>
              <w:rPr>
                <w:rFonts w:eastAsiaTheme="minorHAnsi"/>
                <w:sz w:val="24"/>
                <w:szCs w:val="24"/>
                <w:lang w:eastAsia="en-US"/>
              </w:rPr>
            </w:pPr>
            <w:r w:rsidRPr="00D7432D">
              <w:rPr>
                <w:sz w:val="24"/>
                <w:szCs w:val="24"/>
              </w:rPr>
              <w:t>J. Zarzycki, Les verres et l’état vitreux, Masson, Paris, (1982).</w:t>
            </w:r>
          </w:p>
        </w:tc>
      </w:tr>
    </w:tbl>
    <w:p w:rsidR="00DE6557" w:rsidRPr="00D7432D" w:rsidRDefault="00DE6557" w:rsidP="00D7432D">
      <w:pPr>
        <w:autoSpaceDE w:val="0"/>
        <w:autoSpaceDN w:val="0"/>
        <w:adjustRightInd w:val="0"/>
        <w:spacing w:line="360" w:lineRule="auto"/>
        <w:rPr>
          <w:rFonts w:eastAsiaTheme="minorHAnsi"/>
          <w:lang w:eastAsia="en-US"/>
        </w:rPr>
      </w:pPr>
    </w:p>
    <w:sectPr w:rsidR="00DE6557" w:rsidRPr="00D7432D" w:rsidSect="0064298D">
      <w:headerReference w:type="default" r:id="rId18"/>
      <w:footerReference w:type="default" r:id="rId19"/>
      <w:pgSz w:w="11906" w:h="16838"/>
      <w:pgMar w:top="1134" w:right="1134" w:bottom="1134" w:left="1701"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FE8" w:rsidRDefault="00901FE8" w:rsidP="00FA332D">
      <w:r>
        <w:separator/>
      </w:r>
    </w:p>
  </w:endnote>
  <w:endnote w:type="continuationSeparator" w:id="1">
    <w:p w:rsidR="00901FE8" w:rsidRDefault="00901FE8" w:rsidP="00FA3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028"/>
      <w:docPartObj>
        <w:docPartGallery w:val="Page Numbers (Bottom of Page)"/>
        <w:docPartUnique/>
      </w:docPartObj>
    </w:sdtPr>
    <w:sdtContent>
      <w:p w:rsidR="003652C7" w:rsidRDefault="004F697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8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81">
                <w:txbxContent>
                  <w:p w:rsidR="0064298D" w:rsidRDefault="004F6977">
                    <w:pPr>
                      <w:jc w:val="center"/>
                    </w:pPr>
                    <w:fldSimple w:instr=" PAGE    \* MERGEFORMAT ">
                      <w:r w:rsidR="00F715F0" w:rsidRPr="00F715F0">
                        <w:rPr>
                          <w:noProof/>
                          <w:sz w:val="16"/>
                          <w:szCs w:val="16"/>
                        </w:rPr>
                        <w:t>28</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FE8" w:rsidRDefault="00901FE8" w:rsidP="00FA332D">
      <w:r>
        <w:separator/>
      </w:r>
    </w:p>
  </w:footnote>
  <w:footnote w:type="continuationSeparator" w:id="1">
    <w:p w:rsidR="00901FE8" w:rsidRDefault="00901FE8" w:rsidP="00FA3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637" w:rsidRPr="006B7637" w:rsidRDefault="006B7637" w:rsidP="006B7637">
    <w:pPr>
      <w:pStyle w:val="En-tte"/>
      <w:rPr>
        <w:b/>
        <w:bCs/>
      </w:rPr>
    </w:pPr>
    <w:r w:rsidRPr="006B7637">
      <w:rPr>
        <w:b/>
        <w:bCs/>
      </w:rPr>
      <w:t>Chapitre  II                                                                                  Méthodes de caractérisation</w:t>
    </w:r>
  </w:p>
  <w:p w:rsidR="003652C7" w:rsidRDefault="00365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5E0"/>
    <w:multiLevelType w:val="hybridMultilevel"/>
    <w:tmpl w:val="EE12CEFC"/>
    <w:lvl w:ilvl="0" w:tplc="028AD71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782368"/>
    <w:multiLevelType w:val="multilevel"/>
    <w:tmpl w:val="D062CC1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9423A00"/>
    <w:multiLevelType w:val="hybridMultilevel"/>
    <w:tmpl w:val="C9C29776"/>
    <w:lvl w:ilvl="0" w:tplc="1C2667D6">
      <w:start w:val="1"/>
      <w:numFmt w:val="decimal"/>
      <w:lvlText w:val="[%1]"/>
      <w:lvlJc w:val="left"/>
      <w:pPr>
        <w:tabs>
          <w:tab w:val="num" w:pos="510"/>
        </w:tabs>
        <w:ind w:left="567" w:right="927" w:hanging="567"/>
      </w:pPr>
      <w:rPr>
        <w:rFonts w:hint="default"/>
      </w:rPr>
    </w:lvl>
    <w:lvl w:ilvl="1" w:tplc="040C0019" w:tentative="1">
      <w:start w:val="1"/>
      <w:numFmt w:val="lowerLetter"/>
      <w:lvlText w:val="%2."/>
      <w:lvlJc w:val="left"/>
      <w:pPr>
        <w:tabs>
          <w:tab w:val="num" w:pos="1080"/>
        </w:tabs>
        <w:ind w:left="1080" w:right="1440" w:hanging="360"/>
      </w:pPr>
    </w:lvl>
    <w:lvl w:ilvl="2" w:tplc="040C001B" w:tentative="1">
      <w:start w:val="1"/>
      <w:numFmt w:val="lowerRoman"/>
      <w:lvlText w:val="%3."/>
      <w:lvlJc w:val="right"/>
      <w:pPr>
        <w:tabs>
          <w:tab w:val="num" w:pos="1800"/>
        </w:tabs>
        <w:ind w:left="1800" w:right="2160" w:hanging="180"/>
      </w:pPr>
    </w:lvl>
    <w:lvl w:ilvl="3" w:tplc="040C000F" w:tentative="1">
      <w:start w:val="1"/>
      <w:numFmt w:val="decimal"/>
      <w:lvlText w:val="%4."/>
      <w:lvlJc w:val="left"/>
      <w:pPr>
        <w:tabs>
          <w:tab w:val="num" w:pos="2520"/>
        </w:tabs>
        <w:ind w:left="2520" w:right="2880" w:hanging="360"/>
      </w:pPr>
    </w:lvl>
    <w:lvl w:ilvl="4" w:tplc="040C0019" w:tentative="1">
      <w:start w:val="1"/>
      <w:numFmt w:val="lowerLetter"/>
      <w:lvlText w:val="%5."/>
      <w:lvlJc w:val="left"/>
      <w:pPr>
        <w:tabs>
          <w:tab w:val="num" w:pos="3240"/>
        </w:tabs>
        <w:ind w:left="3240" w:right="3600" w:hanging="360"/>
      </w:pPr>
    </w:lvl>
    <w:lvl w:ilvl="5" w:tplc="040C001B" w:tentative="1">
      <w:start w:val="1"/>
      <w:numFmt w:val="lowerRoman"/>
      <w:lvlText w:val="%6."/>
      <w:lvlJc w:val="right"/>
      <w:pPr>
        <w:tabs>
          <w:tab w:val="num" w:pos="3960"/>
        </w:tabs>
        <w:ind w:left="3960" w:right="4320" w:hanging="180"/>
      </w:pPr>
    </w:lvl>
    <w:lvl w:ilvl="6" w:tplc="040C000F" w:tentative="1">
      <w:start w:val="1"/>
      <w:numFmt w:val="decimal"/>
      <w:lvlText w:val="%7."/>
      <w:lvlJc w:val="left"/>
      <w:pPr>
        <w:tabs>
          <w:tab w:val="num" w:pos="4680"/>
        </w:tabs>
        <w:ind w:left="4680" w:right="5040" w:hanging="360"/>
      </w:pPr>
    </w:lvl>
    <w:lvl w:ilvl="7" w:tplc="040C0019" w:tentative="1">
      <w:start w:val="1"/>
      <w:numFmt w:val="lowerLetter"/>
      <w:lvlText w:val="%8."/>
      <w:lvlJc w:val="left"/>
      <w:pPr>
        <w:tabs>
          <w:tab w:val="num" w:pos="5400"/>
        </w:tabs>
        <w:ind w:left="5400" w:right="5760" w:hanging="360"/>
      </w:pPr>
    </w:lvl>
    <w:lvl w:ilvl="8" w:tplc="040C001B" w:tentative="1">
      <w:start w:val="1"/>
      <w:numFmt w:val="lowerRoman"/>
      <w:lvlText w:val="%9."/>
      <w:lvlJc w:val="right"/>
      <w:pPr>
        <w:tabs>
          <w:tab w:val="num" w:pos="6120"/>
        </w:tabs>
        <w:ind w:left="6120" w:right="6480" w:hanging="180"/>
      </w:pPr>
    </w:lvl>
  </w:abstractNum>
  <w:abstractNum w:abstractNumId="3">
    <w:nsid w:val="2C920C68"/>
    <w:multiLevelType w:val="hybridMultilevel"/>
    <w:tmpl w:val="3F8EA998"/>
    <w:lvl w:ilvl="0" w:tplc="040C0017">
      <w:start w:val="1"/>
      <w:numFmt w:val="low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F746AB"/>
    <w:multiLevelType w:val="hybridMultilevel"/>
    <w:tmpl w:val="99DACB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C0788B"/>
    <w:multiLevelType w:val="hybridMultilevel"/>
    <w:tmpl w:val="56C2AFF6"/>
    <w:lvl w:ilvl="0" w:tplc="2758DDD2">
      <w:start w:val="1"/>
      <w:numFmt w:val="lowerLetter"/>
      <w:lvlText w:val="%1)"/>
      <w:lvlJc w:val="left"/>
      <w:pPr>
        <w:ind w:left="360" w:hanging="360"/>
      </w:pPr>
      <w:rPr>
        <w:rFonts w:hint="default"/>
        <w:b/>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20"/>
    </o:shapelayout>
  </w:hdrShapeDefaults>
  <w:footnotePr>
    <w:footnote w:id="0"/>
    <w:footnote w:id="1"/>
  </w:footnotePr>
  <w:endnotePr>
    <w:endnote w:id="0"/>
    <w:endnote w:id="1"/>
  </w:endnotePr>
  <w:compat/>
  <w:rsids>
    <w:rsidRoot w:val="00AD5683"/>
    <w:rsid w:val="0001027A"/>
    <w:rsid w:val="000177C3"/>
    <w:rsid w:val="00041E7D"/>
    <w:rsid w:val="00051420"/>
    <w:rsid w:val="00067026"/>
    <w:rsid w:val="000838C7"/>
    <w:rsid w:val="0008462A"/>
    <w:rsid w:val="000943F6"/>
    <w:rsid w:val="00097FCC"/>
    <w:rsid w:val="000B3E9D"/>
    <w:rsid w:val="000B3F34"/>
    <w:rsid w:val="000C1F92"/>
    <w:rsid w:val="000C31DF"/>
    <w:rsid w:val="000D4B28"/>
    <w:rsid w:val="000D4EB1"/>
    <w:rsid w:val="000D7E56"/>
    <w:rsid w:val="000E3AD3"/>
    <w:rsid w:val="000E4F81"/>
    <w:rsid w:val="00101AEC"/>
    <w:rsid w:val="0010540C"/>
    <w:rsid w:val="0011001A"/>
    <w:rsid w:val="001134C3"/>
    <w:rsid w:val="001170EC"/>
    <w:rsid w:val="00123789"/>
    <w:rsid w:val="001240A3"/>
    <w:rsid w:val="00143F13"/>
    <w:rsid w:val="00157B47"/>
    <w:rsid w:val="00161BFD"/>
    <w:rsid w:val="00164FC9"/>
    <w:rsid w:val="001748A4"/>
    <w:rsid w:val="00180C2F"/>
    <w:rsid w:val="001875D9"/>
    <w:rsid w:val="001A0612"/>
    <w:rsid w:val="001A25ED"/>
    <w:rsid w:val="001F279A"/>
    <w:rsid w:val="00223242"/>
    <w:rsid w:val="0022484F"/>
    <w:rsid w:val="002464FF"/>
    <w:rsid w:val="0025465D"/>
    <w:rsid w:val="0026399C"/>
    <w:rsid w:val="00271E85"/>
    <w:rsid w:val="002A305D"/>
    <w:rsid w:val="002A5559"/>
    <w:rsid w:val="002B0E09"/>
    <w:rsid w:val="002B20DC"/>
    <w:rsid w:val="002D430D"/>
    <w:rsid w:val="002D44B6"/>
    <w:rsid w:val="002E5567"/>
    <w:rsid w:val="002F1A0A"/>
    <w:rsid w:val="002F1ED8"/>
    <w:rsid w:val="002F33E1"/>
    <w:rsid w:val="002F461C"/>
    <w:rsid w:val="003213F8"/>
    <w:rsid w:val="003346F6"/>
    <w:rsid w:val="00335867"/>
    <w:rsid w:val="003652C7"/>
    <w:rsid w:val="0038126A"/>
    <w:rsid w:val="0039366B"/>
    <w:rsid w:val="00396374"/>
    <w:rsid w:val="003975AA"/>
    <w:rsid w:val="003A1B14"/>
    <w:rsid w:val="003A720D"/>
    <w:rsid w:val="003C1E4C"/>
    <w:rsid w:val="003C32B0"/>
    <w:rsid w:val="003D3848"/>
    <w:rsid w:val="003D3E05"/>
    <w:rsid w:val="003D666A"/>
    <w:rsid w:val="003E2E0F"/>
    <w:rsid w:val="003E5C83"/>
    <w:rsid w:val="003F73F9"/>
    <w:rsid w:val="00401A3E"/>
    <w:rsid w:val="00403F72"/>
    <w:rsid w:val="00404D06"/>
    <w:rsid w:val="00420E9A"/>
    <w:rsid w:val="0044216F"/>
    <w:rsid w:val="00452935"/>
    <w:rsid w:val="004553FE"/>
    <w:rsid w:val="00457580"/>
    <w:rsid w:val="0046240C"/>
    <w:rsid w:val="004660E7"/>
    <w:rsid w:val="00490D96"/>
    <w:rsid w:val="004A3557"/>
    <w:rsid w:val="004B5600"/>
    <w:rsid w:val="004C3BD4"/>
    <w:rsid w:val="004D6014"/>
    <w:rsid w:val="004F3884"/>
    <w:rsid w:val="004F6977"/>
    <w:rsid w:val="004F779E"/>
    <w:rsid w:val="0050120B"/>
    <w:rsid w:val="005027B8"/>
    <w:rsid w:val="00502BC2"/>
    <w:rsid w:val="00514282"/>
    <w:rsid w:val="00514C05"/>
    <w:rsid w:val="00524D64"/>
    <w:rsid w:val="00527711"/>
    <w:rsid w:val="00531872"/>
    <w:rsid w:val="00531EB2"/>
    <w:rsid w:val="0053573E"/>
    <w:rsid w:val="005607C7"/>
    <w:rsid w:val="00583E6A"/>
    <w:rsid w:val="005A281C"/>
    <w:rsid w:val="005A2BEF"/>
    <w:rsid w:val="005B0AF8"/>
    <w:rsid w:val="005C410D"/>
    <w:rsid w:val="005D6653"/>
    <w:rsid w:val="005E09A3"/>
    <w:rsid w:val="005E3F8D"/>
    <w:rsid w:val="005E768A"/>
    <w:rsid w:val="00601369"/>
    <w:rsid w:val="00606F17"/>
    <w:rsid w:val="00607595"/>
    <w:rsid w:val="00615CDA"/>
    <w:rsid w:val="0062023C"/>
    <w:rsid w:val="00622861"/>
    <w:rsid w:val="00625D39"/>
    <w:rsid w:val="0064298D"/>
    <w:rsid w:val="00646007"/>
    <w:rsid w:val="0065118D"/>
    <w:rsid w:val="00656D28"/>
    <w:rsid w:val="00670BF3"/>
    <w:rsid w:val="006808EF"/>
    <w:rsid w:val="00682F81"/>
    <w:rsid w:val="006878F2"/>
    <w:rsid w:val="00690362"/>
    <w:rsid w:val="00691E77"/>
    <w:rsid w:val="00693E17"/>
    <w:rsid w:val="006A3C45"/>
    <w:rsid w:val="006B7637"/>
    <w:rsid w:val="006C1F99"/>
    <w:rsid w:val="006F0E17"/>
    <w:rsid w:val="006F45B2"/>
    <w:rsid w:val="00703748"/>
    <w:rsid w:val="00711FDC"/>
    <w:rsid w:val="00714E2D"/>
    <w:rsid w:val="00721E76"/>
    <w:rsid w:val="00722C7E"/>
    <w:rsid w:val="00723A76"/>
    <w:rsid w:val="00732268"/>
    <w:rsid w:val="00733E23"/>
    <w:rsid w:val="00770B86"/>
    <w:rsid w:val="0077247F"/>
    <w:rsid w:val="007741EE"/>
    <w:rsid w:val="007A623D"/>
    <w:rsid w:val="007C73DC"/>
    <w:rsid w:val="007D35C6"/>
    <w:rsid w:val="007E21E4"/>
    <w:rsid w:val="007E5359"/>
    <w:rsid w:val="007E67DE"/>
    <w:rsid w:val="0082070D"/>
    <w:rsid w:val="008308D8"/>
    <w:rsid w:val="008333F8"/>
    <w:rsid w:val="00835611"/>
    <w:rsid w:val="00844B9B"/>
    <w:rsid w:val="00846DE0"/>
    <w:rsid w:val="00847613"/>
    <w:rsid w:val="008732E4"/>
    <w:rsid w:val="00875838"/>
    <w:rsid w:val="008761ED"/>
    <w:rsid w:val="008769C5"/>
    <w:rsid w:val="0087796A"/>
    <w:rsid w:val="00884F27"/>
    <w:rsid w:val="008871CC"/>
    <w:rsid w:val="00891CF5"/>
    <w:rsid w:val="00892206"/>
    <w:rsid w:val="008A2605"/>
    <w:rsid w:val="008A37EF"/>
    <w:rsid w:val="008A5ECE"/>
    <w:rsid w:val="008C0669"/>
    <w:rsid w:val="008C10BD"/>
    <w:rsid w:val="008E4550"/>
    <w:rsid w:val="008E6E2F"/>
    <w:rsid w:val="00901FE8"/>
    <w:rsid w:val="009145A2"/>
    <w:rsid w:val="00927F18"/>
    <w:rsid w:val="009322ED"/>
    <w:rsid w:val="009352F7"/>
    <w:rsid w:val="00937819"/>
    <w:rsid w:val="00950D1D"/>
    <w:rsid w:val="009528FA"/>
    <w:rsid w:val="00973041"/>
    <w:rsid w:val="00976632"/>
    <w:rsid w:val="009804A1"/>
    <w:rsid w:val="009874C8"/>
    <w:rsid w:val="00997424"/>
    <w:rsid w:val="009979D3"/>
    <w:rsid w:val="009A125B"/>
    <w:rsid w:val="009A6969"/>
    <w:rsid w:val="009C01A8"/>
    <w:rsid w:val="009D0D32"/>
    <w:rsid w:val="009D3715"/>
    <w:rsid w:val="009E0F29"/>
    <w:rsid w:val="009E1449"/>
    <w:rsid w:val="009E293D"/>
    <w:rsid w:val="009E7E18"/>
    <w:rsid w:val="009F3B86"/>
    <w:rsid w:val="00A0551C"/>
    <w:rsid w:val="00A267CD"/>
    <w:rsid w:val="00A34E9D"/>
    <w:rsid w:val="00A711F5"/>
    <w:rsid w:val="00A7157B"/>
    <w:rsid w:val="00A75CFD"/>
    <w:rsid w:val="00A76FB1"/>
    <w:rsid w:val="00A80E4B"/>
    <w:rsid w:val="00A960A7"/>
    <w:rsid w:val="00AA0ADF"/>
    <w:rsid w:val="00AA450B"/>
    <w:rsid w:val="00AB4738"/>
    <w:rsid w:val="00AB5107"/>
    <w:rsid w:val="00AB6CAB"/>
    <w:rsid w:val="00AB7698"/>
    <w:rsid w:val="00AB77CE"/>
    <w:rsid w:val="00AC74A1"/>
    <w:rsid w:val="00AD1855"/>
    <w:rsid w:val="00AD5683"/>
    <w:rsid w:val="00AE0B49"/>
    <w:rsid w:val="00AF145A"/>
    <w:rsid w:val="00AF4288"/>
    <w:rsid w:val="00B07517"/>
    <w:rsid w:val="00B238E7"/>
    <w:rsid w:val="00B34D67"/>
    <w:rsid w:val="00B46648"/>
    <w:rsid w:val="00B47CC1"/>
    <w:rsid w:val="00B75303"/>
    <w:rsid w:val="00B77AD8"/>
    <w:rsid w:val="00B83DB1"/>
    <w:rsid w:val="00B87BC7"/>
    <w:rsid w:val="00BC04D0"/>
    <w:rsid w:val="00BC5DBF"/>
    <w:rsid w:val="00BD5C2C"/>
    <w:rsid w:val="00BD7F34"/>
    <w:rsid w:val="00BE11F6"/>
    <w:rsid w:val="00BE1FAC"/>
    <w:rsid w:val="00BE64FB"/>
    <w:rsid w:val="00C0279F"/>
    <w:rsid w:val="00C11445"/>
    <w:rsid w:val="00C133A6"/>
    <w:rsid w:val="00C200C3"/>
    <w:rsid w:val="00C20BEB"/>
    <w:rsid w:val="00C24892"/>
    <w:rsid w:val="00C301D8"/>
    <w:rsid w:val="00C31DCE"/>
    <w:rsid w:val="00C37D51"/>
    <w:rsid w:val="00C51836"/>
    <w:rsid w:val="00C73AC9"/>
    <w:rsid w:val="00C80B86"/>
    <w:rsid w:val="00C85A99"/>
    <w:rsid w:val="00C9131C"/>
    <w:rsid w:val="00C930AE"/>
    <w:rsid w:val="00C97582"/>
    <w:rsid w:val="00CC628E"/>
    <w:rsid w:val="00CD7765"/>
    <w:rsid w:val="00CE02A6"/>
    <w:rsid w:val="00CE33A0"/>
    <w:rsid w:val="00CE3723"/>
    <w:rsid w:val="00CE721D"/>
    <w:rsid w:val="00D105CB"/>
    <w:rsid w:val="00D24C53"/>
    <w:rsid w:val="00D51738"/>
    <w:rsid w:val="00D55F78"/>
    <w:rsid w:val="00D61B7E"/>
    <w:rsid w:val="00D7432D"/>
    <w:rsid w:val="00DA13D1"/>
    <w:rsid w:val="00DA6375"/>
    <w:rsid w:val="00DC14C7"/>
    <w:rsid w:val="00DC1E46"/>
    <w:rsid w:val="00DE57A4"/>
    <w:rsid w:val="00DE6557"/>
    <w:rsid w:val="00DE6713"/>
    <w:rsid w:val="00DF5FA4"/>
    <w:rsid w:val="00E000D9"/>
    <w:rsid w:val="00E03BE5"/>
    <w:rsid w:val="00E1768F"/>
    <w:rsid w:val="00E321BE"/>
    <w:rsid w:val="00E33206"/>
    <w:rsid w:val="00E54A87"/>
    <w:rsid w:val="00E55E80"/>
    <w:rsid w:val="00EB3BC6"/>
    <w:rsid w:val="00ED01CD"/>
    <w:rsid w:val="00ED2A49"/>
    <w:rsid w:val="00ED77D3"/>
    <w:rsid w:val="00EE119B"/>
    <w:rsid w:val="00EF764A"/>
    <w:rsid w:val="00F04C97"/>
    <w:rsid w:val="00F15684"/>
    <w:rsid w:val="00F15899"/>
    <w:rsid w:val="00F1755F"/>
    <w:rsid w:val="00F17FB3"/>
    <w:rsid w:val="00F2094C"/>
    <w:rsid w:val="00F35430"/>
    <w:rsid w:val="00F41DC6"/>
    <w:rsid w:val="00F53C29"/>
    <w:rsid w:val="00F715F0"/>
    <w:rsid w:val="00F73238"/>
    <w:rsid w:val="00F77048"/>
    <w:rsid w:val="00F81EC2"/>
    <w:rsid w:val="00F95A53"/>
    <w:rsid w:val="00FA2338"/>
    <w:rsid w:val="00FA2C69"/>
    <w:rsid w:val="00FA332D"/>
    <w:rsid w:val="00FA43CB"/>
    <w:rsid w:val="00FA6E82"/>
    <w:rsid w:val="00FB17B2"/>
    <w:rsid w:val="00FB186E"/>
    <w:rsid w:val="00FE4F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83"/>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autoRedefine/>
    <w:qFormat/>
    <w:rsid w:val="00271E85"/>
    <w:pPr>
      <w:keepNext/>
      <w:tabs>
        <w:tab w:val="left" w:pos="567"/>
      </w:tabs>
      <w:spacing w:after="60" w:line="360" w:lineRule="auto"/>
      <w:ind w:left="284" w:right="284"/>
      <w:jc w:val="both"/>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D5683"/>
    <w:pPr>
      <w:autoSpaceDE w:val="0"/>
      <w:autoSpaceDN w:val="0"/>
      <w:adjustRightInd w:val="0"/>
      <w:spacing w:after="0" w:line="240" w:lineRule="auto"/>
    </w:pPr>
    <w:rPr>
      <w:rFonts w:ascii="TimesNewRomanPSMT" w:eastAsia="SimSun" w:hAnsi="TimesNewRomanPSMT" w:cs="TimesNewRomanPSMT"/>
      <w:sz w:val="20"/>
      <w:szCs w:val="20"/>
      <w:lang w:eastAsia="zh-CN"/>
    </w:rPr>
  </w:style>
  <w:style w:type="paragraph" w:customStyle="1" w:styleId="Normal8">
    <w:name w:val="Normal+8"/>
    <w:basedOn w:val="Default"/>
    <w:next w:val="Default"/>
    <w:rsid w:val="00AD5683"/>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A332D"/>
    <w:pPr>
      <w:tabs>
        <w:tab w:val="center" w:pos="4536"/>
        <w:tab w:val="right" w:pos="9072"/>
      </w:tabs>
    </w:pPr>
  </w:style>
  <w:style w:type="character" w:customStyle="1" w:styleId="En-tteCar">
    <w:name w:val="En-tête Car"/>
    <w:basedOn w:val="Policepardfaut"/>
    <w:link w:val="En-tte"/>
    <w:uiPriority w:val="99"/>
    <w:rsid w:val="00FA332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332D"/>
    <w:pPr>
      <w:tabs>
        <w:tab w:val="center" w:pos="4536"/>
        <w:tab w:val="right" w:pos="9072"/>
      </w:tabs>
    </w:pPr>
  </w:style>
  <w:style w:type="character" w:customStyle="1" w:styleId="PieddepageCar">
    <w:name w:val="Pied de page Car"/>
    <w:basedOn w:val="Policepardfaut"/>
    <w:link w:val="Pieddepage"/>
    <w:uiPriority w:val="99"/>
    <w:rsid w:val="00FA332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F1A0A"/>
    <w:rPr>
      <w:rFonts w:ascii="Tahoma" w:hAnsi="Tahoma" w:cs="Tahoma"/>
      <w:sz w:val="16"/>
      <w:szCs w:val="16"/>
    </w:rPr>
  </w:style>
  <w:style w:type="character" w:customStyle="1" w:styleId="TextedebullesCar">
    <w:name w:val="Texte de bulles Car"/>
    <w:basedOn w:val="Policepardfaut"/>
    <w:link w:val="Textedebulles"/>
    <w:uiPriority w:val="99"/>
    <w:semiHidden/>
    <w:rsid w:val="002F1A0A"/>
    <w:rPr>
      <w:rFonts w:ascii="Tahoma" w:eastAsia="Times New Roman" w:hAnsi="Tahoma" w:cs="Tahoma"/>
      <w:sz w:val="16"/>
      <w:szCs w:val="16"/>
      <w:lang w:eastAsia="fr-FR"/>
    </w:rPr>
  </w:style>
  <w:style w:type="paragraph" w:styleId="Paragraphedeliste">
    <w:name w:val="List Paragraph"/>
    <w:basedOn w:val="Normal"/>
    <w:uiPriority w:val="34"/>
    <w:qFormat/>
    <w:rsid w:val="00457580"/>
    <w:pPr>
      <w:ind w:left="720"/>
      <w:contextualSpacing/>
    </w:pPr>
  </w:style>
  <w:style w:type="paragraph" w:styleId="Corpsdetexte2">
    <w:name w:val="Body Text 2"/>
    <w:basedOn w:val="Normal"/>
    <w:link w:val="Corpsdetexte2Car"/>
    <w:semiHidden/>
    <w:rsid w:val="000C31DF"/>
    <w:pPr>
      <w:tabs>
        <w:tab w:val="left" w:pos="567"/>
      </w:tabs>
      <w:spacing w:line="360" w:lineRule="auto"/>
      <w:jc w:val="both"/>
    </w:pPr>
    <w:rPr>
      <w:szCs w:val="20"/>
    </w:rPr>
  </w:style>
  <w:style w:type="character" w:customStyle="1" w:styleId="Corpsdetexte2Car">
    <w:name w:val="Corps de texte 2 Car"/>
    <w:basedOn w:val="Policepardfaut"/>
    <w:link w:val="Corpsdetexte2"/>
    <w:semiHidden/>
    <w:rsid w:val="000C31DF"/>
    <w:rPr>
      <w:rFonts w:ascii="Times New Roman" w:eastAsia="Times New Roman" w:hAnsi="Times New Roman" w:cs="Times New Roman"/>
      <w:sz w:val="24"/>
      <w:szCs w:val="20"/>
      <w:lang w:eastAsia="fr-FR"/>
    </w:rPr>
  </w:style>
  <w:style w:type="paragraph" w:styleId="Index1">
    <w:name w:val="index 1"/>
    <w:basedOn w:val="Normal"/>
    <w:next w:val="Normal"/>
    <w:autoRedefine/>
    <w:semiHidden/>
    <w:rsid w:val="0082070D"/>
    <w:pPr>
      <w:tabs>
        <w:tab w:val="left" w:pos="567"/>
        <w:tab w:val="right" w:pos="9072"/>
      </w:tabs>
      <w:spacing w:before="120" w:after="120" w:line="360" w:lineRule="auto"/>
      <w:ind w:left="3540"/>
      <w:jc w:val="right"/>
    </w:pPr>
    <w:rPr>
      <w:bCs/>
      <w:caps/>
      <w:szCs w:val="22"/>
    </w:rPr>
  </w:style>
  <w:style w:type="paragraph" w:customStyle="1" w:styleId="Normal6">
    <w:name w:val="Normal+6"/>
    <w:basedOn w:val="Default"/>
    <w:next w:val="Default"/>
    <w:uiPriority w:val="99"/>
    <w:rsid w:val="008C10BD"/>
    <w:rPr>
      <w:rFonts w:ascii="Times New Roman" w:eastAsiaTheme="minorHAnsi" w:hAnsi="Times New Roman" w:cs="Times New Roman"/>
      <w:sz w:val="24"/>
      <w:szCs w:val="24"/>
      <w:lang w:eastAsia="en-US"/>
    </w:rPr>
  </w:style>
  <w:style w:type="character" w:customStyle="1" w:styleId="journalhead">
    <w:name w:val="journalhead"/>
    <w:basedOn w:val="Policepardfaut"/>
    <w:rsid w:val="0087796A"/>
  </w:style>
  <w:style w:type="character" w:customStyle="1" w:styleId="Titre4Car">
    <w:name w:val="Titre 4 Car"/>
    <w:basedOn w:val="Policepardfaut"/>
    <w:link w:val="Titre4"/>
    <w:rsid w:val="00271E85"/>
    <w:rPr>
      <w:rFonts w:ascii="Times New Roman" w:eastAsia="Times New Roman" w:hAnsi="Times New Roman" w:cs="Times New Roman"/>
      <w:b/>
      <w:sz w:val="24"/>
      <w:szCs w:val="24"/>
      <w:lang w:eastAsia="fr-FR"/>
    </w:rPr>
  </w:style>
  <w:style w:type="table" w:styleId="Grilledutableau">
    <w:name w:val="Table Grid"/>
    <w:basedOn w:val="TableauNormal"/>
    <w:uiPriority w:val="59"/>
    <w:rsid w:val="00F15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849846">
      <w:bodyDiv w:val="1"/>
      <w:marLeft w:val="0"/>
      <w:marRight w:val="0"/>
      <w:marTop w:val="0"/>
      <w:marBottom w:val="0"/>
      <w:divBdr>
        <w:top w:val="none" w:sz="0" w:space="0" w:color="auto"/>
        <w:left w:val="none" w:sz="0" w:space="0" w:color="auto"/>
        <w:bottom w:val="none" w:sz="0" w:space="0" w:color="auto"/>
        <w:right w:val="none" w:sz="0" w:space="0" w:color="auto"/>
      </w:divBdr>
    </w:div>
    <w:div w:id="18635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41E4-88BB-48C5-BC02-39583523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2133</Words>
  <Characters>11734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Chapitre : II                                                                                      Méthodes et caractérisations</vt:lpstr>
    </vt:vector>
  </TitlesOfParts>
  <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 II                                                                                      Méthodes et caractérisations</dc:title>
  <dc:creator>gigahertz</dc:creator>
  <cp:lastModifiedBy>gigahertz</cp:lastModifiedBy>
  <cp:revision>125</cp:revision>
  <dcterms:created xsi:type="dcterms:W3CDTF">2012-05-14T15:36:00Z</dcterms:created>
  <dcterms:modified xsi:type="dcterms:W3CDTF">2012-11-16T08:48:00Z</dcterms:modified>
</cp:coreProperties>
</file>