
<file path=[Content_Types].xml><?xml version="1.0" encoding="utf-8"?>
<Types xmlns="http://schemas.openxmlformats.org/package/2006/content-types">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drawings/drawing6.xml" ContentType="application/vnd.openxmlformats-officedocument.drawingml.chartshapes+xml"/>
  <Override PartName="/word/drawings/drawing18.xml" ContentType="application/vnd.openxmlformats-officedocument.drawingml.chartshapes+xml"/>
  <Override PartName="/word/drawings/drawing29.xml" ContentType="application/vnd.openxmlformats-officedocument.drawingml.chartshapes+xml"/>
  <Override PartName="/word/charts/chart59.xml" ContentType="application/vnd.openxmlformats-officedocument.drawingml.chart+xml"/>
  <Override PartName="/word/diagrams/colors1.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rawings/drawing25.xml" ContentType="application/vnd.openxmlformats-officedocument.drawingml.chartshapes+xml"/>
  <Override PartName="/word/charts/chart48.xml" ContentType="application/vnd.openxmlformats-officedocument.drawingml.chart+xml"/>
  <Override PartName="/word/drawings/drawing36.xml" ContentType="application/vnd.openxmlformats-officedocument.drawingml.chartshapes+xml"/>
  <Override PartName="/word/charts/chart66.xml" ContentType="application/vnd.openxmlformats-officedocument.drawingml.chart+xml"/>
  <Override PartName="/word/header8.xml" ContentType="application/vnd.openxmlformats-officedocument.wordprocessingml.header+xml"/>
  <Override PartName="/word/drawings/drawing2.xml" ContentType="application/vnd.openxmlformats-officedocument.drawingml.chartshapes+xml"/>
  <Override PartName="/word/drawings/drawing14.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header1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drawings/drawing21.xml" ContentType="application/vnd.openxmlformats-officedocument.drawingml.chartshapes+xml"/>
  <Override PartName="/word/charts/chart44.xml" ContentType="application/vnd.openxmlformats-officedocument.drawingml.chart+xml"/>
  <Override PartName="/word/drawings/drawing32.xml" ContentType="application/vnd.openxmlformats-officedocument.drawingml.chartshapes+xml"/>
  <Override PartName="/word/charts/chart62.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Default Extension="png" ContentType="image/png"/>
  <Override PartName="/word/drawings/drawing9.xml" ContentType="application/vnd.openxmlformats-officedocument.drawingml.chartshapes+xml"/>
  <Override PartName="/word/drawings/drawing39.xml" ContentType="application/vnd.openxmlformats-officedocument.drawingml.chartshapes+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rawings/drawing7.xml" ContentType="application/vnd.openxmlformats-officedocument.drawingml.chartshapes+xml"/>
  <Override PartName="/word/drawings/drawing19.xml" ContentType="application/vnd.openxmlformats-officedocument.drawingml.chartshapes+xml"/>
  <Override PartName="/word/drawings/drawing28.xml" ContentType="application/vnd.openxmlformats-officedocument.drawingml.chartshapes+xml"/>
  <Override PartName="/word/charts/chart49.xml" ContentType="application/vnd.openxmlformats-officedocument.drawingml.chart+xml"/>
  <Override PartName="/word/drawings/drawing37.xml" ContentType="application/vnd.openxmlformats-officedocument.drawingml.chartshapes+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drawings/drawing17.xml" ContentType="application/vnd.openxmlformats-officedocument.drawingml.chartshapes+xml"/>
  <Override PartName="/word/charts/chart29.xml" ContentType="application/vnd.openxmlformats-officedocument.drawingml.chart+xml"/>
  <Override PartName="/word/charts/chart38.xml" ContentType="application/vnd.openxmlformats-officedocument.drawingml.chart+xml"/>
  <Override PartName="/word/drawings/drawing26.xml" ContentType="application/vnd.openxmlformats-officedocument.drawingml.chartshapes+xml"/>
  <Override PartName="/word/charts/chart47.xml" ContentType="application/vnd.openxmlformats-officedocument.drawingml.chart+xml"/>
  <Override PartName="/word/charts/chart58.xml" ContentType="application/vnd.openxmlformats-officedocument.drawingml.chart+xml"/>
  <Override PartName="/word/drawings/drawing35.xml" ContentType="application/vnd.openxmlformats-officedocument.drawingml.chartshapes+xml"/>
  <Override PartName="/word/charts/chart67.xml" ContentType="application/vnd.openxmlformats-officedocument.drawingml.chart+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drawings/drawing24.xml" ContentType="application/vnd.openxmlformats-officedocument.drawingml.chartshapes+xml"/>
  <Override PartName="/word/charts/chart45.xml" ContentType="application/vnd.openxmlformats-officedocument.drawingml.chart+xml"/>
  <Override PartName="/word/charts/chart54.xml" ContentType="application/vnd.openxmlformats-officedocument.drawingml.chart+xml"/>
  <Override PartName="/word/drawings/drawing33.xml" ContentType="application/vnd.openxmlformats-officedocument.drawingml.chartshapes+xml"/>
  <Override PartName="/word/charts/chart56.xml" ContentType="application/vnd.openxmlformats-officedocument.drawingml.chart+xml"/>
  <Override PartName="/word/charts/chart65.xml" ContentType="application/vnd.openxmlformats-officedocument.drawingml.chart+xml"/>
  <Override PartName="/word/drawings/drawing42.xml" ContentType="application/vnd.openxmlformats-officedocument.drawingml.chartshapes+xml"/>
  <Override PartName="/word/header7.xml" ContentType="application/vnd.openxmlformats-officedocument.wordprocessingml.header+xml"/>
  <Override PartName="/word/charts/chart4.xml" ContentType="application/vnd.openxmlformats-officedocument.drawingml.chart+xml"/>
  <Override PartName="/word/header5.xml" ContentType="application/vnd.openxmlformats-officedocument.wordprocessingml.header+xml"/>
  <Override PartName="/word/charts/chart16.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charts/chart34.xml" ContentType="application/vnd.openxmlformats-officedocument.drawingml.chart+xml"/>
  <Override PartName="/word/drawings/drawing22.xml" ContentType="application/vnd.openxmlformats-officedocument.drawingml.chartshapes+xml"/>
  <Override PartName="/word/charts/chart43.xml" ContentType="application/vnd.openxmlformats-officedocument.drawingml.chart+xml"/>
  <Override PartName="/word/charts/chart52.xml" ContentType="application/vnd.openxmlformats-officedocument.drawingml.chart+xml"/>
  <Override PartName="/word/drawings/drawing31.xml" ContentType="application/vnd.openxmlformats-officedocument.drawingml.chartshapes+xml"/>
  <Override PartName="/word/charts/chart63.xml" ContentType="application/vnd.openxmlformats-officedocument.drawingml.chart+xml"/>
  <Override PartName="/word/drawings/drawing40.xml" ContentType="application/vnd.openxmlformats-officedocument.drawingml.chartshapes+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charts/chart32.xml" ContentType="application/vnd.openxmlformats-officedocument.drawingml.chart+xml"/>
  <Override PartName="/word/drawings/drawing20.xml" ContentType="application/vnd.openxmlformats-officedocument.drawingml.chartshapes+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rawings/drawing8.xml" ContentType="application/vnd.openxmlformats-officedocument.drawingml.chartshapes+xml"/>
  <Override PartName="/word/diagrams/data1.xml" ContentType="application/vnd.openxmlformats-officedocument.drawingml.diagramData+xml"/>
  <Override PartName="/word/drawings/drawing38.xml" ContentType="application/vnd.openxmlformats-officedocument.drawingml.chartshapes+xml"/>
  <Override PartName="/word/charts/chart68.xml" ContentType="application/vnd.openxmlformats-officedocument.drawingml.chart+xml"/>
  <Default Extension="rels" ContentType="application/vnd.openxmlformats-package.relationships+xml"/>
  <Override PartName="/word/drawings/drawing4.xml" ContentType="application/vnd.openxmlformats-officedocument.drawingml.chartshapes+xml"/>
  <Override PartName="/word/drawings/drawing16.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drawings/drawing27.xml" ContentType="application/vnd.openxmlformats-officedocument.drawingml.chartshapes+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23.xml" ContentType="application/vnd.openxmlformats-officedocument.drawingml.chartshapes+xml"/>
  <Override PartName="/word/charts/chart46.xml" ContentType="application/vnd.openxmlformats-officedocument.drawingml.chart+xml"/>
  <Override PartName="/word/drawings/drawing34.xml" ContentType="application/vnd.openxmlformats-officedocument.drawingml.chartshapes+xml"/>
  <Override PartName="/word/charts/chart64.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drawings/drawing12.xml" ContentType="application/vnd.openxmlformats-officedocument.drawingml.chartshapes+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drawings/drawing41.xml" ContentType="application/vnd.openxmlformats-officedocument.drawingml.chartshapes+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drawings/drawing30.xml" ContentType="application/vnd.openxmlformats-officedocument.drawingml.chartshapes+xml"/>
  <Override PartName="/word/charts/chart60.xml" ContentType="application/vnd.openxmlformats-officedocument.drawingml.chart+xml"/>
  <Override PartName="/word/charts/chart20.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EE0" w:rsidRDefault="00BA4EE0" w:rsidP="00E656AA">
      <w:pPr>
        <w:jc w:val="center"/>
        <w:rPr>
          <w:rFonts w:asciiTheme="majorBidi" w:hAnsiTheme="majorBidi" w:cstheme="majorBidi"/>
          <w:b/>
          <w:bCs/>
          <w:sz w:val="28"/>
          <w:szCs w:val="28"/>
        </w:rPr>
      </w:pPr>
    </w:p>
    <w:p w:rsidR="00C82FD1" w:rsidRPr="00F552EC" w:rsidRDefault="00C82FD1" w:rsidP="00E656AA">
      <w:pPr>
        <w:jc w:val="center"/>
        <w:rPr>
          <w:rFonts w:asciiTheme="majorBidi" w:hAnsiTheme="majorBidi" w:cstheme="majorBidi"/>
          <w:b/>
          <w:bCs/>
          <w:sz w:val="28"/>
          <w:szCs w:val="28"/>
        </w:rPr>
      </w:pPr>
      <w:r w:rsidRPr="00F552EC">
        <w:rPr>
          <w:rFonts w:asciiTheme="majorBidi" w:hAnsiTheme="majorBidi" w:cstheme="majorBidi"/>
          <w:b/>
          <w:bCs/>
          <w:sz w:val="28"/>
          <w:szCs w:val="28"/>
        </w:rPr>
        <w:t>DEDICACES</w:t>
      </w:r>
    </w:p>
    <w:p w:rsidR="00C82FD1" w:rsidRDefault="00C82FD1" w:rsidP="00C82FD1">
      <w:pPr>
        <w:rPr>
          <w:rFonts w:asciiTheme="majorBidi" w:hAnsiTheme="majorBidi" w:cstheme="majorBidi"/>
        </w:rPr>
      </w:pPr>
    </w:p>
    <w:p w:rsidR="00C82FD1" w:rsidRDefault="00C82FD1" w:rsidP="00C82FD1">
      <w:pPr>
        <w:rPr>
          <w:rFonts w:asciiTheme="majorBidi" w:hAnsiTheme="majorBidi" w:cstheme="majorBidi"/>
        </w:rPr>
      </w:pPr>
    </w:p>
    <w:p w:rsidR="00D27C7A" w:rsidRDefault="00D27C7A" w:rsidP="00D27C7A">
      <w:pPr>
        <w:rPr>
          <w:rFonts w:asciiTheme="majorBidi" w:hAnsiTheme="majorBidi" w:cstheme="majorBidi"/>
          <w:sz w:val="28"/>
          <w:szCs w:val="28"/>
        </w:rPr>
      </w:pPr>
    </w:p>
    <w:p w:rsidR="00D27C7A" w:rsidRDefault="00D27C7A" w:rsidP="00D27C7A">
      <w:pPr>
        <w:rPr>
          <w:rFonts w:asciiTheme="majorBidi" w:hAnsiTheme="majorBidi" w:cstheme="majorBidi"/>
          <w:sz w:val="28"/>
          <w:szCs w:val="28"/>
        </w:rPr>
      </w:pPr>
    </w:p>
    <w:p w:rsidR="00D27C7A" w:rsidRDefault="003073A5" w:rsidP="003073A5">
      <w:pPr>
        <w:tabs>
          <w:tab w:val="left" w:pos="5723"/>
        </w:tabs>
        <w:ind w:left="426"/>
        <w:rPr>
          <w:rFonts w:asciiTheme="majorBidi" w:hAnsiTheme="majorBidi" w:cstheme="majorBidi"/>
          <w:sz w:val="28"/>
          <w:szCs w:val="28"/>
        </w:rPr>
      </w:pPr>
      <w:r>
        <w:rPr>
          <w:rFonts w:asciiTheme="majorBidi" w:hAnsiTheme="majorBidi" w:cstheme="majorBidi"/>
          <w:sz w:val="28"/>
          <w:szCs w:val="28"/>
        </w:rPr>
        <w:tab/>
      </w:r>
    </w:p>
    <w:p w:rsidR="00D27C7A" w:rsidRPr="008209FF" w:rsidRDefault="00BA4EE0" w:rsidP="00D27C7A">
      <w:pPr>
        <w:ind w:left="426"/>
        <w:rPr>
          <w:rFonts w:asciiTheme="majorBidi" w:hAnsiTheme="majorBidi" w:cstheme="majorBidi"/>
          <w:sz w:val="28"/>
          <w:szCs w:val="28"/>
        </w:rPr>
      </w:pPr>
      <w:r>
        <w:rPr>
          <w:rFonts w:asciiTheme="majorBidi" w:hAnsiTheme="majorBidi" w:cstheme="majorBidi"/>
          <w:sz w:val="28"/>
          <w:szCs w:val="28"/>
        </w:rPr>
        <w:t xml:space="preserve">   </w:t>
      </w:r>
      <w:r w:rsidR="00D27C7A" w:rsidRPr="008209FF">
        <w:rPr>
          <w:rFonts w:asciiTheme="majorBidi" w:hAnsiTheme="majorBidi" w:cstheme="majorBidi"/>
          <w:sz w:val="28"/>
          <w:szCs w:val="28"/>
        </w:rPr>
        <w:t xml:space="preserve">Je dédie ce travail : </w:t>
      </w:r>
    </w:p>
    <w:p w:rsidR="00D27C7A" w:rsidRPr="008209FF" w:rsidRDefault="00D27C7A" w:rsidP="00D27C7A">
      <w:pPr>
        <w:ind w:left="426"/>
        <w:rPr>
          <w:rFonts w:asciiTheme="majorBidi" w:hAnsiTheme="majorBidi" w:cstheme="majorBidi"/>
          <w:sz w:val="28"/>
          <w:szCs w:val="28"/>
        </w:rPr>
      </w:pPr>
    </w:p>
    <w:p w:rsidR="00D27C7A" w:rsidRPr="008209FF" w:rsidRDefault="00D27C7A" w:rsidP="003073A5">
      <w:pPr>
        <w:ind w:left="426"/>
        <w:jc w:val="center"/>
        <w:rPr>
          <w:rFonts w:asciiTheme="majorBidi" w:hAnsiTheme="majorBidi" w:cstheme="majorBidi"/>
          <w:sz w:val="28"/>
          <w:szCs w:val="28"/>
        </w:rPr>
      </w:pPr>
      <w:r w:rsidRPr="008209FF">
        <w:rPr>
          <w:rFonts w:asciiTheme="majorBidi" w:hAnsiTheme="majorBidi" w:cstheme="majorBidi"/>
          <w:sz w:val="28"/>
          <w:szCs w:val="28"/>
        </w:rPr>
        <w:t xml:space="preserve">A mes chers parents et que </w:t>
      </w:r>
      <w:r w:rsidR="003C3059">
        <w:rPr>
          <w:rFonts w:asciiTheme="majorBidi" w:hAnsiTheme="majorBidi" w:cstheme="majorBidi"/>
          <w:sz w:val="28"/>
          <w:szCs w:val="28"/>
        </w:rPr>
        <w:t>DIEU</w:t>
      </w:r>
      <w:r w:rsidR="00900293">
        <w:rPr>
          <w:rFonts w:asciiTheme="majorBidi" w:hAnsiTheme="majorBidi" w:cstheme="majorBidi"/>
          <w:sz w:val="28"/>
          <w:szCs w:val="28"/>
        </w:rPr>
        <w:t xml:space="preserve"> les g</w:t>
      </w:r>
      <w:r w:rsidRPr="008209FF">
        <w:rPr>
          <w:rFonts w:asciiTheme="majorBidi" w:hAnsiTheme="majorBidi" w:cstheme="majorBidi"/>
          <w:sz w:val="28"/>
          <w:szCs w:val="28"/>
        </w:rPr>
        <w:t>a</w:t>
      </w:r>
      <w:r w:rsidR="00900293">
        <w:rPr>
          <w:rFonts w:asciiTheme="majorBidi" w:hAnsiTheme="majorBidi" w:cstheme="majorBidi"/>
          <w:sz w:val="28"/>
          <w:szCs w:val="28"/>
        </w:rPr>
        <w:t>r</w:t>
      </w:r>
      <w:r w:rsidRPr="008209FF">
        <w:rPr>
          <w:rFonts w:asciiTheme="majorBidi" w:hAnsiTheme="majorBidi" w:cstheme="majorBidi"/>
          <w:sz w:val="28"/>
          <w:szCs w:val="28"/>
        </w:rPr>
        <w:t>des ;</w:t>
      </w:r>
    </w:p>
    <w:p w:rsidR="00D27C7A" w:rsidRPr="00783D41" w:rsidRDefault="00D27C7A" w:rsidP="00BA4EE0">
      <w:pPr>
        <w:ind w:left="426"/>
        <w:jc w:val="center"/>
        <w:rPr>
          <w:rFonts w:asciiTheme="majorBidi" w:hAnsiTheme="majorBidi" w:cstheme="majorBidi"/>
          <w:sz w:val="28"/>
          <w:szCs w:val="28"/>
        </w:rPr>
      </w:pPr>
      <w:r w:rsidRPr="00783D41">
        <w:rPr>
          <w:rFonts w:asciiTheme="majorBidi" w:hAnsiTheme="majorBidi" w:cstheme="majorBidi"/>
          <w:sz w:val="28"/>
          <w:szCs w:val="28"/>
        </w:rPr>
        <w:t>A Madame LAKHDARI. F;</w:t>
      </w:r>
    </w:p>
    <w:p w:rsidR="00D27C7A" w:rsidRDefault="00D27C7A" w:rsidP="00BA4EE0">
      <w:pPr>
        <w:ind w:left="426"/>
        <w:jc w:val="center"/>
        <w:rPr>
          <w:rFonts w:asciiTheme="majorBidi" w:hAnsiTheme="majorBidi" w:cstheme="majorBidi"/>
          <w:sz w:val="28"/>
          <w:szCs w:val="28"/>
        </w:rPr>
      </w:pPr>
      <w:r w:rsidRPr="008209FF">
        <w:rPr>
          <w:rFonts w:asciiTheme="majorBidi" w:hAnsiTheme="majorBidi" w:cstheme="majorBidi"/>
          <w:sz w:val="28"/>
          <w:szCs w:val="28"/>
        </w:rPr>
        <w:t>A toute ma famille</w:t>
      </w:r>
      <w:r>
        <w:rPr>
          <w:rFonts w:asciiTheme="majorBidi" w:hAnsiTheme="majorBidi" w:cstheme="majorBidi"/>
          <w:sz w:val="28"/>
          <w:szCs w:val="28"/>
        </w:rPr>
        <w:t> ;</w:t>
      </w:r>
    </w:p>
    <w:p w:rsidR="00D27C7A" w:rsidRPr="008209FF" w:rsidRDefault="00D27C7A" w:rsidP="00BA4EE0">
      <w:pPr>
        <w:ind w:left="426"/>
        <w:jc w:val="center"/>
        <w:rPr>
          <w:rFonts w:asciiTheme="majorBidi" w:hAnsiTheme="majorBidi" w:cstheme="majorBidi"/>
          <w:sz w:val="28"/>
          <w:szCs w:val="28"/>
        </w:rPr>
      </w:pPr>
      <w:r>
        <w:rPr>
          <w:rFonts w:asciiTheme="majorBidi" w:hAnsiTheme="majorBidi" w:cstheme="majorBidi"/>
          <w:sz w:val="28"/>
          <w:szCs w:val="28"/>
        </w:rPr>
        <w:t>A  ceux qui aiment ce pays.</w:t>
      </w:r>
    </w:p>
    <w:p w:rsidR="00D27C7A" w:rsidRDefault="00D27C7A" w:rsidP="00BA4EE0">
      <w:pPr>
        <w:ind w:left="426"/>
        <w:jc w:val="center"/>
        <w:rPr>
          <w:rFonts w:asciiTheme="majorBidi" w:hAnsiTheme="majorBidi" w:cstheme="majorBidi"/>
          <w:sz w:val="28"/>
          <w:szCs w:val="28"/>
        </w:rPr>
      </w:pPr>
    </w:p>
    <w:p w:rsidR="00D27C7A" w:rsidRDefault="00D27C7A" w:rsidP="00D27C7A">
      <w:pPr>
        <w:tabs>
          <w:tab w:val="left" w:pos="7401"/>
        </w:tabs>
        <w:jc w:val="right"/>
        <w:rPr>
          <w:rFonts w:asciiTheme="majorBidi" w:hAnsiTheme="majorBidi" w:cstheme="majorBidi"/>
          <w:sz w:val="28"/>
          <w:szCs w:val="28"/>
        </w:rPr>
      </w:pPr>
    </w:p>
    <w:p w:rsidR="00D27C7A" w:rsidRDefault="00D27C7A" w:rsidP="00D27C7A">
      <w:pPr>
        <w:tabs>
          <w:tab w:val="left" w:pos="7401"/>
        </w:tabs>
        <w:jc w:val="right"/>
        <w:rPr>
          <w:rFonts w:asciiTheme="majorBidi" w:hAnsiTheme="majorBidi" w:cstheme="majorBidi"/>
          <w:sz w:val="28"/>
          <w:szCs w:val="28"/>
        </w:rPr>
      </w:pPr>
    </w:p>
    <w:p w:rsidR="00D27C7A" w:rsidRDefault="00D27C7A" w:rsidP="00D27C7A">
      <w:pPr>
        <w:tabs>
          <w:tab w:val="left" w:pos="7401"/>
        </w:tabs>
        <w:jc w:val="right"/>
        <w:rPr>
          <w:rFonts w:asciiTheme="majorBidi" w:hAnsiTheme="majorBidi" w:cstheme="majorBidi"/>
          <w:sz w:val="28"/>
          <w:szCs w:val="28"/>
        </w:rPr>
      </w:pPr>
    </w:p>
    <w:p w:rsidR="00D27C7A" w:rsidRDefault="00D27C7A" w:rsidP="00D27C7A">
      <w:pPr>
        <w:tabs>
          <w:tab w:val="left" w:pos="7401"/>
        </w:tabs>
        <w:jc w:val="right"/>
        <w:rPr>
          <w:rFonts w:asciiTheme="majorBidi" w:hAnsiTheme="majorBidi" w:cstheme="majorBidi"/>
          <w:sz w:val="28"/>
          <w:szCs w:val="28"/>
        </w:rPr>
      </w:pPr>
    </w:p>
    <w:p w:rsidR="00D27C7A" w:rsidRDefault="00D27C7A" w:rsidP="00D27C7A">
      <w:pPr>
        <w:tabs>
          <w:tab w:val="left" w:pos="7401"/>
        </w:tabs>
        <w:jc w:val="right"/>
        <w:rPr>
          <w:rFonts w:asciiTheme="majorBidi" w:hAnsiTheme="majorBidi" w:cstheme="majorBidi"/>
          <w:sz w:val="28"/>
          <w:szCs w:val="28"/>
        </w:rPr>
      </w:pPr>
    </w:p>
    <w:p w:rsidR="00532024" w:rsidRPr="001B476E" w:rsidRDefault="005A5587" w:rsidP="001B476E">
      <w:pPr>
        <w:tabs>
          <w:tab w:val="left" w:pos="7401"/>
        </w:tabs>
        <w:jc w:val="right"/>
        <w:rPr>
          <w:rFonts w:asciiTheme="majorBidi" w:hAnsiTheme="majorBidi" w:cstheme="majorBidi"/>
          <w:sz w:val="28"/>
          <w:szCs w:val="28"/>
        </w:rPr>
        <w:sectPr w:rsidR="00532024" w:rsidRPr="001B476E" w:rsidSect="001B476E">
          <w:footerReference w:type="default" r:id="rId8"/>
          <w:pgSz w:w="11906" w:h="16838"/>
          <w:pgMar w:top="1417" w:right="1417" w:bottom="1417" w:left="1417" w:header="708" w:footer="708" w:gutter="0"/>
          <w:pgNumType w:fmt="upperRoman" w:start="1"/>
          <w:cols w:space="708"/>
          <w:docGrid w:linePitch="360"/>
        </w:sectPr>
      </w:pPr>
      <w:r>
        <w:rPr>
          <w:rFonts w:asciiTheme="majorBidi" w:hAnsiTheme="majorBidi" w:cstheme="majorBidi"/>
          <w:sz w:val="28"/>
          <w:szCs w:val="28"/>
        </w:rPr>
        <w:t>LAHMADI Selwa</w:t>
      </w:r>
    </w:p>
    <w:p w:rsidR="00532024" w:rsidRDefault="00532024" w:rsidP="004844BF">
      <w:pPr>
        <w:pStyle w:val="En-ttedetabledesmatires"/>
        <w:rPr>
          <w:rFonts w:asciiTheme="minorHAnsi" w:eastAsiaTheme="minorEastAsia" w:hAnsiTheme="minorHAnsi" w:cstheme="minorBidi"/>
          <w:b w:val="0"/>
          <w:bCs w:val="0"/>
          <w:color w:val="auto"/>
          <w:sz w:val="22"/>
          <w:szCs w:val="22"/>
          <w:lang w:eastAsia="fr-FR"/>
        </w:rPr>
      </w:pPr>
    </w:p>
    <w:p w:rsidR="003C3059" w:rsidRDefault="003C3059" w:rsidP="003C3059">
      <w:pPr>
        <w:jc w:val="center"/>
        <w:rPr>
          <w:rFonts w:ascii="Times New Roman" w:eastAsia="Times New Roman" w:hAnsi="Times New Roman" w:cs="Times New Roman"/>
          <w:b/>
          <w:bCs/>
          <w:sz w:val="28"/>
          <w:szCs w:val="28"/>
        </w:rPr>
      </w:pPr>
      <w:r w:rsidRPr="00E40D28">
        <w:rPr>
          <w:rFonts w:ascii="Times New Roman" w:eastAsia="Times New Roman" w:hAnsi="Times New Roman" w:cs="Times New Roman"/>
          <w:b/>
          <w:bCs/>
          <w:sz w:val="28"/>
          <w:szCs w:val="28"/>
        </w:rPr>
        <w:t>REMERCIEMENT</w:t>
      </w:r>
      <w:r>
        <w:rPr>
          <w:rFonts w:ascii="Times New Roman" w:eastAsia="Times New Roman" w:hAnsi="Times New Roman" w:cs="Times New Roman"/>
          <w:b/>
          <w:bCs/>
          <w:sz w:val="28"/>
          <w:szCs w:val="28"/>
        </w:rPr>
        <w:t>S</w:t>
      </w:r>
    </w:p>
    <w:p w:rsidR="003C3059" w:rsidRDefault="003C3059" w:rsidP="003C3059">
      <w:pPr>
        <w:pStyle w:val="En-ttedetabledesmatires1"/>
        <w:rPr>
          <w:rFonts w:ascii="Calibri" w:hAnsi="Calibri" w:cs="Arial"/>
          <w:b w:val="0"/>
          <w:bCs w:val="0"/>
          <w:color w:val="auto"/>
          <w:sz w:val="22"/>
          <w:szCs w:val="22"/>
          <w:lang w:eastAsia="fr-FR"/>
        </w:rPr>
      </w:pPr>
    </w:p>
    <w:p w:rsidR="003C3059" w:rsidRPr="00BC436F" w:rsidRDefault="003C3059" w:rsidP="004F44BF">
      <w:pPr>
        <w:ind w:left="284"/>
        <w:jc w:val="both"/>
        <w:rPr>
          <w:rFonts w:ascii="Times New Roman" w:eastAsia="Times New Roman" w:hAnsi="Times New Roman" w:cs="Times New Roman"/>
          <w:sz w:val="24"/>
          <w:szCs w:val="24"/>
        </w:rPr>
      </w:pPr>
      <w:r w:rsidRPr="008779FE">
        <w:rPr>
          <w:rFonts w:ascii="Times New Roman" w:eastAsia="Times New Roman" w:hAnsi="Times New Roman" w:cs="Times New Roman"/>
          <w:sz w:val="24"/>
          <w:szCs w:val="24"/>
        </w:rPr>
        <w:t>Je remercie</w:t>
      </w:r>
      <w:r>
        <w:rPr>
          <w:rFonts w:ascii="Times New Roman" w:eastAsia="Times New Roman" w:hAnsi="Times New Roman" w:cs="Times New Roman"/>
          <w:sz w:val="24"/>
          <w:szCs w:val="24"/>
        </w:rPr>
        <w:t xml:space="preserve"> tout d’abord mon bon </w:t>
      </w:r>
      <w:r w:rsidRPr="008779FE">
        <w:rPr>
          <w:rFonts w:ascii="Times New Roman" w:eastAsia="Times New Roman" w:hAnsi="Times New Roman" w:cs="Times New Roman"/>
          <w:sz w:val="24"/>
          <w:szCs w:val="24"/>
        </w:rPr>
        <w:t xml:space="preserve"> </w:t>
      </w:r>
      <w:r w:rsidRPr="00DE57DF">
        <w:rPr>
          <w:rFonts w:ascii="Times New Roman" w:eastAsia="Times New Roman" w:hAnsi="Times New Roman" w:cs="Times New Roman"/>
          <w:b/>
          <w:bCs/>
          <w:sz w:val="24"/>
          <w:szCs w:val="24"/>
        </w:rPr>
        <w:t>DIEU</w:t>
      </w:r>
      <w:r w:rsidRPr="00BC436F">
        <w:rPr>
          <w:rFonts w:ascii="Times New Roman" w:eastAsia="Times New Roman" w:hAnsi="Times New Roman" w:cs="Times New Roman"/>
          <w:sz w:val="24"/>
          <w:szCs w:val="24"/>
        </w:rPr>
        <w:t xml:space="preserve"> le tout puissant de m’avoir donné la volonté, le courage et la patience pour réaliser ce travail.</w:t>
      </w:r>
    </w:p>
    <w:p w:rsidR="003C3059" w:rsidRPr="00BC436F" w:rsidRDefault="003C3059" w:rsidP="004F44BF">
      <w:pPr>
        <w:ind w:left="284"/>
        <w:jc w:val="both"/>
        <w:rPr>
          <w:rFonts w:ascii="Times New Roman" w:eastAsia="Times New Roman" w:hAnsi="Times New Roman" w:cs="Times New Roman"/>
          <w:sz w:val="24"/>
          <w:szCs w:val="24"/>
        </w:rPr>
      </w:pPr>
      <w:r w:rsidRPr="00BC436F">
        <w:rPr>
          <w:rFonts w:ascii="Times New Roman" w:eastAsia="Times New Roman" w:hAnsi="Times New Roman" w:cs="Times New Roman"/>
          <w:sz w:val="24"/>
          <w:szCs w:val="24"/>
        </w:rPr>
        <w:t>Je tiens à exprimer mes sincères gratitudes à tous ceux qui ont contribué de près ou de loin à la réalisation de ce travail.</w:t>
      </w:r>
    </w:p>
    <w:p w:rsidR="003C3059" w:rsidRPr="00BC436F" w:rsidRDefault="003C3059" w:rsidP="004F44BF">
      <w:pPr>
        <w:ind w:left="284"/>
        <w:jc w:val="both"/>
        <w:rPr>
          <w:rFonts w:ascii="Times New Roman" w:eastAsia="Times New Roman" w:hAnsi="Times New Roman" w:cs="Times New Roman"/>
          <w:sz w:val="24"/>
          <w:szCs w:val="24"/>
        </w:rPr>
      </w:pPr>
      <w:r w:rsidRPr="00BC436F">
        <w:rPr>
          <w:rFonts w:ascii="Times New Roman" w:eastAsia="Times New Roman" w:hAnsi="Times New Roman" w:cs="Times New Roman"/>
          <w:sz w:val="24"/>
          <w:szCs w:val="24"/>
        </w:rPr>
        <w:t>Mes remerciements vont à :</w:t>
      </w:r>
    </w:p>
    <w:p w:rsidR="003C3059" w:rsidRPr="00BC436F" w:rsidRDefault="003C3059" w:rsidP="004F44BF">
      <w:pPr>
        <w:ind w:left="284"/>
        <w:jc w:val="both"/>
        <w:rPr>
          <w:rFonts w:ascii="Times New Roman" w:eastAsia="Times New Roman" w:hAnsi="Times New Roman" w:cs="Times New Roman"/>
          <w:sz w:val="24"/>
          <w:szCs w:val="24"/>
        </w:rPr>
      </w:pPr>
      <w:r w:rsidRPr="00DE57DF">
        <w:rPr>
          <w:rFonts w:ascii="Times New Roman" w:eastAsia="Times New Roman" w:hAnsi="Times New Roman" w:cs="Times New Roman"/>
          <w:b/>
          <w:bCs/>
          <w:sz w:val="24"/>
          <w:szCs w:val="24"/>
        </w:rPr>
        <w:t>Mr. ABDELGUERFI A.,</w:t>
      </w:r>
      <w:r w:rsidRPr="004F44BF">
        <w:rPr>
          <w:rFonts w:ascii="Times New Roman" w:eastAsia="Times New Roman" w:hAnsi="Times New Roman" w:cs="Times New Roman"/>
          <w:sz w:val="24"/>
          <w:szCs w:val="24"/>
        </w:rPr>
        <w:t xml:space="preserve"> </w:t>
      </w:r>
      <w:r w:rsidRPr="00BC436F">
        <w:rPr>
          <w:rFonts w:ascii="Times New Roman" w:eastAsia="Times New Roman" w:hAnsi="Times New Roman" w:cs="Times New Roman"/>
          <w:sz w:val="24"/>
          <w:szCs w:val="24"/>
        </w:rPr>
        <w:t xml:space="preserve">Professeur à </w:t>
      </w:r>
      <w:r w:rsidR="00782AE7">
        <w:rPr>
          <w:rFonts w:ascii="Times New Roman" w:eastAsia="Times New Roman" w:hAnsi="Times New Roman" w:cs="Times New Roman"/>
          <w:sz w:val="24"/>
          <w:szCs w:val="24"/>
        </w:rPr>
        <w:t xml:space="preserve">l’ </w:t>
      </w:r>
      <w:r w:rsidRPr="00BC436F">
        <w:rPr>
          <w:rFonts w:ascii="Times New Roman" w:eastAsia="Times New Roman" w:hAnsi="Times New Roman" w:cs="Times New Roman"/>
          <w:sz w:val="24"/>
          <w:szCs w:val="24"/>
        </w:rPr>
        <w:t>ENSA, pour avoir accepté d’encadr</w:t>
      </w:r>
      <w:r w:rsidR="00782AE7">
        <w:rPr>
          <w:rFonts w:ascii="Times New Roman" w:eastAsia="Times New Roman" w:hAnsi="Times New Roman" w:cs="Times New Roman"/>
          <w:sz w:val="24"/>
          <w:szCs w:val="24"/>
        </w:rPr>
        <w:t>er ce travail et m’avoir dirigé, guidé, conseillé et encouragé</w:t>
      </w:r>
      <w:r w:rsidRPr="00BC436F">
        <w:rPr>
          <w:rFonts w:ascii="Times New Roman" w:eastAsia="Times New Roman" w:hAnsi="Times New Roman" w:cs="Times New Roman"/>
          <w:sz w:val="24"/>
          <w:szCs w:val="24"/>
        </w:rPr>
        <w:t>, ainsi que sa bonne volonté, sa patience et ses précieux conseils, qu’il m’a prodigués tout au long de ce travail.</w:t>
      </w:r>
    </w:p>
    <w:p w:rsidR="003C3059" w:rsidRPr="00BC436F" w:rsidRDefault="003C3059" w:rsidP="004F44BF">
      <w:pPr>
        <w:ind w:left="284"/>
        <w:jc w:val="both"/>
        <w:rPr>
          <w:rFonts w:ascii="Times New Roman" w:eastAsia="Times New Roman" w:hAnsi="Times New Roman" w:cs="Times New Roman"/>
          <w:sz w:val="24"/>
          <w:szCs w:val="24"/>
        </w:rPr>
      </w:pPr>
      <w:r w:rsidRPr="00DE57DF">
        <w:rPr>
          <w:rFonts w:ascii="Times New Roman" w:eastAsia="Times New Roman" w:hAnsi="Times New Roman" w:cs="Times New Roman"/>
          <w:b/>
          <w:bCs/>
          <w:sz w:val="24"/>
          <w:szCs w:val="24"/>
        </w:rPr>
        <w:t>Mr. BELHAMRA M.,</w:t>
      </w:r>
      <w:r w:rsidRPr="00BC436F">
        <w:rPr>
          <w:rFonts w:ascii="Times New Roman" w:eastAsia="Times New Roman" w:hAnsi="Times New Roman" w:cs="Times New Roman"/>
          <w:sz w:val="24"/>
          <w:szCs w:val="24"/>
        </w:rPr>
        <w:t xml:space="preserve"> Maître de conférences à l’université de Biskra, d’avoir accepté de présider le jury de soutenance e</w:t>
      </w:r>
      <w:r w:rsidR="00AC7202">
        <w:rPr>
          <w:rFonts w:ascii="Times New Roman" w:eastAsia="Times New Roman" w:hAnsi="Times New Roman" w:cs="Times New Roman"/>
          <w:sz w:val="24"/>
          <w:szCs w:val="24"/>
        </w:rPr>
        <w:t>t de m’avoir toujours encouragé et conseillé</w:t>
      </w:r>
      <w:r w:rsidRPr="00BC436F">
        <w:rPr>
          <w:rFonts w:ascii="Times New Roman" w:eastAsia="Times New Roman" w:hAnsi="Times New Roman" w:cs="Times New Roman"/>
          <w:sz w:val="24"/>
          <w:szCs w:val="24"/>
        </w:rPr>
        <w:t xml:space="preserve">.  </w:t>
      </w:r>
    </w:p>
    <w:p w:rsidR="003C3059" w:rsidRPr="00BC436F" w:rsidRDefault="003C3059" w:rsidP="004F44BF">
      <w:pPr>
        <w:ind w:left="284"/>
        <w:jc w:val="both"/>
        <w:rPr>
          <w:rFonts w:ascii="Times New Roman" w:eastAsia="Times New Roman" w:hAnsi="Times New Roman" w:cs="Times New Roman"/>
          <w:sz w:val="24"/>
          <w:szCs w:val="24"/>
        </w:rPr>
      </w:pPr>
      <w:r w:rsidRPr="00DE57DF">
        <w:rPr>
          <w:rFonts w:ascii="Times New Roman" w:eastAsia="Times New Roman" w:hAnsi="Times New Roman" w:cs="Times New Roman"/>
          <w:b/>
          <w:bCs/>
          <w:sz w:val="24"/>
          <w:szCs w:val="24"/>
        </w:rPr>
        <w:t>Mme. CHAOUCHE F.Z.,</w:t>
      </w:r>
      <w:r w:rsidRPr="00BC436F">
        <w:rPr>
          <w:rFonts w:ascii="Times New Roman" w:eastAsia="Times New Roman" w:hAnsi="Times New Roman" w:cs="Times New Roman"/>
          <w:sz w:val="24"/>
          <w:szCs w:val="24"/>
        </w:rPr>
        <w:t xml:space="preserve"> Maître de conférences à l’université de Blida, d’avoir accepté d’examiner  et faire partie du jury de soutenance.</w:t>
      </w:r>
    </w:p>
    <w:p w:rsidR="003C3059" w:rsidRPr="004F44BF" w:rsidRDefault="003C3059" w:rsidP="004F44BF">
      <w:pPr>
        <w:ind w:left="284"/>
        <w:jc w:val="both"/>
        <w:rPr>
          <w:rFonts w:ascii="Times New Roman" w:eastAsia="Times New Roman" w:hAnsi="Times New Roman" w:cs="Times New Roman"/>
          <w:sz w:val="24"/>
          <w:szCs w:val="24"/>
        </w:rPr>
      </w:pPr>
      <w:r w:rsidRPr="00DE57DF">
        <w:rPr>
          <w:rFonts w:ascii="Times New Roman" w:eastAsia="Times New Roman" w:hAnsi="Times New Roman" w:cs="Times New Roman"/>
          <w:b/>
          <w:bCs/>
          <w:sz w:val="24"/>
          <w:szCs w:val="24"/>
        </w:rPr>
        <w:t>Mme. OULD EL HADJ-KHELIL  A</w:t>
      </w:r>
      <w:r w:rsidRPr="004F44BF">
        <w:rPr>
          <w:rFonts w:ascii="Times New Roman" w:eastAsia="Times New Roman" w:hAnsi="Times New Roman" w:cs="Times New Roman"/>
          <w:sz w:val="24"/>
          <w:szCs w:val="24"/>
        </w:rPr>
        <w:t>.,</w:t>
      </w:r>
      <w:r w:rsidRPr="00BC436F">
        <w:rPr>
          <w:rFonts w:ascii="Times New Roman" w:eastAsia="Times New Roman" w:hAnsi="Times New Roman" w:cs="Times New Roman"/>
          <w:sz w:val="24"/>
          <w:szCs w:val="24"/>
        </w:rPr>
        <w:t xml:space="preserve"> Maître de conférences à Université de Ouargla, pour avoir bien voulu examiner ce travail et être membre de jury.</w:t>
      </w:r>
    </w:p>
    <w:p w:rsidR="003C3059" w:rsidRPr="00BC436F" w:rsidRDefault="003C3059" w:rsidP="004F44BF">
      <w:pPr>
        <w:ind w:left="284"/>
        <w:jc w:val="both"/>
        <w:rPr>
          <w:rFonts w:ascii="Times New Roman" w:eastAsia="Times New Roman" w:hAnsi="Times New Roman" w:cs="Times New Roman"/>
          <w:sz w:val="24"/>
          <w:szCs w:val="24"/>
        </w:rPr>
      </w:pPr>
      <w:r w:rsidRPr="00DE57DF">
        <w:rPr>
          <w:rFonts w:ascii="Times New Roman" w:eastAsia="Times New Roman" w:hAnsi="Times New Roman" w:cs="Times New Roman"/>
          <w:b/>
          <w:bCs/>
          <w:sz w:val="24"/>
          <w:szCs w:val="24"/>
        </w:rPr>
        <w:t>Mme. LAKHDARI F</w:t>
      </w:r>
      <w:r w:rsidRPr="004F44BF">
        <w:rPr>
          <w:rFonts w:ascii="Times New Roman" w:eastAsia="Times New Roman" w:hAnsi="Times New Roman" w:cs="Times New Roman"/>
          <w:sz w:val="24"/>
          <w:szCs w:val="24"/>
        </w:rPr>
        <w:t>.,</w:t>
      </w:r>
      <w:r w:rsidRPr="00BC436F">
        <w:rPr>
          <w:rFonts w:ascii="Times New Roman" w:eastAsia="Times New Roman" w:hAnsi="Times New Roman" w:cs="Times New Roman"/>
          <w:sz w:val="24"/>
          <w:szCs w:val="24"/>
        </w:rPr>
        <w:t xml:space="preserve"> la directrice du C.R.S.T.R.A, d’avoir accepté l’invitation, de juger le document et faire partie du jury de soutenance, et pour ses orientations et son aide.</w:t>
      </w:r>
    </w:p>
    <w:p w:rsidR="003C3059" w:rsidRPr="00BC436F" w:rsidRDefault="003C3059" w:rsidP="004F44BF">
      <w:pPr>
        <w:ind w:left="284"/>
        <w:jc w:val="both"/>
        <w:rPr>
          <w:rFonts w:ascii="Times New Roman" w:eastAsia="Times New Roman" w:hAnsi="Times New Roman" w:cs="Times New Roman"/>
          <w:sz w:val="24"/>
          <w:szCs w:val="24"/>
        </w:rPr>
      </w:pPr>
      <w:r w:rsidRPr="00DE57DF">
        <w:rPr>
          <w:rFonts w:ascii="Times New Roman" w:eastAsia="Times New Roman" w:hAnsi="Times New Roman" w:cs="Times New Roman"/>
          <w:b/>
          <w:bCs/>
          <w:sz w:val="24"/>
          <w:szCs w:val="24"/>
        </w:rPr>
        <w:t>Mr. ABABSA SMATI F</w:t>
      </w:r>
      <w:r w:rsidRPr="004F44BF">
        <w:rPr>
          <w:rFonts w:ascii="Times New Roman" w:eastAsia="Times New Roman" w:hAnsi="Times New Roman" w:cs="Times New Roman"/>
          <w:sz w:val="24"/>
          <w:szCs w:val="24"/>
        </w:rPr>
        <w:t>.,</w:t>
      </w:r>
      <w:r w:rsidRPr="00BC436F">
        <w:rPr>
          <w:rFonts w:ascii="Times New Roman" w:eastAsia="Times New Roman" w:hAnsi="Times New Roman" w:cs="Times New Roman"/>
          <w:sz w:val="24"/>
          <w:szCs w:val="24"/>
        </w:rPr>
        <w:t xml:space="preserve"> pour ses conseils et ses orientations, qu’il m’a prodigués.</w:t>
      </w:r>
    </w:p>
    <w:p w:rsidR="003C3059" w:rsidRPr="004F44BF" w:rsidRDefault="003C3059" w:rsidP="004F44BF">
      <w:pPr>
        <w:ind w:left="284"/>
        <w:jc w:val="both"/>
        <w:rPr>
          <w:rFonts w:ascii="Times New Roman" w:eastAsia="Times New Roman" w:hAnsi="Times New Roman" w:cs="Times New Roman"/>
          <w:sz w:val="24"/>
          <w:szCs w:val="24"/>
        </w:rPr>
      </w:pPr>
      <w:r w:rsidRPr="00DE57DF">
        <w:rPr>
          <w:rFonts w:ascii="Times New Roman" w:eastAsia="Times New Roman" w:hAnsi="Times New Roman" w:cs="Times New Roman"/>
          <w:b/>
          <w:bCs/>
          <w:sz w:val="24"/>
          <w:szCs w:val="24"/>
        </w:rPr>
        <w:t>Mme. YEKHLEF Y., Mr.PADULOSI S., Mme.GARRUCCIO M., Mr. MOUKADEM A et Mr. BEN NAOUI F</w:t>
      </w:r>
      <w:r w:rsidRPr="004F44BF">
        <w:rPr>
          <w:rFonts w:ascii="Times New Roman" w:eastAsia="Times New Roman" w:hAnsi="Times New Roman" w:cs="Times New Roman"/>
          <w:sz w:val="24"/>
          <w:szCs w:val="24"/>
        </w:rPr>
        <w:t xml:space="preserve">  </w:t>
      </w:r>
      <w:r w:rsidRPr="00BC436F">
        <w:rPr>
          <w:rFonts w:ascii="Times New Roman" w:eastAsia="Times New Roman" w:hAnsi="Times New Roman" w:cs="Times New Roman"/>
          <w:sz w:val="24"/>
          <w:szCs w:val="24"/>
        </w:rPr>
        <w:t>pour leurs aides</w:t>
      </w:r>
      <w:r w:rsidRPr="004F44BF">
        <w:rPr>
          <w:rFonts w:ascii="Times New Roman" w:eastAsia="Times New Roman" w:hAnsi="Times New Roman" w:cs="Times New Roman"/>
          <w:sz w:val="24"/>
          <w:szCs w:val="24"/>
        </w:rPr>
        <w:t>.</w:t>
      </w:r>
    </w:p>
    <w:p w:rsidR="003C3059" w:rsidRDefault="0030057C" w:rsidP="0030057C">
      <w:pPr>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mes collègues : HADJER, </w:t>
      </w:r>
      <w:r w:rsidRPr="004F44BF">
        <w:rPr>
          <w:rFonts w:ascii="Times New Roman" w:eastAsia="Times New Roman" w:hAnsi="Times New Roman" w:cs="Times New Roman"/>
          <w:sz w:val="24"/>
          <w:szCs w:val="24"/>
        </w:rPr>
        <w:t>MASAOUD</w:t>
      </w:r>
      <w:r w:rsidR="003C3059" w:rsidRPr="004F44BF">
        <w:rPr>
          <w:rFonts w:ascii="Times New Roman" w:eastAsia="Times New Roman" w:hAnsi="Times New Roman" w:cs="Times New Roman"/>
          <w:sz w:val="24"/>
          <w:szCs w:val="24"/>
        </w:rPr>
        <w:t xml:space="preserve"> ET TAREK.</w:t>
      </w:r>
    </w:p>
    <w:p w:rsidR="003C3059" w:rsidRDefault="003C3059" w:rsidP="004F44BF">
      <w:pPr>
        <w:ind w:left="284"/>
        <w:jc w:val="both"/>
        <w:rPr>
          <w:rFonts w:ascii="Times New Roman" w:eastAsia="Times New Roman" w:hAnsi="Times New Roman" w:cs="Times New Roman"/>
          <w:sz w:val="24"/>
          <w:szCs w:val="24"/>
        </w:rPr>
      </w:pPr>
      <w:r w:rsidRPr="004F44BF">
        <w:rPr>
          <w:rFonts w:ascii="Times New Roman" w:eastAsia="Times New Roman" w:hAnsi="Times New Roman" w:cs="Times New Roman"/>
          <w:sz w:val="24"/>
          <w:szCs w:val="24"/>
        </w:rPr>
        <w:t>Melle BOUKHLOUF W et RAHMOUNI S</w:t>
      </w:r>
      <w:r w:rsidRPr="00BC436F">
        <w:rPr>
          <w:rFonts w:ascii="Times New Roman" w:eastAsia="Times New Roman" w:hAnsi="Times New Roman" w:cs="Times New Roman"/>
          <w:sz w:val="24"/>
          <w:szCs w:val="24"/>
        </w:rPr>
        <w:t xml:space="preserve"> pour ses encouragements.</w:t>
      </w:r>
    </w:p>
    <w:p w:rsidR="003C3059" w:rsidRDefault="003C3059" w:rsidP="004F44BF">
      <w:pPr>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remercier également l’équipe de la station expérimentales d’El Outaya chacune par son nom, et Siham particulièrement, pour leur coopération et encouragements durant tout le travail.</w:t>
      </w:r>
    </w:p>
    <w:p w:rsidR="003C3059" w:rsidRDefault="003C3059" w:rsidP="004F44BF">
      <w:pPr>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 travail a bénéficie de soutien de plusieurs personnes qu’il me fait plaisir de remercier, en particulier : BEN SAÏDI D, KORAICHI A, HANAFI A, ABSI K ET R, BEKROUN N, SELEM KOUR N, AZBAOUI S, BENAOUDA L, NEZZER KABAILI N, ADJAJ S.</w:t>
      </w:r>
    </w:p>
    <w:p w:rsidR="003C3059" w:rsidRPr="004F44BF" w:rsidRDefault="003C3059" w:rsidP="004F44BF">
      <w:pPr>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 remerciements vont également à touts mes enseignants et les collègues de la promotion 2007-2010</w:t>
      </w:r>
    </w:p>
    <w:p w:rsidR="00D27C7A" w:rsidRPr="00D27C7A" w:rsidRDefault="00D27C7A" w:rsidP="00D27C7A">
      <w:pPr>
        <w:sectPr w:rsidR="00D27C7A" w:rsidRPr="00D27C7A" w:rsidSect="005A5587">
          <w:headerReference w:type="default" r:id="rId9"/>
          <w:footerReference w:type="default" r:id="rId10"/>
          <w:pgSz w:w="11906" w:h="16838"/>
          <w:pgMar w:top="992" w:right="851" w:bottom="1134" w:left="1134" w:header="709" w:footer="709" w:gutter="0"/>
          <w:pgNumType w:fmt="upperRoman"/>
          <w:cols w:space="708"/>
          <w:docGrid w:linePitch="360"/>
        </w:sectPr>
      </w:pPr>
    </w:p>
    <w:sdt>
      <w:sdtPr>
        <w:rPr>
          <w:rFonts w:asciiTheme="minorHAnsi" w:eastAsiaTheme="minorEastAsia" w:hAnsiTheme="minorHAnsi" w:cstheme="minorBidi"/>
          <w:b w:val="0"/>
          <w:bCs w:val="0"/>
          <w:color w:val="auto"/>
          <w:sz w:val="22"/>
          <w:szCs w:val="22"/>
          <w:lang w:eastAsia="fr-FR"/>
        </w:rPr>
        <w:id w:val="1102740"/>
        <w:docPartObj>
          <w:docPartGallery w:val="Table of Contents"/>
          <w:docPartUnique/>
        </w:docPartObj>
      </w:sdtPr>
      <w:sdtEndPr>
        <w:rPr>
          <w:sz w:val="20"/>
          <w:szCs w:val="20"/>
        </w:rPr>
      </w:sdtEndPr>
      <w:sdtContent>
        <w:p w:rsidR="00F57526" w:rsidRDefault="00F57526" w:rsidP="00F57526">
          <w:pPr>
            <w:pStyle w:val="En-ttedetabledesmatires"/>
            <w:jc w:val="center"/>
          </w:pPr>
          <w:r w:rsidRPr="00F57526">
            <w:rPr>
              <w:rFonts w:asciiTheme="majorBidi" w:hAnsiTheme="majorBidi"/>
              <w:color w:val="auto"/>
            </w:rPr>
            <w:t>Sommaire</w:t>
          </w:r>
        </w:p>
        <w:p w:rsidR="00F57526" w:rsidRPr="008619DB" w:rsidRDefault="00811D6A" w:rsidP="00B612CD">
          <w:pPr>
            <w:pStyle w:val="TM1"/>
            <w:tabs>
              <w:tab w:val="right" w:leader="dot" w:pos="9771"/>
            </w:tabs>
            <w:spacing w:line="240" w:lineRule="auto"/>
            <w:rPr>
              <w:noProof/>
              <w:sz w:val="24"/>
              <w:szCs w:val="24"/>
            </w:rPr>
          </w:pPr>
          <w:r w:rsidRPr="00F1526F">
            <w:rPr>
              <w:sz w:val="20"/>
              <w:szCs w:val="20"/>
            </w:rPr>
            <w:fldChar w:fldCharType="begin"/>
          </w:r>
          <w:r w:rsidR="00F57526" w:rsidRPr="00F1526F">
            <w:rPr>
              <w:sz w:val="20"/>
              <w:szCs w:val="20"/>
            </w:rPr>
            <w:instrText xml:space="preserve"> TOC \o "1-3" \h \z \u </w:instrText>
          </w:r>
          <w:r w:rsidRPr="00F1526F">
            <w:rPr>
              <w:sz w:val="20"/>
              <w:szCs w:val="20"/>
            </w:rPr>
            <w:fldChar w:fldCharType="separate"/>
          </w:r>
        </w:p>
        <w:p w:rsidR="00F57526" w:rsidRPr="00B612CD" w:rsidRDefault="00811D6A" w:rsidP="00B612CD">
          <w:pPr>
            <w:pStyle w:val="TM1"/>
            <w:tabs>
              <w:tab w:val="right" w:leader="dot" w:pos="9771"/>
            </w:tabs>
            <w:spacing w:line="240" w:lineRule="auto"/>
            <w:rPr>
              <w:noProof/>
              <w:sz w:val="20"/>
              <w:szCs w:val="20"/>
            </w:rPr>
          </w:pPr>
          <w:hyperlink w:anchor="_Toc252366154" w:history="1">
            <w:r w:rsidR="00F57526" w:rsidRPr="00B612CD">
              <w:rPr>
                <w:rStyle w:val="Lienhypertexte"/>
                <w:rFonts w:asciiTheme="majorBidi" w:hAnsiTheme="majorBidi" w:cstheme="majorBidi"/>
                <w:noProof/>
                <w:sz w:val="20"/>
                <w:szCs w:val="20"/>
              </w:rPr>
              <w:t>Introduction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_Toc252366154 \h </w:instrText>
            </w:r>
            <w:r w:rsidRPr="00B612CD">
              <w:rPr>
                <w:noProof/>
                <w:webHidden/>
                <w:sz w:val="20"/>
                <w:szCs w:val="20"/>
              </w:rPr>
            </w:r>
            <w:r w:rsidRPr="00B612CD">
              <w:rPr>
                <w:noProof/>
                <w:webHidden/>
                <w:sz w:val="20"/>
                <w:szCs w:val="20"/>
              </w:rPr>
              <w:fldChar w:fldCharType="separate"/>
            </w:r>
            <w:r w:rsidR="00A860F6">
              <w:rPr>
                <w:noProof/>
                <w:webHidden/>
                <w:sz w:val="20"/>
                <w:szCs w:val="20"/>
              </w:rPr>
              <w:t>1</w:t>
            </w:r>
            <w:r w:rsidRPr="00B612CD">
              <w:rPr>
                <w:noProof/>
                <w:webHidden/>
                <w:sz w:val="20"/>
                <w:szCs w:val="20"/>
              </w:rPr>
              <w:fldChar w:fldCharType="end"/>
            </w:r>
          </w:hyperlink>
        </w:p>
        <w:p w:rsidR="00F57526" w:rsidRPr="00B612CD" w:rsidRDefault="00811D6A" w:rsidP="007875AF">
          <w:pPr>
            <w:pStyle w:val="TM1"/>
            <w:tabs>
              <w:tab w:val="right" w:leader="dot" w:pos="9771"/>
            </w:tabs>
            <w:spacing w:line="240" w:lineRule="auto"/>
            <w:rPr>
              <w:noProof/>
              <w:sz w:val="20"/>
              <w:szCs w:val="20"/>
            </w:rPr>
          </w:pPr>
          <w:hyperlink w:anchor="_Toc252366155" w:history="1">
            <w:r w:rsidR="00F57526" w:rsidRPr="00B612CD">
              <w:rPr>
                <w:rStyle w:val="Lienhypertexte"/>
                <w:rFonts w:asciiTheme="majorBidi" w:hAnsiTheme="majorBidi" w:cstheme="majorBidi"/>
                <w:b/>
                <w:bCs/>
                <w:noProof/>
                <w:sz w:val="20"/>
                <w:szCs w:val="20"/>
              </w:rPr>
              <w:t>Chapitre I : Synthèse bibliographique</w:t>
            </w:r>
            <w:r w:rsidR="00F57526" w:rsidRPr="00B612CD">
              <w:rPr>
                <w:noProof/>
                <w:webHidden/>
                <w:sz w:val="20"/>
                <w:szCs w:val="20"/>
              </w:rPr>
              <w:tab/>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156" w:history="1">
            <w:r w:rsidR="00F57526" w:rsidRPr="00B612CD">
              <w:rPr>
                <w:rStyle w:val="Lienhypertexte"/>
                <w:rFonts w:ascii="Times New Roman" w:hAnsi="Times New Roman"/>
                <w:noProof/>
                <w:sz w:val="20"/>
                <w:szCs w:val="20"/>
              </w:rPr>
              <w:t>I.</w:t>
            </w:r>
            <w:r w:rsidR="00F57526" w:rsidRPr="00B612CD">
              <w:rPr>
                <w:noProof/>
                <w:sz w:val="20"/>
                <w:szCs w:val="20"/>
              </w:rPr>
              <w:tab/>
            </w:r>
            <w:r w:rsidR="00F57526" w:rsidRPr="00B612CD">
              <w:rPr>
                <w:rStyle w:val="Lienhypertexte"/>
                <w:rFonts w:ascii="Times New Roman" w:hAnsi="Times New Roman"/>
                <w:noProof/>
                <w:sz w:val="20"/>
                <w:szCs w:val="20"/>
              </w:rPr>
              <w:t>Historique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_Toc252366156 \h </w:instrText>
            </w:r>
            <w:r w:rsidRPr="00B612CD">
              <w:rPr>
                <w:noProof/>
                <w:webHidden/>
                <w:sz w:val="20"/>
                <w:szCs w:val="20"/>
              </w:rPr>
            </w:r>
            <w:r w:rsidRPr="00B612CD">
              <w:rPr>
                <w:noProof/>
                <w:webHidden/>
                <w:sz w:val="20"/>
                <w:szCs w:val="20"/>
              </w:rPr>
              <w:fldChar w:fldCharType="separate"/>
            </w:r>
            <w:r w:rsidR="00A860F6">
              <w:rPr>
                <w:noProof/>
                <w:webHidden/>
                <w:sz w:val="20"/>
                <w:szCs w:val="20"/>
              </w:rPr>
              <w:t>3</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157" w:history="1">
            <w:r w:rsidR="00F57526" w:rsidRPr="00B612CD">
              <w:rPr>
                <w:rStyle w:val="Lienhypertexte"/>
                <w:rFonts w:ascii="Times New Roman" w:hAnsi="Times New Roman"/>
                <w:noProof/>
                <w:sz w:val="20"/>
                <w:szCs w:val="20"/>
              </w:rPr>
              <w:t>II.</w:t>
            </w:r>
            <w:r w:rsidR="00F57526" w:rsidRPr="00B612CD">
              <w:rPr>
                <w:noProof/>
                <w:sz w:val="20"/>
                <w:szCs w:val="20"/>
              </w:rPr>
              <w:tab/>
            </w:r>
            <w:r w:rsidR="00F57526" w:rsidRPr="00B612CD">
              <w:rPr>
                <w:rStyle w:val="Lienhypertexte"/>
                <w:rFonts w:ascii="Times New Roman" w:hAnsi="Times New Roman"/>
                <w:noProof/>
                <w:sz w:val="20"/>
                <w:szCs w:val="20"/>
              </w:rPr>
              <w:t>La limite entre condiment, aromate et plante médicinale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_Toc252366157 \h </w:instrText>
            </w:r>
            <w:r w:rsidRPr="00B612CD">
              <w:rPr>
                <w:noProof/>
                <w:webHidden/>
                <w:sz w:val="20"/>
                <w:szCs w:val="20"/>
              </w:rPr>
            </w:r>
            <w:r w:rsidRPr="00B612CD">
              <w:rPr>
                <w:noProof/>
                <w:webHidden/>
                <w:sz w:val="20"/>
                <w:szCs w:val="20"/>
              </w:rPr>
              <w:fldChar w:fldCharType="separate"/>
            </w:r>
            <w:r w:rsidR="00A860F6">
              <w:rPr>
                <w:noProof/>
                <w:webHidden/>
                <w:sz w:val="20"/>
                <w:szCs w:val="20"/>
              </w:rPr>
              <w:t>3</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158" w:history="1">
            <w:r w:rsidR="00F57526" w:rsidRPr="00B612CD">
              <w:rPr>
                <w:rStyle w:val="Lienhypertexte"/>
                <w:rFonts w:ascii="Times New Roman" w:hAnsi="Times New Roman"/>
                <w:noProof/>
                <w:sz w:val="20"/>
                <w:szCs w:val="20"/>
              </w:rPr>
              <w:t>III.</w:t>
            </w:r>
            <w:r w:rsidR="00F57526" w:rsidRPr="00B612CD">
              <w:rPr>
                <w:noProof/>
                <w:sz w:val="20"/>
                <w:szCs w:val="20"/>
              </w:rPr>
              <w:tab/>
            </w:r>
            <w:r w:rsidR="00F57526" w:rsidRPr="00B612CD">
              <w:rPr>
                <w:rStyle w:val="Lienhypertexte"/>
                <w:rFonts w:ascii="Times New Roman" w:hAnsi="Times New Roman"/>
                <w:noProof/>
                <w:sz w:val="20"/>
                <w:szCs w:val="20"/>
              </w:rPr>
              <w:t>L’intérêt des plantes condimentaires, médicinales et aromatiques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_Toc252366158 \h </w:instrText>
            </w:r>
            <w:r w:rsidRPr="00B612CD">
              <w:rPr>
                <w:noProof/>
                <w:webHidden/>
                <w:sz w:val="20"/>
                <w:szCs w:val="20"/>
              </w:rPr>
            </w:r>
            <w:r w:rsidRPr="00B612CD">
              <w:rPr>
                <w:noProof/>
                <w:webHidden/>
                <w:sz w:val="20"/>
                <w:szCs w:val="20"/>
              </w:rPr>
              <w:fldChar w:fldCharType="separate"/>
            </w:r>
            <w:r w:rsidR="00A860F6">
              <w:rPr>
                <w:noProof/>
                <w:webHidden/>
                <w:sz w:val="20"/>
                <w:szCs w:val="20"/>
              </w:rPr>
              <w:t>4</w:t>
            </w:r>
            <w:r w:rsidRPr="00B612CD">
              <w:rPr>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159" w:history="1">
            <w:r w:rsidR="00F57526" w:rsidRPr="00B612CD">
              <w:rPr>
                <w:rStyle w:val="Lienhypertexte"/>
                <w:rFonts w:ascii="Times New Roman" w:hAnsi="Times New Roman"/>
                <w:noProof/>
                <w:sz w:val="20"/>
                <w:szCs w:val="20"/>
              </w:rPr>
              <w:t>1.</w:t>
            </w:r>
            <w:r w:rsidR="00F57526" w:rsidRPr="00B612CD">
              <w:rPr>
                <w:noProof/>
                <w:sz w:val="20"/>
                <w:szCs w:val="20"/>
              </w:rPr>
              <w:tab/>
            </w:r>
            <w:r w:rsidR="00F57526" w:rsidRPr="00B612CD">
              <w:rPr>
                <w:rStyle w:val="Lienhypertexte"/>
                <w:rFonts w:ascii="Times New Roman" w:hAnsi="Times New Roman"/>
                <w:noProof/>
                <w:sz w:val="20"/>
                <w:szCs w:val="20"/>
              </w:rPr>
              <w:t>Intérêts thérapeutiques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_Toc252366159 \h </w:instrText>
            </w:r>
            <w:r w:rsidRPr="00B612CD">
              <w:rPr>
                <w:noProof/>
                <w:webHidden/>
                <w:sz w:val="20"/>
                <w:szCs w:val="20"/>
              </w:rPr>
            </w:r>
            <w:r w:rsidRPr="00B612CD">
              <w:rPr>
                <w:noProof/>
                <w:webHidden/>
                <w:sz w:val="20"/>
                <w:szCs w:val="20"/>
              </w:rPr>
              <w:fldChar w:fldCharType="separate"/>
            </w:r>
            <w:r w:rsidR="00A860F6">
              <w:rPr>
                <w:noProof/>
                <w:webHidden/>
                <w:sz w:val="20"/>
                <w:szCs w:val="20"/>
              </w:rPr>
              <w:t>4</w:t>
            </w:r>
            <w:r w:rsidRPr="00B612CD">
              <w:rPr>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160" w:history="1">
            <w:r w:rsidR="00F57526" w:rsidRPr="00B612CD">
              <w:rPr>
                <w:rStyle w:val="Lienhypertexte"/>
                <w:rFonts w:ascii="Times New Roman" w:hAnsi="Times New Roman"/>
                <w:noProof/>
                <w:sz w:val="20"/>
                <w:szCs w:val="20"/>
              </w:rPr>
              <w:t>2.</w:t>
            </w:r>
            <w:r w:rsidR="00F57526" w:rsidRPr="00B612CD">
              <w:rPr>
                <w:noProof/>
                <w:sz w:val="20"/>
                <w:szCs w:val="20"/>
              </w:rPr>
              <w:tab/>
            </w:r>
            <w:r w:rsidR="00F57526" w:rsidRPr="00B612CD">
              <w:rPr>
                <w:rStyle w:val="Lienhypertexte"/>
                <w:rFonts w:ascii="Times New Roman" w:hAnsi="Times New Roman"/>
                <w:noProof/>
                <w:sz w:val="20"/>
                <w:szCs w:val="20"/>
              </w:rPr>
              <w:t>Intérêts socio-économiques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_Toc252366160 \h </w:instrText>
            </w:r>
            <w:r w:rsidRPr="00B612CD">
              <w:rPr>
                <w:noProof/>
                <w:webHidden/>
                <w:sz w:val="20"/>
                <w:szCs w:val="20"/>
              </w:rPr>
            </w:r>
            <w:r w:rsidRPr="00B612CD">
              <w:rPr>
                <w:noProof/>
                <w:webHidden/>
                <w:sz w:val="20"/>
                <w:szCs w:val="20"/>
              </w:rPr>
              <w:fldChar w:fldCharType="separate"/>
            </w:r>
            <w:r w:rsidR="00A860F6">
              <w:rPr>
                <w:noProof/>
                <w:webHidden/>
                <w:sz w:val="20"/>
                <w:szCs w:val="20"/>
              </w:rPr>
              <w:t>4</w:t>
            </w:r>
            <w:r w:rsidRPr="00B612CD">
              <w:rPr>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161" w:history="1">
            <w:r w:rsidR="00F57526" w:rsidRPr="00B612CD">
              <w:rPr>
                <w:rStyle w:val="Lienhypertexte"/>
                <w:rFonts w:ascii="Times New Roman" w:hAnsi="Times New Roman"/>
                <w:noProof/>
                <w:sz w:val="20"/>
                <w:szCs w:val="20"/>
              </w:rPr>
              <w:t>3.</w:t>
            </w:r>
            <w:r w:rsidR="00F57526" w:rsidRPr="00B612CD">
              <w:rPr>
                <w:noProof/>
                <w:sz w:val="20"/>
                <w:szCs w:val="20"/>
              </w:rPr>
              <w:tab/>
            </w:r>
            <w:r w:rsidR="00F57526" w:rsidRPr="00B612CD">
              <w:rPr>
                <w:rStyle w:val="Lienhypertexte"/>
                <w:rFonts w:ascii="Times New Roman" w:hAnsi="Times New Roman"/>
                <w:noProof/>
                <w:sz w:val="20"/>
                <w:szCs w:val="20"/>
              </w:rPr>
              <w:t>Intérêts industriels et parfumeries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_Toc252366161 \h </w:instrText>
            </w:r>
            <w:r w:rsidRPr="00B612CD">
              <w:rPr>
                <w:noProof/>
                <w:webHidden/>
                <w:sz w:val="20"/>
                <w:szCs w:val="20"/>
              </w:rPr>
            </w:r>
            <w:r w:rsidRPr="00B612CD">
              <w:rPr>
                <w:noProof/>
                <w:webHidden/>
                <w:sz w:val="20"/>
                <w:szCs w:val="20"/>
              </w:rPr>
              <w:fldChar w:fldCharType="separate"/>
            </w:r>
            <w:r w:rsidR="00A860F6">
              <w:rPr>
                <w:noProof/>
                <w:webHidden/>
                <w:sz w:val="20"/>
                <w:szCs w:val="20"/>
              </w:rPr>
              <w:t>5</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162" w:history="1">
            <w:r w:rsidR="00F57526" w:rsidRPr="00B612CD">
              <w:rPr>
                <w:rStyle w:val="Lienhypertexte"/>
                <w:rFonts w:ascii="Times New Roman" w:hAnsi="Times New Roman"/>
                <w:noProof/>
                <w:sz w:val="20"/>
                <w:szCs w:val="20"/>
              </w:rPr>
              <w:t>IV.</w:t>
            </w:r>
            <w:r w:rsidR="00F57526" w:rsidRPr="00B612CD">
              <w:rPr>
                <w:noProof/>
                <w:sz w:val="20"/>
                <w:szCs w:val="20"/>
              </w:rPr>
              <w:tab/>
            </w:r>
            <w:r w:rsidR="00F57526" w:rsidRPr="00B612CD">
              <w:rPr>
                <w:rStyle w:val="Lienhypertexte"/>
                <w:rFonts w:ascii="Times New Roman" w:hAnsi="Times New Roman"/>
                <w:noProof/>
                <w:sz w:val="20"/>
                <w:szCs w:val="20"/>
              </w:rPr>
              <w:t>Importance économique des plantes condimentaires, médicinales et aromatiques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_Toc252366162 \h </w:instrText>
            </w:r>
            <w:r w:rsidRPr="00B612CD">
              <w:rPr>
                <w:noProof/>
                <w:webHidden/>
                <w:sz w:val="20"/>
                <w:szCs w:val="20"/>
              </w:rPr>
            </w:r>
            <w:r w:rsidRPr="00B612CD">
              <w:rPr>
                <w:noProof/>
                <w:webHidden/>
                <w:sz w:val="20"/>
                <w:szCs w:val="20"/>
              </w:rPr>
              <w:fldChar w:fldCharType="separate"/>
            </w:r>
            <w:r w:rsidR="00A860F6">
              <w:rPr>
                <w:noProof/>
                <w:webHidden/>
                <w:sz w:val="20"/>
                <w:szCs w:val="20"/>
              </w:rPr>
              <w:t>5</w:t>
            </w:r>
            <w:r w:rsidRPr="00B612CD">
              <w:rPr>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163" w:history="1">
            <w:r w:rsidR="00F57526" w:rsidRPr="00B612CD">
              <w:rPr>
                <w:rStyle w:val="Lienhypertexte"/>
                <w:rFonts w:ascii="Times New Roman" w:hAnsi="Times New Roman"/>
                <w:noProof/>
                <w:sz w:val="20"/>
                <w:szCs w:val="20"/>
              </w:rPr>
              <w:t>1.</w:t>
            </w:r>
            <w:r w:rsidR="00F57526" w:rsidRPr="00B612CD">
              <w:rPr>
                <w:noProof/>
                <w:sz w:val="20"/>
                <w:szCs w:val="20"/>
              </w:rPr>
              <w:tab/>
            </w:r>
            <w:r w:rsidR="00F57526" w:rsidRPr="00B612CD">
              <w:rPr>
                <w:rStyle w:val="Lienhypertexte"/>
                <w:rFonts w:ascii="Times New Roman" w:hAnsi="Times New Roman"/>
                <w:noProof/>
                <w:sz w:val="20"/>
                <w:szCs w:val="20"/>
              </w:rPr>
              <w:t>Dans le monde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_Toc252366163 \h </w:instrText>
            </w:r>
            <w:r w:rsidRPr="00B612CD">
              <w:rPr>
                <w:noProof/>
                <w:webHidden/>
                <w:sz w:val="20"/>
                <w:szCs w:val="20"/>
              </w:rPr>
            </w:r>
            <w:r w:rsidRPr="00B612CD">
              <w:rPr>
                <w:noProof/>
                <w:webHidden/>
                <w:sz w:val="20"/>
                <w:szCs w:val="20"/>
              </w:rPr>
              <w:fldChar w:fldCharType="separate"/>
            </w:r>
            <w:r w:rsidR="00A860F6">
              <w:rPr>
                <w:noProof/>
                <w:webHidden/>
                <w:sz w:val="20"/>
                <w:szCs w:val="20"/>
              </w:rPr>
              <w:t>5</w:t>
            </w:r>
            <w:r w:rsidRPr="00B612CD">
              <w:rPr>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164" w:history="1">
            <w:r w:rsidR="00F57526" w:rsidRPr="00B612CD">
              <w:rPr>
                <w:rStyle w:val="Lienhypertexte"/>
                <w:rFonts w:ascii="Times New Roman" w:hAnsi="Times New Roman"/>
                <w:noProof/>
                <w:sz w:val="20"/>
                <w:szCs w:val="20"/>
              </w:rPr>
              <w:t>2.</w:t>
            </w:r>
            <w:r w:rsidR="00F57526" w:rsidRPr="00B612CD">
              <w:rPr>
                <w:noProof/>
                <w:sz w:val="20"/>
                <w:szCs w:val="20"/>
              </w:rPr>
              <w:tab/>
            </w:r>
            <w:r w:rsidR="00F57526" w:rsidRPr="00B612CD">
              <w:rPr>
                <w:rStyle w:val="Lienhypertexte"/>
                <w:rFonts w:ascii="Times New Roman" w:hAnsi="Times New Roman"/>
                <w:noProof/>
                <w:sz w:val="20"/>
                <w:szCs w:val="20"/>
              </w:rPr>
              <w:t>En Algérie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_Toc252366164 \h </w:instrText>
            </w:r>
            <w:r w:rsidRPr="00B612CD">
              <w:rPr>
                <w:noProof/>
                <w:webHidden/>
                <w:sz w:val="20"/>
                <w:szCs w:val="20"/>
              </w:rPr>
            </w:r>
            <w:r w:rsidRPr="00B612CD">
              <w:rPr>
                <w:noProof/>
                <w:webHidden/>
                <w:sz w:val="20"/>
                <w:szCs w:val="20"/>
              </w:rPr>
              <w:fldChar w:fldCharType="separate"/>
            </w:r>
            <w:r w:rsidR="00A860F6">
              <w:rPr>
                <w:noProof/>
                <w:webHidden/>
                <w:sz w:val="20"/>
                <w:szCs w:val="20"/>
              </w:rPr>
              <w:t>6</w:t>
            </w:r>
            <w:r w:rsidRPr="00B612CD">
              <w:rPr>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165" w:history="1">
            <w:r w:rsidR="00F57526" w:rsidRPr="00B612CD">
              <w:rPr>
                <w:rStyle w:val="Lienhypertexte"/>
                <w:rFonts w:ascii="Times New Roman" w:hAnsi="Times New Roman"/>
                <w:noProof/>
                <w:sz w:val="20"/>
                <w:szCs w:val="20"/>
              </w:rPr>
              <w:t>3.</w:t>
            </w:r>
            <w:r w:rsidR="00F57526" w:rsidRPr="00B612CD">
              <w:rPr>
                <w:noProof/>
                <w:sz w:val="20"/>
                <w:szCs w:val="20"/>
              </w:rPr>
              <w:tab/>
            </w:r>
            <w:r w:rsidR="00F57526" w:rsidRPr="00B612CD">
              <w:rPr>
                <w:rStyle w:val="Lienhypertexte"/>
                <w:rFonts w:ascii="Times New Roman" w:hAnsi="Times New Roman"/>
                <w:noProof/>
                <w:sz w:val="20"/>
                <w:szCs w:val="20"/>
              </w:rPr>
              <w:t>La culture des plantes condimentaires dans la wilaya de Biskra</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_Toc252366165 \h </w:instrText>
            </w:r>
            <w:r w:rsidRPr="00B612CD">
              <w:rPr>
                <w:noProof/>
                <w:webHidden/>
                <w:sz w:val="20"/>
                <w:szCs w:val="20"/>
              </w:rPr>
            </w:r>
            <w:r w:rsidRPr="00B612CD">
              <w:rPr>
                <w:noProof/>
                <w:webHidden/>
                <w:sz w:val="20"/>
                <w:szCs w:val="20"/>
              </w:rPr>
              <w:fldChar w:fldCharType="separate"/>
            </w:r>
            <w:r w:rsidR="00A860F6">
              <w:rPr>
                <w:noProof/>
                <w:webHidden/>
                <w:sz w:val="20"/>
                <w:szCs w:val="20"/>
              </w:rPr>
              <w:t>6</w:t>
            </w:r>
            <w:r w:rsidRPr="00B612CD">
              <w:rPr>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166" w:history="1">
            <w:r w:rsidR="00F57526" w:rsidRPr="00B612CD">
              <w:rPr>
                <w:rStyle w:val="Lienhypertexte"/>
                <w:noProof/>
                <w:sz w:val="20"/>
                <w:szCs w:val="20"/>
              </w:rPr>
              <w:t>a.</w:t>
            </w:r>
            <w:r w:rsidR="00F57526" w:rsidRPr="00B612CD">
              <w:rPr>
                <w:noProof/>
                <w:sz w:val="20"/>
                <w:szCs w:val="20"/>
              </w:rPr>
              <w:tab/>
            </w:r>
            <w:r w:rsidR="00F57526" w:rsidRPr="00B612CD">
              <w:rPr>
                <w:rStyle w:val="Lienhypertexte"/>
                <w:rFonts w:ascii="Times New Roman" w:hAnsi="Times New Roman"/>
                <w:noProof/>
                <w:sz w:val="20"/>
                <w:szCs w:val="20"/>
              </w:rPr>
              <w:t>Répartition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_Toc252366166 \h </w:instrText>
            </w:r>
            <w:r w:rsidRPr="00B612CD">
              <w:rPr>
                <w:noProof/>
                <w:webHidden/>
                <w:sz w:val="20"/>
                <w:szCs w:val="20"/>
              </w:rPr>
            </w:r>
            <w:r w:rsidRPr="00B612CD">
              <w:rPr>
                <w:noProof/>
                <w:webHidden/>
                <w:sz w:val="20"/>
                <w:szCs w:val="20"/>
              </w:rPr>
              <w:fldChar w:fldCharType="separate"/>
            </w:r>
            <w:r w:rsidR="00A860F6">
              <w:rPr>
                <w:noProof/>
                <w:webHidden/>
                <w:sz w:val="20"/>
                <w:szCs w:val="20"/>
              </w:rPr>
              <w:t>6</w:t>
            </w:r>
            <w:r w:rsidRPr="00B612CD">
              <w:rPr>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167" w:history="1">
            <w:r w:rsidR="00F57526" w:rsidRPr="00B612CD">
              <w:rPr>
                <w:rStyle w:val="Lienhypertexte"/>
                <w:rFonts w:ascii="Times New Roman" w:hAnsi="Times New Roman"/>
                <w:noProof/>
                <w:sz w:val="20"/>
                <w:szCs w:val="20"/>
              </w:rPr>
              <w:t>b.</w:t>
            </w:r>
            <w:r w:rsidR="00F57526" w:rsidRPr="00B612CD">
              <w:rPr>
                <w:noProof/>
                <w:sz w:val="20"/>
                <w:szCs w:val="20"/>
              </w:rPr>
              <w:tab/>
            </w:r>
            <w:r w:rsidR="00F57526" w:rsidRPr="00B612CD">
              <w:rPr>
                <w:rStyle w:val="Lienhypertexte"/>
                <w:rFonts w:ascii="Times New Roman" w:hAnsi="Times New Roman"/>
                <w:noProof/>
                <w:sz w:val="20"/>
                <w:szCs w:val="20"/>
              </w:rPr>
              <w:t>Evolution de la culture des plantes condimentaires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_Toc252366167 \h </w:instrText>
            </w:r>
            <w:r w:rsidRPr="00B612CD">
              <w:rPr>
                <w:noProof/>
                <w:webHidden/>
                <w:sz w:val="20"/>
                <w:szCs w:val="20"/>
              </w:rPr>
            </w:r>
            <w:r w:rsidRPr="00B612CD">
              <w:rPr>
                <w:noProof/>
                <w:webHidden/>
                <w:sz w:val="20"/>
                <w:szCs w:val="20"/>
              </w:rPr>
              <w:fldChar w:fldCharType="separate"/>
            </w:r>
            <w:r w:rsidR="00A860F6">
              <w:rPr>
                <w:noProof/>
                <w:webHidden/>
                <w:sz w:val="20"/>
                <w:szCs w:val="20"/>
              </w:rPr>
              <w:t>7</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168" w:history="1">
            <w:r w:rsidR="00F57526" w:rsidRPr="00B612CD">
              <w:rPr>
                <w:rStyle w:val="Lienhypertexte"/>
                <w:rFonts w:ascii="Times New Roman" w:hAnsi="Times New Roman"/>
                <w:noProof/>
                <w:sz w:val="20"/>
                <w:szCs w:val="20"/>
              </w:rPr>
              <w:t>V.</w:t>
            </w:r>
            <w:r w:rsidR="00F57526" w:rsidRPr="00B612CD">
              <w:rPr>
                <w:noProof/>
                <w:sz w:val="20"/>
                <w:szCs w:val="20"/>
              </w:rPr>
              <w:tab/>
            </w:r>
            <w:r w:rsidR="00F57526" w:rsidRPr="00B612CD">
              <w:rPr>
                <w:rStyle w:val="Lienhypertexte"/>
                <w:rFonts w:ascii="Times New Roman" w:hAnsi="Times New Roman"/>
                <w:noProof/>
                <w:sz w:val="20"/>
                <w:szCs w:val="20"/>
              </w:rPr>
              <w:t>Les espèces étudiées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_Toc252366168 \h </w:instrText>
            </w:r>
            <w:r w:rsidRPr="00B612CD">
              <w:rPr>
                <w:noProof/>
                <w:webHidden/>
                <w:sz w:val="20"/>
                <w:szCs w:val="20"/>
              </w:rPr>
            </w:r>
            <w:r w:rsidRPr="00B612CD">
              <w:rPr>
                <w:noProof/>
                <w:webHidden/>
                <w:sz w:val="20"/>
                <w:szCs w:val="20"/>
              </w:rPr>
              <w:fldChar w:fldCharType="separate"/>
            </w:r>
            <w:r w:rsidR="00A860F6">
              <w:rPr>
                <w:noProof/>
                <w:webHidden/>
                <w:sz w:val="20"/>
                <w:szCs w:val="20"/>
              </w:rPr>
              <w:t>10</w:t>
            </w:r>
            <w:r w:rsidRPr="00B612CD">
              <w:rPr>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169" w:history="1">
            <w:r w:rsidR="00F57526" w:rsidRPr="00B612CD">
              <w:rPr>
                <w:rStyle w:val="Lienhypertexte"/>
                <w:rFonts w:ascii="Times New Roman" w:hAnsi="Times New Roman"/>
                <w:noProof/>
                <w:sz w:val="20"/>
                <w:szCs w:val="20"/>
              </w:rPr>
              <w:t>1.</w:t>
            </w:r>
            <w:r w:rsidR="00F57526" w:rsidRPr="00B612CD">
              <w:rPr>
                <w:noProof/>
                <w:sz w:val="20"/>
                <w:szCs w:val="20"/>
              </w:rPr>
              <w:tab/>
            </w:r>
            <w:r w:rsidR="00F57526" w:rsidRPr="00B612CD">
              <w:rPr>
                <w:rStyle w:val="Lienhypertexte"/>
                <w:rFonts w:ascii="Times New Roman" w:hAnsi="Times New Roman"/>
                <w:noProof/>
                <w:sz w:val="20"/>
                <w:szCs w:val="20"/>
              </w:rPr>
              <w:t>Le Fenugrec</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_Toc252366169 \h </w:instrText>
            </w:r>
            <w:r w:rsidRPr="00B612CD">
              <w:rPr>
                <w:noProof/>
                <w:webHidden/>
                <w:sz w:val="20"/>
                <w:szCs w:val="20"/>
              </w:rPr>
            </w:r>
            <w:r w:rsidRPr="00B612CD">
              <w:rPr>
                <w:noProof/>
                <w:webHidden/>
                <w:sz w:val="20"/>
                <w:szCs w:val="20"/>
              </w:rPr>
              <w:fldChar w:fldCharType="separate"/>
            </w:r>
            <w:r w:rsidR="00A860F6">
              <w:rPr>
                <w:noProof/>
                <w:webHidden/>
                <w:sz w:val="20"/>
                <w:szCs w:val="20"/>
              </w:rPr>
              <w:t>10</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70" w:history="1">
            <w:r w:rsidR="00F57526" w:rsidRPr="00B612CD">
              <w:rPr>
                <w:rStyle w:val="Lienhypertexte"/>
                <w:rFonts w:ascii="Times New Roman" w:hAnsi="Times New Roman"/>
                <w:noProof/>
                <w:sz w:val="20"/>
                <w:szCs w:val="20"/>
              </w:rPr>
              <w:t>1.1.</w:t>
            </w:r>
            <w:r w:rsidR="00F57526" w:rsidRPr="00B612CD">
              <w:rPr>
                <w:noProof/>
                <w:sz w:val="20"/>
                <w:szCs w:val="20"/>
              </w:rPr>
              <w:tab/>
            </w:r>
            <w:r w:rsidR="00F57526" w:rsidRPr="00B612CD">
              <w:rPr>
                <w:rStyle w:val="Lienhypertexte"/>
                <w:rFonts w:ascii="Times New Roman" w:hAnsi="Times New Roman"/>
                <w:noProof/>
                <w:sz w:val="20"/>
                <w:szCs w:val="20"/>
              </w:rPr>
              <w:t>Classification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_Toc252366170 \h </w:instrText>
            </w:r>
            <w:r w:rsidRPr="00B612CD">
              <w:rPr>
                <w:noProof/>
                <w:webHidden/>
                <w:sz w:val="20"/>
                <w:szCs w:val="20"/>
              </w:rPr>
            </w:r>
            <w:r w:rsidRPr="00B612CD">
              <w:rPr>
                <w:noProof/>
                <w:webHidden/>
                <w:sz w:val="20"/>
                <w:szCs w:val="20"/>
              </w:rPr>
              <w:fldChar w:fldCharType="separate"/>
            </w:r>
            <w:r w:rsidR="00A860F6">
              <w:rPr>
                <w:noProof/>
                <w:webHidden/>
                <w:sz w:val="20"/>
                <w:szCs w:val="20"/>
              </w:rPr>
              <w:t>10</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71" w:history="1">
            <w:r w:rsidR="00F57526" w:rsidRPr="00B612CD">
              <w:rPr>
                <w:rStyle w:val="Lienhypertexte"/>
                <w:rFonts w:ascii="Times New Roman" w:hAnsi="Times New Roman"/>
                <w:noProof/>
                <w:sz w:val="20"/>
                <w:szCs w:val="20"/>
              </w:rPr>
              <w:t>1.2.</w:t>
            </w:r>
            <w:r w:rsidR="00F57526" w:rsidRPr="00B612CD">
              <w:rPr>
                <w:noProof/>
                <w:sz w:val="20"/>
                <w:szCs w:val="20"/>
              </w:rPr>
              <w:tab/>
            </w:r>
            <w:r w:rsidR="00F57526" w:rsidRPr="00B612CD">
              <w:rPr>
                <w:rStyle w:val="Lienhypertexte"/>
                <w:rFonts w:ascii="Times New Roman" w:hAnsi="Times New Roman"/>
                <w:noProof/>
                <w:sz w:val="20"/>
                <w:szCs w:val="20"/>
              </w:rPr>
              <w:t>Origine et aire de répartition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_Toc252366171 \h </w:instrText>
            </w:r>
            <w:r w:rsidRPr="00B612CD">
              <w:rPr>
                <w:noProof/>
                <w:webHidden/>
                <w:sz w:val="20"/>
                <w:szCs w:val="20"/>
              </w:rPr>
            </w:r>
            <w:r w:rsidRPr="00B612CD">
              <w:rPr>
                <w:noProof/>
                <w:webHidden/>
                <w:sz w:val="20"/>
                <w:szCs w:val="20"/>
              </w:rPr>
              <w:fldChar w:fldCharType="separate"/>
            </w:r>
            <w:r w:rsidR="00A860F6">
              <w:rPr>
                <w:noProof/>
                <w:webHidden/>
                <w:sz w:val="20"/>
                <w:szCs w:val="20"/>
              </w:rPr>
              <w:t>10</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72" w:history="1">
            <w:r w:rsidR="00F57526" w:rsidRPr="00B612CD">
              <w:rPr>
                <w:rStyle w:val="Lienhypertexte"/>
                <w:rFonts w:ascii="Times New Roman" w:hAnsi="Times New Roman"/>
                <w:noProof/>
                <w:sz w:val="20"/>
                <w:szCs w:val="20"/>
              </w:rPr>
              <w:t>1.3.</w:t>
            </w:r>
            <w:r w:rsidR="00F57526" w:rsidRPr="00B612CD">
              <w:rPr>
                <w:noProof/>
                <w:sz w:val="20"/>
                <w:szCs w:val="20"/>
              </w:rPr>
              <w:tab/>
            </w:r>
            <w:r w:rsidR="00F57526" w:rsidRPr="00B612CD">
              <w:rPr>
                <w:rStyle w:val="Lienhypertexte"/>
                <w:rFonts w:ascii="Times New Roman" w:hAnsi="Times New Roman"/>
                <w:noProof/>
                <w:sz w:val="20"/>
                <w:szCs w:val="20"/>
              </w:rPr>
              <w:t>Description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_Toc252366172 \h </w:instrText>
            </w:r>
            <w:r w:rsidRPr="00B612CD">
              <w:rPr>
                <w:noProof/>
                <w:webHidden/>
                <w:sz w:val="20"/>
                <w:szCs w:val="20"/>
              </w:rPr>
            </w:r>
            <w:r w:rsidRPr="00B612CD">
              <w:rPr>
                <w:noProof/>
                <w:webHidden/>
                <w:sz w:val="20"/>
                <w:szCs w:val="20"/>
              </w:rPr>
              <w:fldChar w:fldCharType="separate"/>
            </w:r>
            <w:r w:rsidR="00A860F6">
              <w:rPr>
                <w:noProof/>
                <w:webHidden/>
                <w:sz w:val="20"/>
                <w:szCs w:val="20"/>
              </w:rPr>
              <w:t>10</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73" w:history="1">
            <w:r w:rsidR="00F57526" w:rsidRPr="00B612CD">
              <w:rPr>
                <w:rStyle w:val="Lienhypertexte"/>
                <w:rFonts w:ascii="Times New Roman" w:hAnsi="Times New Roman"/>
                <w:noProof/>
                <w:sz w:val="20"/>
                <w:szCs w:val="20"/>
              </w:rPr>
              <w:t>1.4.</w:t>
            </w:r>
            <w:r w:rsidR="00F57526" w:rsidRPr="00B612CD">
              <w:rPr>
                <w:noProof/>
                <w:sz w:val="20"/>
                <w:szCs w:val="20"/>
              </w:rPr>
              <w:tab/>
            </w:r>
            <w:r w:rsidR="00F57526" w:rsidRPr="00B612CD">
              <w:rPr>
                <w:rStyle w:val="Lienhypertexte"/>
                <w:rFonts w:ascii="Times New Roman" w:hAnsi="Times New Roman"/>
                <w:noProof/>
                <w:sz w:val="20"/>
                <w:szCs w:val="20"/>
              </w:rPr>
              <w:t>Propriété et usage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_Toc252366173 \h </w:instrText>
            </w:r>
            <w:r w:rsidRPr="00B612CD">
              <w:rPr>
                <w:noProof/>
                <w:webHidden/>
                <w:sz w:val="20"/>
                <w:szCs w:val="20"/>
              </w:rPr>
            </w:r>
            <w:r w:rsidRPr="00B612CD">
              <w:rPr>
                <w:noProof/>
                <w:webHidden/>
                <w:sz w:val="20"/>
                <w:szCs w:val="20"/>
              </w:rPr>
              <w:fldChar w:fldCharType="separate"/>
            </w:r>
            <w:r w:rsidR="00A860F6">
              <w:rPr>
                <w:noProof/>
                <w:webHidden/>
                <w:sz w:val="20"/>
                <w:szCs w:val="20"/>
              </w:rPr>
              <w:t>11</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74" w:history="1">
            <w:r w:rsidR="00F57526" w:rsidRPr="00B612CD">
              <w:rPr>
                <w:rStyle w:val="Lienhypertexte"/>
                <w:rFonts w:ascii="Times New Roman" w:hAnsi="Times New Roman"/>
                <w:noProof/>
                <w:sz w:val="20"/>
                <w:szCs w:val="20"/>
              </w:rPr>
              <w:t>1.5.</w:t>
            </w:r>
            <w:r w:rsidR="00F57526" w:rsidRPr="00B612CD">
              <w:rPr>
                <w:noProof/>
                <w:sz w:val="20"/>
                <w:szCs w:val="20"/>
              </w:rPr>
              <w:tab/>
            </w:r>
            <w:r w:rsidR="00F57526" w:rsidRPr="00B612CD">
              <w:rPr>
                <w:rStyle w:val="Lienhypertexte"/>
                <w:rFonts w:ascii="Times New Roman" w:hAnsi="Times New Roman"/>
                <w:noProof/>
                <w:sz w:val="20"/>
                <w:szCs w:val="20"/>
              </w:rPr>
              <w:t>Composition biochimique de la graine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_Toc252366174 \h </w:instrText>
            </w:r>
            <w:r w:rsidRPr="00B612CD">
              <w:rPr>
                <w:noProof/>
                <w:webHidden/>
                <w:sz w:val="20"/>
                <w:szCs w:val="20"/>
              </w:rPr>
            </w:r>
            <w:r w:rsidRPr="00B612CD">
              <w:rPr>
                <w:noProof/>
                <w:webHidden/>
                <w:sz w:val="20"/>
                <w:szCs w:val="20"/>
              </w:rPr>
              <w:fldChar w:fldCharType="separate"/>
            </w:r>
            <w:r w:rsidR="00A860F6">
              <w:rPr>
                <w:noProof/>
                <w:webHidden/>
                <w:sz w:val="20"/>
                <w:szCs w:val="20"/>
              </w:rPr>
              <w:t>11</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75" w:history="1">
            <w:r w:rsidR="00F57526" w:rsidRPr="00B612CD">
              <w:rPr>
                <w:rStyle w:val="Lienhypertexte"/>
                <w:rFonts w:ascii="Times New Roman" w:hAnsi="Times New Roman"/>
                <w:noProof/>
                <w:sz w:val="20"/>
                <w:szCs w:val="20"/>
              </w:rPr>
              <w:t>1.6.</w:t>
            </w:r>
            <w:r w:rsidR="00F57526" w:rsidRPr="00B612CD">
              <w:rPr>
                <w:noProof/>
                <w:sz w:val="20"/>
                <w:szCs w:val="20"/>
              </w:rPr>
              <w:tab/>
            </w:r>
            <w:r w:rsidR="00F57526" w:rsidRPr="00B612CD">
              <w:rPr>
                <w:rStyle w:val="Lienhypertexte"/>
                <w:rFonts w:ascii="Times New Roman" w:hAnsi="Times New Roman"/>
                <w:noProof/>
                <w:sz w:val="20"/>
                <w:szCs w:val="20"/>
              </w:rPr>
              <w:t>La culture du Fenugrec</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_Toc252366175 \h </w:instrText>
            </w:r>
            <w:r w:rsidRPr="00B612CD">
              <w:rPr>
                <w:noProof/>
                <w:webHidden/>
                <w:sz w:val="20"/>
                <w:szCs w:val="20"/>
              </w:rPr>
            </w:r>
            <w:r w:rsidRPr="00B612CD">
              <w:rPr>
                <w:noProof/>
                <w:webHidden/>
                <w:sz w:val="20"/>
                <w:szCs w:val="20"/>
              </w:rPr>
              <w:fldChar w:fldCharType="separate"/>
            </w:r>
            <w:r w:rsidR="00A860F6">
              <w:rPr>
                <w:noProof/>
                <w:webHidden/>
                <w:sz w:val="20"/>
                <w:szCs w:val="20"/>
              </w:rPr>
              <w:t>12</w:t>
            </w:r>
            <w:r w:rsidRPr="00B612CD">
              <w:rPr>
                <w:noProof/>
                <w:webHidden/>
                <w:sz w:val="20"/>
                <w:szCs w:val="20"/>
              </w:rPr>
              <w:fldChar w:fldCharType="end"/>
            </w:r>
          </w:hyperlink>
        </w:p>
        <w:p w:rsidR="00F57526" w:rsidRPr="00B612CD" w:rsidRDefault="00811D6A" w:rsidP="00B612CD">
          <w:pPr>
            <w:pStyle w:val="TM2"/>
            <w:tabs>
              <w:tab w:val="left" w:pos="1100"/>
              <w:tab w:val="right" w:leader="dot" w:pos="9771"/>
            </w:tabs>
            <w:spacing w:line="240" w:lineRule="auto"/>
            <w:rPr>
              <w:noProof/>
              <w:sz w:val="20"/>
              <w:szCs w:val="20"/>
            </w:rPr>
          </w:pPr>
          <w:hyperlink w:anchor="_Toc252366176" w:history="1">
            <w:r w:rsidR="00F57526" w:rsidRPr="00B612CD">
              <w:rPr>
                <w:rStyle w:val="Lienhypertexte"/>
                <w:rFonts w:ascii="Times New Roman" w:hAnsi="Times New Roman"/>
                <w:noProof/>
                <w:sz w:val="20"/>
                <w:szCs w:val="20"/>
              </w:rPr>
              <w:t>1.6.1.</w:t>
            </w:r>
            <w:r w:rsidR="00F57526" w:rsidRPr="00B612CD">
              <w:rPr>
                <w:noProof/>
                <w:sz w:val="20"/>
                <w:szCs w:val="20"/>
              </w:rPr>
              <w:tab/>
            </w:r>
            <w:r w:rsidR="00F57526" w:rsidRPr="00B612CD">
              <w:rPr>
                <w:rStyle w:val="Lienhypertexte"/>
                <w:rFonts w:ascii="Times New Roman" w:hAnsi="Times New Roman"/>
                <w:noProof/>
                <w:sz w:val="20"/>
                <w:szCs w:val="20"/>
              </w:rPr>
              <w:t>Les principaux pays producteurs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_Toc252366176 \h </w:instrText>
            </w:r>
            <w:r w:rsidRPr="00B612CD">
              <w:rPr>
                <w:noProof/>
                <w:webHidden/>
                <w:sz w:val="20"/>
                <w:szCs w:val="20"/>
              </w:rPr>
            </w:r>
            <w:r w:rsidRPr="00B612CD">
              <w:rPr>
                <w:noProof/>
                <w:webHidden/>
                <w:sz w:val="20"/>
                <w:szCs w:val="20"/>
              </w:rPr>
              <w:fldChar w:fldCharType="separate"/>
            </w:r>
            <w:r w:rsidR="00A860F6">
              <w:rPr>
                <w:noProof/>
                <w:webHidden/>
                <w:sz w:val="20"/>
                <w:szCs w:val="20"/>
              </w:rPr>
              <w:t>12</w:t>
            </w:r>
            <w:r w:rsidRPr="00B612CD">
              <w:rPr>
                <w:noProof/>
                <w:webHidden/>
                <w:sz w:val="20"/>
                <w:szCs w:val="20"/>
              </w:rPr>
              <w:fldChar w:fldCharType="end"/>
            </w:r>
          </w:hyperlink>
        </w:p>
        <w:p w:rsidR="00F57526" w:rsidRPr="00B612CD" w:rsidRDefault="00811D6A" w:rsidP="00B612CD">
          <w:pPr>
            <w:pStyle w:val="TM2"/>
            <w:tabs>
              <w:tab w:val="left" w:pos="1100"/>
              <w:tab w:val="right" w:leader="dot" w:pos="9771"/>
            </w:tabs>
            <w:spacing w:line="240" w:lineRule="auto"/>
            <w:rPr>
              <w:noProof/>
              <w:sz w:val="20"/>
              <w:szCs w:val="20"/>
            </w:rPr>
          </w:pPr>
          <w:hyperlink w:anchor="_Toc252366177" w:history="1">
            <w:r w:rsidR="00F57526" w:rsidRPr="00B612CD">
              <w:rPr>
                <w:rStyle w:val="Lienhypertexte"/>
                <w:rFonts w:ascii="Times New Roman" w:hAnsi="Times New Roman"/>
                <w:noProof/>
                <w:sz w:val="20"/>
                <w:szCs w:val="20"/>
              </w:rPr>
              <w:t>1.6.2.</w:t>
            </w:r>
            <w:r w:rsidR="00F57526" w:rsidRPr="00B612CD">
              <w:rPr>
                <w:noProof/>
                <w:sz w:val="20"/>
                <w:szCs w:val="20"/>
              </w:rPr>
              <w:tab/>
            </w:r>
            <w:r w:rsidR="00F57526" w:rsidRPr="00B612CD">
              <w:rPr>
                <w:rStyle w:val="Lienhypertexte"/>
                <w:rFonts w:ascii="Times New Roman" w:hAnsi="Times New Roman"/>
                <w:noProof/>
                <w:sz w:val="20"/>
                <w:szCs w:val="20"/>
              </w:rPr>
              <w:t>Les principaux pays exportateurs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_Toc252366177 \h </w:instrText>
            </w:r>
            <w:r w:rsidRPr="00B612CD">
              <w:rPr>
                <w:noProof/>
                <w:webHidden/>
                <w:sz w:val="20"/>
                <w:szCs w:val="20"/>
              </w:rPr>
            </w:r>
            <w:r w:rsidRPr="00B612CD">
              <w:rPr>
                <w:noProof/>
                <w:webHidden/>
                <w:sz w:val="20"/>
                <w:szCs w:val="20"/>
              </w:rPr>
              <w:fldChar w:fldCharType="separate"/>
            </w:r>
            <w:r w:rsidR="00A860F6">
              <w:rPr>
                <w:noProof/>
                <w:webHidden/>
                <w:sz w:val="20"/>
                <w:szCs w:val="20"/>
              </w:rPr>
              <w:t>12</w:t>
            </w:r>
            <w:r w:rsidRPr="00B612CD">
              <w:rPr>
                <w:noProof/>
                <w:webHidden/>
                <w:sz w:val="20"/>
                <w:szCs w:val="20"/>
              </w:rPr>
              <w:fldChar w:fldCharType="end"/>
            </w:r>
          </w:hyperlink>
        </w:p>
        <w:p w:rsidR="00F57526" w:rsidRPr="00B612CD" w:rsidRDefault="00811D6A" w:rsidP="00B612CD">
          <w:pPr>
            <w:pStyle w:val="TM2"/>
            <w:tabs>
              <w:tab w:val="left" w:pos="1100"/>
              <w:tab w:val="right" w:leader="dot" w:pos="9771"/>
            </w:tabs>
            <w:spacing w:line="240" w:lineRule="auto"/>
            <w:rPr>
              <w:noProof/>
              <w:sz w:val="20"/>
              <w:szCs w:val="20"/>
            </w:rPr>
          </w:pPr>
          <w:hyperlink w:anchor="_Toc252366178" w:history="1">
            <w:r w:rsidR="00F57526" w:rsidRPr="00B612CD">
              <w:rPr>
                <w:rStyle w:val="Lienhypertexte"/>
                <w:rFonts w:ascii="Times New Roman" w:hAnsi="Times New Roman"/>
                <w:noProof/>
                <w:sz w:val="20"/>
                <w:szCs w:val="20"/>
              </w:rPr>
              <w:t>1.6.3.</w:t>
            </w:r>
            <w:r w:rsidR="00F57526" w:rsidRPr="00B612CD">
              <w:rPr>
                <w:noProof/>
                <w:sz w:val="20"/>
                <w:szCs w:val="20"/>
              </w:rPr>
              <w:tab/>
            </w:r>
            <w:r w:rsidR="00F57526" w:rsidRPr="00B612CD">
              <w:rPr>
                <w:rStyle w:val="Lienhypertexte"/>
                <w:rFonts w:ascii="Times New Roman" w:hAnsi="Times New Roman"/>
                <w:noProof/>
                <w:sz w:val="20"/>
                <w:szCs w:val="20"/>
              </w:rPr>
              <w:t>Le Fenugrec en Algérie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_Toc252366178 \h </w:instrText>
            </w:r>
            <w:r w:rsidRPr="00B612CD">
              <w:rPr>
                <w:noProof/>
                <w:webHidden/>
                <w:sz w:val="20"/>
                <w:szCs w:val="20"/>
              </w:rPr>
            </w:r>
            <w:r w:rsidRPr="00B612CD">
              <w:rPr>
                <w:noProof/>
                <w:webHidden/>
                <w:sz w:val="20"/>
                <w:szCs w:val="20"/>
              </w:rPr>
              <w:fldChar w:fldCharType="separate"/>
            </w:r>
            <w:r w:rsidR="00A860F6">
              <w:rPr>
                <w:noProof/>
                <w:webHidden/>
                <w:sz w:val="20"/>
                <w:szCs w:val="20"/>
              </w:rPr>
              <w:t>12</w:t>
            </w:r>
            <w:r w:rsidRPr="00B612CD">
              <w:rPr>
                <w:noProof/>
                <w:webHidden/>
                <w:sz w:val="20"/>
                <w:szCs w:val="20"/>
              </w:rPr>
              <w:fldChar w:fldCharType="end"/>
            </w:r>
          </w:hyperlink>
        </w:p>
        <w:p w:rsidR="00F57526" w:rsidRPr="00B612CD" w:rsidRDefault="00811D6A" w:rsidP="00B612CD">
          <w:pPr>
            <w:pStyle w:val="TM2"/>
            <w:tabs>
              <w:tab w:val="left" w:pos="1100"/>
              <w:tab w:val="right" w:leader="dot" w:pos="9771"/>
            </w:tabs>
            <w:spacing w:line="240" w:lineRule="auto"/>
            <w:rPr>
              <w:rFonts w:asciiTheme="majorBidi" w:hAnsiTheme="majorBidi" w:cstheme="majorBidi"/>
              <w:noProof/>
              <w:sz w:val="20"/>
              <w:szCs w:val="20"/>
            </w:rPr>
          </w:pPr>
          <w:hyperlink w:anchor="_Toc252366179" w:history="1">
            <w:r w:rsidR="00F57526" w:rsidRPr="00B612CD">
              <w:rPr>
                <w:rStyle w:val="Lienhypertexte"/>
                <w:rFonts w:asciiTheme="majorBidi" w:hAnsiTheme="majorBidi" w:cstheme="majorBidi"/>
                <w:noProof/>
                <w:sz w:val="20"/>
                <w:szCs w:val="20"/>
              </w:rPr>
              <w:t>1.6.4.</w:t>
            </w:r>
            <w:r w:rsidR="00F57526" w:rsidRPr="00B612CD">
              <w:rPr>
                <w:rFonts w:asciiTheme="majorBidi" w:hAnsiTheme="majorBidi" w:cstheme="majorBidi"/>
                <w:noProof/>
                <w:sz w:val="20"/>
                <w:szCs w:val="20"/>
              </w:rPr>
              <w:tab/>
            </w:r>
            <w:r w:rsidR="00E80556" w:rsidRPr="00B612CD">
              <w:rPr>
                <w:rFonts w:asciiTheme="majorBidi" w:hAnsiTheme="majorBidi" w:cstheme="majorBidi"/>
                <w:noProof/>
                <w:sz w:val="20"/>
                <w:szCs w:val="20"/>
              </w:rPr>
              <w:t xml:space="preserve">Les </w:t>
            </w:r>
            <w:r w:rsidR="00F57526" w:rsidRPr="00B612CD">
              <w:rPr>
                <w:rStyle w:val="Lienhypertexte"/>
                <w:rFonts w:asciiTheme="majorBidi" w:hAnsiTheme="majorBidi" w:cstheme="majorBidi"/>
                <w:noProof/>
                <w:sz w:val="20"/>
                <w:szCs w:val="20"/>
              </w:rPr>
              <w:t>xigences écologiques</w:t>
            </w:r>
            <w:r w:rsidR="00F57526" w:rsidRPr="00B612CD">
              <w:rPr>
                <w:rFonts w:asciiTheme="majorBidi" w:hAnsiTheme="majorBidi" w:cstheme="majorBidi"/>
                <w:noProof/>
                <w:webHidden/>
                <w:sz w:val="20"/>
                <w:szCs w:val="20"/>
              </w:rPr>
              <w:tab/>
            </w:r>
            <w:r w:rsidRPr="00B612CD">
              <w:rPr>
                <w:rFonts w:asciiTheme="majorBidi" w:hAnsiTheme="majorBidi" w:cstheme="majorBidi"/>
                <w:noProof/>
                <w:webHidden/>
                <w:sz w:val="20"/>
                <w:szCs w:val="20"/>
              </w:rPr>
              <w:fldChar w:fldCharType="begin"/>
            </w:r>
            <w:r w:rsidR="00F57526" w:rsidRPr="00B612CD">
              <w:rPr>
                <w:rFonts w:asciiTheme="majorBidi" w:hAnsiTheme="majorBidi" w:cstheme="majorBidi"/>
                <w:noProof/>
                <w:webHidden/>
                <w:sz w:val="20"/>
                <w:szCs w:val="20"/>
              </w:rPr>
              <w:instrText xml:space="preserve"> PAGEREF _Toc252366179 \h </w:instrText>
            </w:r>
            <w:r w:rsidRPr="00B612CD">
              <w:rPr>
                <w:rFonts w:asciiTheme="majorBidi" w:hAnsiTheme="majorBidi" w:cstheme="majorBidi"/>
                <w:noProof/>
                <w:webHidden/>
                <w:sz w:val="20"/>
                <w:szCs w:val="20"/>
              </w:rPr>
            </w:r>
            <w:r w:rsidRPr="00B612CD">
              <w:rPr>
                <w:rFonts w:asciiTheme="majorBidi" w:hAnsiTheme="majorBidi" w:cstheme="majorBidi"/>
                <w:noProof/>
                <w:webHidden/>
                <w:sz w:val="20"/>
                <w:szCs w:val="20"/>
              </w:rPr>
              <w:fldChar w:fldCharType="separate"/>
            </w:r>
            <w:r w:rsidR="00A860F6">
              <w:rPr>
                <w:rFonts w:asciiTheme="majorBidi" w:hAnsiTheme="majorBidi" w:cstheme="majorBidi"/>
                <w:noProof/>
                <w:webHidden/>
                <w:sz w:val="20"/>
                <w:szCs w:val="20"/>
              </w:rPr>
              <w:t>12</w:t>
            </w:r>
            <w:r w:rsidRPr="00B612CD">
              <w:rPr>
                <w:rFonts w:asciiTheme="majorBidi" w:hAnsiTheme="majorBidi" w:cstheme="majorBidi"/>
                <w:noProof/>
                <w:webHidden/>
                <w:sz w:val="20"/>
                <w:szCs w:val="20"/>
              </w:rPr>
              <w:fldChar w:fldCharType="end"/>
            </w:r>
          </w:hyperlink>
        </w:p>
        <w:p w:rsidR="00F57526" w:rsidRPr="00B612CD" w:rsidRDefault="00811D6A" w:rsidP="00B612CD">
          <w:pPr>
            <w:pStyle w:val="TM2"/>
            <w:tabs>
              <w:tab w:val="left" w:pos="1100"/>
              <w:tab w:val="right" w:leader="dot" w:pos="9771"/>
            </w:tabs>
            <w:spacing w:line="240" w:lineRule="auto"/>
            <w:rPr>
              <w:rFonts w:asciiTheme="majorBidi" w:hAnsiTheme="majorBidi" w:cstheme="majorBidi"/>
              <w:noProof/>
              <w:sz w:val="20"/>
              <w:szCs w:val="20"/>
            </w:rPr>
          </w:pPr>
          <w:hyperlink w:anchor="_Toc252366180" w:history="1">
            <w:r w:rsidR="00F57526" w:rsidRPr="00B612CD">
              <w:rPr>
                <w:rStyle w:val="Lienhypertexte"/>
                <w:rFonts w:asciiTheme="majorBidi" w:hAnsiTheme="majorBidi" w:cstheme="majorBidi"/>
                <w:noProof/>
                <w:sz w:val="20"/>
                <w:szCs w:val="20"/>
              </w:rPr>
              <w:t>1.6.5.</w:t>
            </w:r>
            <w:r w:rsidR="00F57526" w:rsidRPr="00B612CD">
              <w:rPr>
                <w:rFonts w:asciiTheme="majorBidi" w:hAnsiTheme="majorBidi" w:cstheme="majorBidi"/>
                <w:noProof/>
                <w:sz w:val="20"/>
                <w:szCs w:val="20"/>
              </w:rPr>
              <w:tab/>
            </w:r>
            <w:r w:rsidR="00E80556" w:rsidRPr="00B612CD">
              <w:rPr>
                <w:rFonts w:asciiTheme="majorBidi" w:hAnsiTheme="majorBidi" w:cstheme="majorBidi"/>
                <w:noProof/>
                <w:sz w:val="20"/>
                <w:szCs w:val="20"/>
              </w:rPr>
              <w:t xml:space="preserve">Les </w:t>
            </w:r>
            <w:r w:rsidR="00E80556" w:rsidRPr="00B612CD">
              <w:rPr>
                <w:rStyle w:val="Lienhypertexte"/>
                <w:rFonts w:asciiTheme="majorBidi" w:hAnsiTheme="majorBidi" w:cstheme="majorBidi"/>
                <w:noProof/>
                <w:sz w:val="20"/>
                <w:szCs w:val="20"/>
              </w:rPr>
              <w:t>e</w:t>
            </w:r>
            <w:r w:rsidR="00F57526" w:rsidRPr="00B612CD">
              <w:rPr>
                <w:rStyle w:val="Lienhypertexte"/>
                <w:rFonts w:asciiTheme="majorBidi" w:hAnsiTheme="majorBidi" w:cstheme="majorBidi"/>
                <w:noProof/>
                <w:sz w:val="20"/>
                <w:szCs w:val="20"/>
              </w:rPr>
              <w:t>xigences culturales</w:t>
            </w:r>
            <w:r w:rsidR="00F57526" w:rsidRPr="00B612CD">
              <w:rPr>
                <w:rFonts w:asciiTheme="majorBidi" w:hAnsiTheme="majorBidi" w:cstheme="majorBidi"/>
                <w:noProof/>
                <w:webHidden/>
                <w:sz w:val="20"/>
                <w:szCs w:val="20"/>
              </w:rPr>
              <w:tab/>
            </w:r>
            <w:r w:rsidRPr="00B612CD">
              <w:rPr>
                <w:rFonts w:asciiTheme="majorBidi" w:hAnsiTheme="majorBidi" w:cstheme="majorBidi"/>
                <w:noProof/>
                <w:webHidden/>
                <w:sz w:val="20"/>
                <w:szCs w:val="20"/>
              </w:rPr>
              <w:fldChar w:fldCharType="begin"/>
            </w:r>
            <w:r w:rsidR="00F57526" w:rsidRPr="00B612CD">
              <w:rPr>
                <w:rFonts w:asciiTheme="majorBidi" w:hAnsiTheme="majorBidi" w:cstheme="majorBidi"/>
                <w:noProof/>
                <w:webHidden/>
                <w:sz w:val="20"/>
                <w:szCs w:val="20"/>
              </w:rPr>
              <w:instrText xml:space="preserve"> PAGEREF _Toc252366180 \h </w:instrText>
            </w:r>
            <w:r w:rsidRPr="00B612CD">
              <w:rPr>
                <w:rFonts w:asciiTheme="majorBidi" w:hAnsiTheme="majorBidi" w:cstheme="majorBidi"/>
                <w:noProof/>
                <w:webHidden/>
                <w:sz w:val="20"/>
                <w:szCs w:val="20"/>
              </w:rPr>
            </w:r>
            <w:r w:rsidRPr="00B612CD">
              <w:rPr>
                <w:rFonts w:asciiTheme="majorBidi" w:hAnsiTheme="majorBidi" w:cstheme="majorBidi"/>
                <w:noProof/>
                <w:webHidden/>
                <w:sz w:val="20"/>
                <w:szCs w:val="20"/>
              </w:rPr>
              <w:fldChar w:fldCharType="separate"/>
            </w:r>
            <w:r w:rsidR="00A860F6">
              <w:rPr>
                <w:rFonts w:asciiTheme="majorBidi" w:hAnsiTheme="majorBidi" w:cstheme="majorBidi"/>
                <w:noProof/>
                <w:webHidden/>
                <w:sz w:val="20"/>
                <w:szCs w:val="20"/>
              </w:rPr>
              <w:t>12</w:t>
            </w:r>
            <w:r w:rsidRPr="00B612CD">
              <w:rPr>
                <w:rFonts w:asciiTheme="majorBidi" w:hAnsiTheme="majorBidi" w:cstheme="majorBidi"/>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181" w:history="1">
            <w:r w:rsidR="00F57526" w:rsidRPr="00B612CD">
              <w:rPr>
                <w:rStyle w:val="Lienhypertexte"/>
                <w:rFonts w:ascii="Times New Roman" w:hAnsi="Times New Roman"/>
                <w:noProof/>
                <w:sz w:val="20"/>
                <w:szCs w:val="20"/>
              </w:rPr>
              <w:t>2.</w:t>
            </w:r>
            <w:r w:rsidR="00F57526" w:rsidRPr="00B612CD">
              <w:rPr>
                <w:noProof/>
                <w:sz w:val="20"/>
                <w:szCs w:val="20"/>
              </w:rPr>
              <w:tab/>
            </w:r>
            <w:r w:rsidR="00F57526" w:rsidRPr="00B612CD">
              <w:rPr>
                <w:rStyle w:val="Lienhypertexte"/>
                <w:rFonts w:ascii="Times New Roman" w:hAnsi="Times New Roman"/>
                <w:noProof/>
                <w:sz w:val="20"/>
                <w:szCs w:val="20"/>
              </w:rPr>
              <w:t>Carthame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_Toc252366181 \h </w:instrText>
            </w:r>
            <w:r w:rsidRPr="00B612CD">
              <w:rPr>
                <w:noProof/>
                <w:webHidden/>
                <w:sz w:val="20"/>
                <w:szCs w:val="20"/>
              </w:rPr>
            </w:r>
            <w:r w:rsidRPr="00B612CD">
              <w:rPr>
                <w:noProof/>
                <w:webHidden/>
                <w:sz w:val="20"/>
                <w:szCs w:val="20"/>
              </w:rPr>
              <w:fldChar w:fldCharType="separate"/>
            </w:r>
            <w:r w:rsidR="00A860F6">
              <w:rPr>
                <w:noProof/>
                <w:webHidden/>
                <w:sz w:val="20"/>
                <w:szCs w:val="20"/>
              </w:rPr>
              <w:t>13</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82" w:history="1">
            <w:r w:rsidR="00F57526" w:rsidRPr="00B612CD">
              <w:rPr>
                <w:rStyle w:val="Lienhypertexte"/>
                <w:rFonts w:ascii="Times New Roman" w:hAnsi="Times New Roman"/>
                <w:noProof/>
                <w:sz w:val="20"/>
                <w:szCs w:val="20"/>
              </w:rPr>
              <w:t>2.1.</w:t>
            </w:r>
            <w:r w:rsidR="00F57526" w:rsidRPr="00B612CD">
              <w:rPr>
                <w:noProof/>
                <w:sz w:val="20"/>
                <w:szCs w:val="20"/>
              </w:rPr>
              <w:tab/>
            </w:r>
            <w:r w:rsidR="00F57526" w:rsidRPr="00B612CD">
              <w:rPr>
                <w:rStyle w:val="Lienhypertexte"/>
                <w:rFonts w:ascii="Times New Roman" w:hAnsi="Times New Roman"/>
                <w:noProof/>
                <w:sz w:val="20"/>
                <w:szCs w:val="20"/>
              </w:rPr>
              <w:t>Classification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_Toc252366182 \h </w:instrText>
            </w:r>
            <w:r w:rsidRPr="00B612CD">
              <w:rPr>
                <w:noProof/>
                <w:webHidden/>
                <w:sz w:val="20"/>
                <w:szCs w:val="20"/>
              </w:rPr>
            </w:r>
            <w:r w:rsidRPr="00B612CD">
              <w:rPr>
                <w:noProof/>
                <w:webHidden/>
                <w:sz w:val="20"/>
                <w:szCs w:val="20"/>
              </w:rPr>
              <w:fldChar w:fldCharType="separate"/>
            </w:r>
            <w:r w:rsidR="00A860F6">
              <w:rPr>
                <w:noProof/>
                <w:webHidden/>
                <w:sz w:val="20"/>
                <w:szCs w:val="20"/>
              </w:rPr>
              <w:t>13</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83" w:history="1">
            <w:r w:rsidR="00F57526" w:rsidRPr="00B612CD">
              <w:rPr>
                <w:rStyle w:val="Lienhypertexte"/>
                <w:rFonts w:ascii="Times New Roman" w:hAnsi="Times New Roman"/>
                <w:noProof/>
                <w:sz w:val="20"/>
                <w:szCs w:val="20"/>
              </w:rPr>
              <w:t>2.2.</w:t>
            </w:r>
            <w:r w:rsidR="00F57526" w:rsidRPr="00B612CD">
              <w:rPr>
                <w:noProof/>
                <w:sz w:val="20"/>
                <w:szCs w:val="20"/>
              </w:rPr>
              <w:tab/>
            </w:r>
            <w:r w:rsidR="00F57526" w:rsidRPr="00B612CD">
              <w:rPr>
                <w:rStyle w:val="Lienhypertexte"/>
                <w:rFonts w:ascii="Times New Roman" w:hAnsi="Times New Roman"/>
                <w:noProof/>
                <w:sz w:val="20"/>
                <w:szCs w:val="20"/>
              </w:rPr>
              <w:t>Origine et aire de répartition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_Toc252366183 \h </w:instrText>
            </w:r>
            <w:r w:rsidRPr="00B612CD">
              <w:rPr>
                <w:noProof/>
                <w:webHidden/>
                <w:sz w:val="20"/>
                <w:szCs w:val="20"/>
              </w:rPr>
            </w:r>
            <w:r w:rsidRPr="00B612CD">
              <w:rPr>
                <w:noProof/>
                <w:webHidden/>
                <w:sz w:val="20"/>
                <w:szCs w:val="20"/>
              </w:rPr>
              <w:fldChar w:fldCharType="separate"/>
            </w:r>
            <w:r w:rsidR="00A860F6">
              <w:rPr>
                <w:noProof/>
                <w:webHidden/>
                <w:sz w:val="20"/>
                <w:szCs w:val="20"/>
              </w:rPr>
              <w:t>13</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84" w:history="1">
            <w:r w:rsidR="00F57526" w:rsidRPr="00B612CD">
              <w:rPr>
                <w:rStyle w:val="Lienhypertexte"/>
                <w:rFonts w:ascii="Times New Roman" w:hAnsi="Times New Roman"/>
                <w:noProof/>
                <w:sz w:val="20"/>
                <w:szCs w:val="20"/>
              </w:rPr>
              <w:t>2.3.</w:t>
            </w:r>
            <w:r w:rsidR="00F57526" w:rsidRPr="00B612CD">
              <w:rPr>
                <w:noProof/>
                <w:sz w:val="20"/>
                <w:szCs w:val="20"/>
              </w:rPr>
              <w:tab/>
            </w:r>
            <w:r w:rsidR="00F57526" w:rsidRPr="00B612CD">
              <w:rPr>
                <w:rStyle w:val="Lienhypertexte"/>
                <w:rFonts w:ascii="Times New Roman" w:hAnsi="Times New Roman"/>
                <w:noProof/>
                <w:sz w:val="20"/>
                <w:szCs w:val="20"/>
              </w:rPr>
              <w:t>Description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_Toc252366184 \h </w:instrText>
            </w:r>
            <w:r w:rsidRPr="00B612CD">
              <w:rPr>
                <w:noProof/>
                <w:webHidden/>
                <w:sz w:val="20"/>
                <w:szCs w:val="20"/>
              </w:rPr>
            </w:r>
            <w:r w:rsidRPr="00B612CD">
              <w:rPr>
                <w:noProof/>
                <w:webHidden/>
                <w:sz w:val="20"/>
                <w:szCs w:val="20"/>
              </w:rPr>
              <w:fldChar w:fldCharType="separate"/>
            </w:r>
            <w:r w:rsidR="00A860F6">
              <w:rPr>
                <w:noProof/>
                <w:webHidden/>
                <w:sz w:val="20"/>
                <w:szCs w:val="20"/>
              </w:rPr>
              <w:t>13</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85" w:history="1">
            <w:r w:rsidR="00F57526" w:rsidRPr="00B612CD">
              <w:rPr>
                <w:rStyle w:val="Lienhypertexte"/>
                <w:rFonts w:ascii="Times New Roman" w:hAnsi="Times New Roman"/>
                <w:noProof/>
                <w:sz w:val="20"/>
                <w:szCs w:val="20"/>
              </w:rPr>
              <w:t>2.4.</w:t>
            </w:r>
            <w:r w:rsidR="00F57526" w:rsidRPr="00B612CD">
              <w:rPr>
                <w:noProof/>
                <w:sz w:val="20"/>
                <w:szCs w:val="20"/>
              </w:rPr>
              <w:tab/>
            </w:r>
            <w:r w:rsidR="00F57526" w:rsidRPr="00B612CD">
              <w:rPr>
                <w:rStyle w:val="Lienhypertexte"/>
                <w:rFonts w:ascii="Times New Roman" w:hAnsi="Times New Roman"/>
                <w:noProof/>
                <w:sz w:val="20"/>
                <w:szCs w:val="20"/>
              </w:rPr>
              <w:t>Propriété et usage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_Toc252366185 \h </w:instrText>
            </w:r>
            <w:r w:rsidRPr="00B612CD">
              <w:rPr>
                <w:noProof/>
                <w:webHidden/>
                <w:sz w:val="20"/>
                <w:szCs w:val="20"/>
              </w:rPr>
            </w:r>
            <w:r w:rsidRPr="00B612CD">
              <w:rPr>
                <w:noProof/>
                <w:webHidden/>
                <w:sz w:val="20"/>
                <w:szCs w:val="20"/>
              </w:rPr>
              <w:fldChar w:fldCharType="separate"/>
            </w:r>
            <w:r w:rsidR="00A860F6">
              <w:rPr>
                <w:noProof/>
                <w:webHidden/>
                <w:sz w:val="20"/>
                <w:szCs w:val="20"/>
              </w:rPr>
              <w:t>14</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86" w:history="1">
            <w:r w:rsidR="00F57526" w:rsidRPr="00B612CD">
              <w:rPr>
                <w:rStyle w:val="Lienhypertexte"/>
                <w:rFonts w:ascii="Times New Roman" w:hAnsi="Times New Roman"/>
                <w:noProof/>
                <w:sz w:val="20"/>
                <w:szCs w:val="20"/>
              </w:rPr>
              <w:t>2.5.</w:t>
            </w:r>
            <w:r w:rsidR="00F57526" w:rsidRPr="00B612CD">
              <w:rPr>
                <w:noProof/>
                <w:sz w:val="20"/>
                <w:szCs w:val="20"/>
              </w:rPr>
              <w:tab/>
            </w:r>
            <w:r w:rsidR="00F57526" w:rsidRPr="00B612CD">
              <w:rPr>
                <w:rStyle w:val="Lienhypertexte"/>
                <w:rFonts w:ascii="Times New Roman" w:hAnsi="Times New Roman"/>
                <w:noProof/>
                <w:sz w:val="20"/>
                <w:szCs w:val="20"/>
              </w:rPr>
              <w:t>Composition biochimique de la graine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_Toc252366186 \h </w:instrText>
            </w:r>
            <w:r w:rsidRPr="00B612CD">
              <w:rPr>
                <w:noProof/>
                <w:webHidden/>
                <w:sz w:val="20"/>
                <w:szCs w:val="20"/>
              </w:rPr>
            </w:r>
            <w:r w:rsidRPr="00B612CD">
              <w:rPr>
                <w:noProof/>
                <w:webHidden/>
                <w:sz w:val="20"/>
                <w:szCs w:val="20"/>
              </w:rPr>
              <w:fldChar w:fldCharType="separate"/>
            </w:r>
            <w:r w:rsidR="00A860F6">
              <w:rPr>
                <w:noProof/>
                <w:webHidden/>
                <w:sz w:val="20"/>
                <w:szCs w:val="20"/>
              </w:rPr>
              <w:t>14</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87" w:history="1">
            <w:r w:rsidR="00F57526" w:rsidRPr="00B612CD">
              <w:rPr>
                <w:rStyle w:val="Lienhypertexte"/>
                <w:rFonts w:ascii="Times New Roman" w:hAnsi="Times New Roman"/>
                <w:noProof/>
                <w:sz w:val="20"/>
                <w:szCs w:val="20"/>
              </w:rPr>
              <w:t>2.6.</w:t>
            </w:r>
            <w:r w:rsidR="00F57526" w:rsidRPr="00B612CD">
              <w:rPr>
                <w:noProof/>
                <w:sz w:val="20"/>
                <w:szCs w:val="20"/>
              </w:rPr>
              <w:tab/>
            </w:r>
            <w:r w:rsidR="00F57526" w:rsidRPr="00B612CD">
              <w:rPr>
                <w:rStyle w:val="Lienhypertexte"/>
                <w:rFonts w:ascii="Times New Roman" w:hAnsi="Times New Roman"/>
                <w:noProof/>
                <w:sz w:val="20"/>
                <w:szCs w:val="20"/>
              </w:rPr>
              <w:t>La culture du carthame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_Toc252366187 \h </w:instrText>
            </w:r>
            <w:r w:rsidRPr="00B612CD">
              <w:rPr>
                <w:noProof/>
                <w:webHidden/>
                <w:sz w:val="20"/>
                <w:szCs w:val="20"/>
              </w:rPr>
            </w:r>
            <w:r w:rsidRPr="00B612CD">
              <w:rPr>
                <w:noProof/>
                <w:webHidden/>
                <w:sz w:val="20"/>
                <w:szCs w:val="20"/>
              </w:rPr>
              <w:fldChar w:fldCharType="separate"/>
            </w:r>
            <w:r w:rsidR="00A860F6">
              <w:rPr>
                <w:noProof/>
                <w:webHidden/>
                <w:sz w:val="20"/>
                <w:szCs w:val="20"/>
              </w:rPr>
              <w:t>15</w:t>
            </w:r>
            <w:r w:rsidRPr="00B612CD">
              <w:rPr>
                <w:noProof/>
                <w:webHidden/>
                <w:sz w:val="20"/>
                <w:szCs w:val="20"/>
              </w:rPr>
              <w:fldChar w:fldCharType="end"/>
            </w:r>
          </w:hyperlink>
        </w:p>
        <w:p w:rsidR="00F57526" w:rsidRPr="00B612CD" w:rsidRDefault="00811D6A" w:rsidP="00B612CD">
          <w:pPr>
            <w:pStyle w:val="TM2"/>
            <w:tabs>
              <w:tab w:val="left" w:pos="1100"/>
              <w:tab w:val="right" w:leader="dot" w:pos="9771"/>
            </w:tabs>
            <w:spacing w:line="240" w:lineRule="auto"/>
            <w:rPr>
              <w:noProof/>
              <w:sz w:val="20"/>
              <w:szCs w:val="20"/>
            </w:rPr>
          </w:pPr>
          <w:hyperlink w:anchor="_Toc252366188" w:history="1">
            <w:r w:rsidR="00F57526" w:rsidRPr="00B612CD">
              <w:rPr>
                <w:rStyle w:val="Lienhypertexte"/>
                <w:rFonts w:ascii="Times New Roman" w:hAnsi="Times New Roman"/>
                <w:noProof/>
                <w:sz w:val="20"/>
                <w:szCs w:val="20"/>
              </w:rPr>
              <w:t>2.6.1.</w:t>
            </w:r>
            <w:r w:rsidR="00F57526" w:rsidRPr="00B612CD">
              <w:rPr>
                <w:noProof/>
                <w:sz w:val="20"/>
                <w:szCs w:val="20"/>
              </w:rPr>
              <w:tab/>
            </w:r>
            <w:r w:rsidR="00E80556" w:rsidRPr="00B612CD">
              <w:rPr>
                <w:rFonts w:asciiTheme="majorBidi" w:hAnsiTheme="majorBidi" w:cstheme="majorBidi"/>
                <w:noProof/>
                <w:sz w:val="20"/>
                <w:szCs w:val="20"/>
              </w:rPr>
              <w:t>Les</w:t>
            </w:r>
            <w:r w:rsidR="00E80556" w:rsidRPr="00B612CD">
              <w:rPr>
                <w:noProof/>
                <w:sz w:val="20"/>
                <w:szCs w:val="20"/>
              </w:rPr>
              <w:t xml:space="preserve"> </w:t>
            </w:r>
            <w:r w:rsidR="00E80556" w:rsidRPr="00B612CD">
              <w:rPr>
                <w:rStyle w:val="Lienhypertexte"/>
                <w:rFonts w:ascii="Times New Roman" w:hAnsi="Times New Roman"/>
                <w:noProof/>
                <w:sz w:val="20"/>
                <w:szCs w:val="20"/>
              </w:rPr>
              <w:t>p</w:t>
            </w:r>
            <w:r w:rsidR="00F57526" w:rsidRPr="00B612CD">
              <w:rPr>
                <w:rStyle w:val="Lienhypertexte"/>
                <w:rFonts w:ascii="Times New Roman" w:hAnsi="Times New Roman"/>
                <w:noProof/>
                <w:sz w:val="20"/>
                <w:szCs w:val="20"/>
              </w:rPr>
              <w:t>rincipaux pays producteurs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_Toc252366188 \h </w:instrText>
            </w:r>
            <w:r w:rsidRPr="00B612CD">
              <w:rPr>
                <w:noProof/>
                <w:webHidden/>
                <w:sz w:val="20"/>
                <w:szCs w:val="20"/>
              </w:rPr>
            </w:r>
            <w:r w:rsidRPr="00B612CD">
              <w:rPr>
                <w:noProof/>
                <w:webHidden/>
                <w:sz w:val="20"/>
                <w:szCs w:val="20"/>
              </w:rPr>
              <w:fldChar w:fldCharType="separate"/>
            </w:r>
            <w:r w:rsidR="00A860F6">
              <w:rPr>
                <w:noProof/>
                <w:webHidden/>
                <w:sz w:val="20"/>
                <w:szCs w:val="20"/>
              </w:rPr>
              <w:t>15</w:t>
            </w:r>
            <w:r w:rsidRPr="00B612CD">
              <w:rPr>
                <w:noProof/>
                <w:webHidden/>
                <w:sz w:val="20"/>
                <w:szCs w:val="20"/>
              </w:rPr>
              <w:fldChar w:fldCharType="end"/>
            </w:r>
          </w:hyperlink>
        </w:p>
        <w:p w:rsidR="00F57526" w:rsidRPr="00B612CD" w:rsidRDefault="00811D6A" w:rsidP="00B612CD">
          <w:pPr>
            <w:pStyle w:val="TM2"/>
            <w:tabs>
              <w:tab w:val="left" w:pos="1100"/>
              <w:tab w:val="right" w:leader="dot" w:pos="9771"/>
            </w:tabs>
            <w:spacing w:line="240" w:lineRule="auto"/>
            <w:rPr>
              <w:noProof/>
              <w:sz w:val="20"/>
              <w:szCs w:val="20"/>
            </w:rPr>
          </w:pPr>
          <w:hyperlink w:anchor="_Toc252366189" w:history="1">
            <w:r w:rsidR="00F57526" w:rsidRPr="00B612CD">
              <w:rPr>
                <w:rStyle w:val="Lienhypertexte"/>
                <w:rFonts w:ascii="Times New Roman" w:hAnsi="Times New Roman"/>
                <w:noProof/>
                <w:sz w:val="20"/>
                <w:szCs w:val="20"/>
              </w:rPr>
              <w:t>2.6.2.</w:t>
            </w:r>
            <w:r w:rsidR="00F57526" w:rsidRPr="00B612CD">
              <w:rPr>
                <w:noProof/>
                <w:sz w:val="20"/>
                <w:szCs w:val="20"/>
              </w:rPr>
              <w:tab/>
            </w:r>
            <w:r w:rsidR="00F57526" w:rsidRPr="00B612CD">
              <w:rPr>
                <w:rStyle w:val="Lienhypertexte"/>
                <w:rFonts w:ascii="Times New Roman" w:hAnsi="Times New Roman"/>
                <w:noProof/>
                <w:sz w:val="20"/>
                <w:szCs w:val="20"/>
              </w:rPr>
              <w:t>La culture du carthame en Algérie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_Toc252366189 \h </w:instrText>
            </w:r>
            <w:r w:rsidRPr="00B612CD">
              <w:rPr>
                <w:noProof/>
                <w:webHidden/>
                <w:sz w:val="20"/>
                <w:szCs w:val="20"/>
              </w:rPr>
            </w:r>
            <w:r w:rsidRPr="00B612CD">
              <w:rPr>
                <w:noProof/>
                <w:webHidden/>
                <w:sz w:val="20"/>
                <w:szCs w:val="20"/>
              </w:rPr>
              <w:fldChar w:fldCharType="separate"/>
            </w:r>
            <w:r w:rsidR="00A860F6">
              <w:rPr>
                <w:noProof/>
                <w:webHidden/>
                <w:sz w:val="20"/>
                <w:szCs w:val="20"/>
              </w:rPr>
              <w:t>15</w:t>
            </w:r>
            <w:r w:rsidRPr="00B612CD">
              <w:rPr>
                <w:noProof/>
                <w:webHidden/>
                <w:sz w:val="20"/>
                <w:szCs w:val="20"/>
              </w:rPr>
              <w:fldChar w:fldCharType="end"/>
            </w:r>
          </w:hyperlink>
        </w:p>
        <w:p w:rsidR="00F57526" w:rsidRPr="00B612CD" w:rsidRDefault="00811D6A" w:rsidP="00B612CD">
          <w:pPr>
            <w:pStyle w:val="TM2"/>
            <w:tabs>
              <w:tab w:val="left" w:pos="1100"/>
              <w:tab w:val="right" w:leader="dot" w:pos="9771"/>
            </w:tabs>
            <w:spacing w:line="240" w:lineRule="auto"/>
            <w:rPr>
              <w:noProof/>
              <w:sz w:val="20"/>
              <w:szCs w:val="20"/>
            </w:rPr>
          </w:pPr>
          <w:hyperlink w:anchor="_Toc252366190" w:history="1">
            <w:r w:rsidR="00F57526" w:rsidRPr="00B612CD">
              <w:rPr>
                <w:rStyle w:val="Lienhypertexte"/>
                <w:rFonts w:ascii="Times New Roman" w:hAnsi="Times New Roman"/>
                <w:noProof/>
                <w:sz w:val="20"/>
                <w:szCs w:val="20"/>
              </w:rPr>
              <w:t>2.6.3.</w:t>
            </w:r>
            <w:r w:rsidR="00F57526" w:rsidRPr="00B612CD">
              <w:rPr>
                <w:noProof/>
                <w:sz w:val="20"/>
                <w:szCs w:val="20"/>
              </w:rPr>
              <w:tab/>
            </w:r>
            <w:r w:rsidR="00E80556" w:rsidRPr="00B612CD">
              <w:rPr>
                <w:rFonts w:asciiTheme="majorBidi" w:hAnsiTheme="majorBidi" w:cstheme="majorBidi"/>
                <w:noProof/>
                <w:sz w:val="20"/>
                <w:szCs w:val="20"/>
              </w:rPr>
              <w:t xml:space="preserve">Les </w:t>
            </w:r>
            <w:r w:rsidR="00E80556" w:rsidRPr="00B612CD">
              <w:rPr>
                <w:rStyle w:val="Lienhypertexte"/>
                <w:rFonts w:asciiTheme="majorBidi" w:hAnsiTheme="majorBidi" w:cstheme="majorBidi"/>
                <w:noProof/>
                <w:sz w:val="20"/>
                <w:szCs w:val="20"/>
              </w:rPr>
              <w:t>e</w:t>
            </w:r>
            <w:r w:rsidR="00F57526" w:rsidRPr="00B612CD">
              <w:rPr>
                <w:rStyle w:val="Lienhypertexte"/>
                <w:rFonts w:asciiTheme="majorBidi" w:hAnsiTheme="majorBidi" w:cstheme="majorBidi"/>
                <w:noProof/>
                <w:sz w:val="20"/>
                <w:szCs w:val="20"/>
              </w:rPr>
              <w:t>xigence</w:t>
            </w:r>
            <w:r w:rsidR="00E80556" w:rsidRPr="00B612CD">
              <w:rPr>
                <w:rStyle w:val="Lienhypertexte"/>
                <w:rFonts w:asciiTheme="majorBidi" w:hAnsiTheme="majorBidi" w:cstheme="majorBidi"/>
                <w:noProof/>
                <w:sz w:val="20"/>
                <w:szCs w:val="20"/>
              </w:rPr>
              <w:t>s</w:t>
            </w:r>
            <w:r w:rsidR="00F57526" w:rsidRPr="00B612CD">
              <w:rPr>
                <w:rStyle w:val="Lienhypertexte"/>
                <w:rFonts w:asciiTheme="majorBidi" w:hAnsiTheme="majorBidi" w:cstheme="majorBidi"/>
                <w:noProof/>
                <w:sz w:val="20"/>
                <w:szCs w:val="20"/>
              </w:rPr>
              <w:t xml:space="preserve"> écologique</w:t>
            </w:r>
            <w:r w:rsidR="00E80556" w:rsidRPr="00B612CD">
              <w:rPr>
                <w:rStyle w:val="Lienhypertexte"/>
                <w:rFonts w:asciiTheme="majorBidi" w:hAnsiTheme="majorBidi" w:cstheme="majorBidi"/>
                <w:noProof/>
                <w:sz w:val="20"/>
                <w:szCs w:val="20"/>
              </w:rPr>
              <w:t>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_Toc252366190 \h </w:instrText>
            </w:r>
            <w:r w:rsidRPr="00B612CD">
              <w:rPr>
                <w:noProof/>
                <w:webHidden/>
                <w:sz w:val="20"/>
                <w:szCs w:val="20"/>
              </w:rPr>
            </w:r>
            <w:r w:rsidRPr="00B612CD">
              <w:rPr>
                <w:noProof/>
                <w:webHidden/>
                <w:sz w:val="20"/>
                <w:szCs w:val="20"/>
              </w:rPr>
              <w:fldChar w:fldCharType="separate"/>
            </w:r>
            <w:r w:rsidR="00A860F6">
              <w:rPr>
                <w:noProof/>
                <w:webHidden/>
                <w:sz w:val="20"/>
                <w:szCs w:val="20"/>
              </w:rPr>
              <w:t>15</w:t>
            </w:r>
            <w:r w:rsidRPr="00B612CD">
              <w:rPr>
                <w:noProof/>
                <w:webHidden/>
                <w:sz w:val="20"/>
                <w:szCs w:val="20"/>
              </w:rPr>
              <w:fldChar w:fldCharType="end"/>
            </w:r>
          </w:hyperlink>
        </w:p>
        <w:p w:rsidR="00F57526" w:rsidRPr="00B612CD" w:rsidRDefault="00811D6A" w:rsidP="00B612CD">
          <w:pPr>
            <w:pStyle w:val="TM2"/>
            <w:tabs>
              <w:tab w:val="left" w:pos="1100"/>
              <w:tab w:val="right" w:leader="dot" w:pos="9771"/>
            </w:tabs>
            <w:spacing w:line="240" w:lineRule="auto"/>
            <w:rPr>
              <w:noProof/>
              <w:sz w:val="20"/>
              <w:szCs w:val="20"/>
            </w:rPr>
          </w:pPr>
          <w:hyperlink w:anchor="_Toc252366191" w:history="1">
            <w:r w:rsidR="00F57526" w:rsidRPr="00B612CD">
              <w:rPr>
                <w:rStyle w:val="Lienhypertexte"/>
                <w:rFonts w:ascii="Times New Roman" w:hAnsi="Times New Roman"/>
                <w:noProof/>
                <w:sz w:val="20"/>
                <w:szCs w:val="20"/>
              </w:rPr>
              <w:t>2.6.4.</w:t>
            </w:r>
            <w:r w:rsidR="00F57526" w:rsidRPr="00B612CD">
              <w:rPr>
                <w:noProof/>
                <w:sz w:val="20"/>
                <w:szCs w:val="20"/>
              </w:rPr>
              <w:tab/>
            </w:r>
            <w:r w:rsidR="00E80556" w:rsidRPr="00B612CD">
              <w:rPr>
                <w:rFonts w:asciiTheme="majorBidi" w:hAnsiTheme="majorBidi" w:cstheme="majorBidi"/>
                <w:noProof/>
                <w:sz w:val="20"/>
                <w:szCs w:val="20"/>
              </w:rPr>
              <w:t xml:space="preserve">Les </w:t>
            </w:r>
            <w:r w:rsidR="00E80556" w:rsidRPr="00B612CD">
              <w:rPr>
                <w:rStyle w:val="Lienhypertexte"/>
                <w:rFonts w:ascii="Times New Roman" w:hAnsi="Times New Roman"/>
                <w:noProof/>
                <w:sz w:val="20"/>
                <w:szCs w:val="20"/>
              </w:rPr>
              <w:t>e</w:t>
            </w:r>
            <w:r w:rsidR="00F57526" w:rsidRPr="00B612CD">
              <w:rPr>
                <w:rStyle w:val="Lienhypertexte"/>
                <w:rFonts w:ascii="Times New Roman" w:hAnsi="Times New Roman"/>
                <w:noProof/>
                <w:sz w:val="20"/>
                <w:szCs w:val="20"/>
              </w:rPr>
              <w:t>xigence</w:t>
            </w:r>
            <w:r w:rsidR="000D4826" w:rsidRPr="00B612CD">
              <w:rPr>
                <w:rStyle w:val="Lienhypertexte"/>
                <w:rFonts w:ascii="Times New Roman" w:hAnsi="Times New Roman"/>
                <w:noProof/>
                <w:sz w:val="20"/>
                <w:szCs w:val="20"/>
              </w:rPr>
              <w:t>s</w:t>
            </w:r>
            <w:r w:rsidR="00F57526" w:rsidRPr="00B612CD">
              <w:rPr>
                <w:rStyle w:val="Lienhypertexte"/>
                <w:rFonts w:ascii="Times New Roman" w:hAnsi="Times New Roman"/>
                <w:noProof/>
                <w:sz w:val="20"/>
                <w:szCs w:val="20"/>
              </w:rPr>
              <w:t xml:space="preserve"> culturale</w:t>
            </w:r>
            <w:r w:rsidR="000D4826" w:rsidRPr="00B612CD">
              <w:rPr>
                <w:rStyle w:val="Lienhypertexte"/>
                <w:rFonts w:ascii="Times New Roman" w:hAnsi="Times New Roman"/>
                <w:noProof/>
                <w:sz w:val="20"/>
                <w:szCs w:val="20"/>
              </w:rPr>
              <w:t>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_Toc252366191 \h </w:instrText>
            </w:r>
            <w:r w:rsidRPr="00B612CD">
              <w:rPr>
                <w:noProof/>
                <w:webHidden/>
                <w:sz w:val="20"/>
                <w:szCs w:val="20"/>
              </w:rPr>
            </w:r>
            <w:r w:rsidRPr="00B612CD">
              <w:rPr>
                <w:noProof/>
                <w:webHidden/>
                <w:sz w:val="20"/>
                <w:szCs w:val="20"/>
              </w:rPr>
              <w:fldChar w:fldCharType="separate"/>
            </w:r>
            <w:r w:rsidR="00A860F6">
              <w:rPr>
                <w:noProof/>
                <w:webHidden/>
                <w:sz w:val="20"/>
                <w:szCs w:val="20"/>
              </w:rPr>
              <w:t>15</w:t>
            </w:r>
            <w:r w:rsidRPr="00B612CD">
              <w:rPr>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192" w:history="1">
            <w:r w:rsidR="00F57526" w:rsidRPr="00B612CD">
              <w:rPr>
                <w:rStyle w:val="Lienhypertexte"/>
                <w:rFonts w:ascii="Times New Roman" w:hAnsi="Times New Roman"/>
                <w:noProof/>
                <w:sz w:val="20"/>
                <w:szCs w:val="20"/>
              </w:rPr>
              <w:t>3.</w:t>
            </w:r>
            <w:r w:rsidR="00F57526" w:rsidRPr="00B612CD">
              <w:rPr>
                <w:noProof/>
                <w:sz w:val="20"/>
                <w:szCs w:val="20"/>
              </w:rPr>
              <w:tab/>
            </w:r>
            <w:r w:rsidR="00F57526" w:rsidRPr="00B612CD">
              <w:rPr>
                <w:rStyle w:val="Lienhypertexte"/>
                <w:rFonts w:ascii="Times New Roman" w:hAnsi="Times New Roman"/>
                <w:noProof/>
                <w:sz w:val="20"/>
                <w:szCs w:val="20"/>
              </w:rPr>
              <w:t>La Nigelle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_Toc252366192 \h </w:instrText>
            </w:r>
            <w:r w:rsidRPr="00B612CD">
              <w:rPr>
                <w:noProof/>
                <w:webHidden/>
                <w:sz w:val="20"/>
                <w:szCs w:val="20"/>
              </w:rPr>
            </w:r>
            <w:r w:rsidRPr="00B612CD">
              <w:rPr>
                <w:noProof/>
                <w:webHidden/>
                <w:sz w:val="20"/>
                <w:szCs w:val="20"/>
              </w:rPr>
              <w:fldChar w:fldCharType="separate"/>
            </w:r>
            <w:r w:rsidR="00A860F6">
              <w:rPr>
                <w:noProof/>
                <w:webHidden/>
                <w:sz w:val="20"/>
                <w:szCs w:val="20"/>
              </w:rPr>
              <w:t>16</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93" w:history="1">
            <w:r w:rsidR="00F57526" w:rsidRPr="00B612CD">
              <w:rPr>
                <w:rStyle w:val="Lienhypertexte"/>
                <w:rFonts w:ascii="Times New Roman" w:hAnsi="Times New Roman"/>
                <w:noProof/>
                <w:sz w:val="20"/>
                <w:szCs w:val="20"/>
              </w:rPr>
              <w:t>3.1.</w:t>
            </w:r>
            <w:r w:rsidR="00F57526" w:rsidRPr="00B612CD">
              <w:rPr>
                <w:noProof/>
                <w:sz w:val="20"/>
                <w:szCs w:val="20"/>
              </w:rPr>
              <w:tab/>
            </w:r>
            <w:r w:rsidR="00F57526" w:rsidRPr="00B612CD">
              <w:rPr>
                <w:rStyle w:val="Lienhypertexte"/>
                <w:rFonts w:ascii="Times New Roman" w:hAnsi="Times New Roman"/>
                <w:noProof/>
                <w:sz w:val="20"/>
                <w:szCs w:val="20"/>
              </w:rPr>
              <w:t>Classification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_Toc252366193 \h </w:instrText>
            </w:r>
            <w:r w:rsidRPr="00B612CD">
              <w:rPr>
                <w:noProof/>
                <w:webHidden/>
                <w:sz w:val="20"/>
                <w:szCs w:val="20"/>
              </w:rPr>
            </w:r>
            <w:r w:rsidRPr="00B612CD">
              <w:rPr>
                <w:noProof/>
                <w:webHidden/>
                <w:sz w:val="20"/>
                <w:szCs w:val="20"/>
              </w:rPr>
              <w:fldChar w:fldCharType="separate"/>
            </w:r>
            <w:r w:rsidR="00A860F6">
              <w:rPr>
                <w:noProof/>
                <w:webHidden/>
                <w:sz w:val="20"/>
                <w:szCs w:val="20"/>
              </w:rPr>
              <w:t>16</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94" w:history="1">
            <w:r w:rsidR="00F57526" w:rsidRPr="00B612CD">
              <w:rPr>
                <w:rStyle w:val="Lienhypertexte"/>
                <w:rFonts w:ascii="Times New Roman" w:hAnsi="Times New Roman"/>
                <w:noProof/>
                <w:sz w:val="20"/>
                <w:szCs w:val="20"/>
              </w:rPr>
              <w:t>3.2.</w:t>
            </w:r>
            <w:r w:rsidR="00F57526" w:rsidRPr="00B612CD">
              <w:rPr>
                <w:noProof/>
                <w:sz w:val="20"/>
                <w:szCs w:val="20"/>
              </w:rPr>
              <w:tab/>
            </w:r>
            <w:r w:rsidR="00F57526" w:rsidRPr="00B612CD">
              <w:rPr>
                <w:rStyle w:val="Lienhypertexte"/>
                <w:rFonts w:ascii="Times New Roman" w:hAnsi="Times New Roman"/>
                <w:noProof/>
                <w:sz w:val="20"/>
                <w:szCs w:val="20"/>
              </w:rPr>
              <w:t>Description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_Toc252366194 \h </w:instrText>
            </w:r>
            <w:r w:rsidRPr="00B612CD">
              <w:rPr>
                <w:noProof/>
                <w:webHidden/>
                <w:sz w:val="20"/>
                <w:szCs w:val="20"/>
              </w:rPr>
            </w:r>
            <w:r w:rsidRPr="00B612CD">
              <w:rPr>
                <w:noProof/>
                <w:webHidden/>
                <w:sz w:val="20"/>
                <w:szCs w:val="20"/>
              </w:rPr>
              <w:fldChar w:fldCharType="separate"/>
            </w:r>
            <w:r w:rsidR="00A860F6">
              <w:rPr>
                <w:noProof/>
                <w:webHidden/>
                <w:sz w:val="20"/>
                <w:szCs w:val="20"/>
              </w:rPr>
              <w:t>17</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95" w:history="1">
            <w:r w:rsidR="00F57526" w:rsidRPr="00B612CD">
              <w:rPr>
                <w:rStyle w:val="Lienhypertexte"/>
                <w:rFonts w:ascii="Times New Roman" w:hAnsi="Times New Roman"/>
                <w:noProof/>
                <w:sz w:val="20"/>
                <w:szCs w:val="20"/>
              </w:rPr>
              <w:t>3.3.</w:t>
            </w:r>
            <w:r w:rsidR="00F57526" w:rsidRPr="00B612CD">
              <w:rPr>
                <w:noProof/>
                <w:sz w:val="20"/>
                <w:szCs w:val="20"/>
              </w:rPr>
              <w:tab/>
            </w:r>
            <w:r w:rsidR="00F57526" w:rsidRPr="00B612CD">
              <w:rPr>
                <w:rStyle w:val="Lienhypertexte"/>
                <w:rFonts w:ascii="Times New Roman" w:hAnsi="Times New Roman"/>
                <w:noProof/>
                <w:sz w:val="20"/>
                <w:szCs w:val="20"/>
              </w:rPr>
              <w:t>Origine et aire de répartition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_Toc252366195 \h </w:instrText>
            </w:r>
            <w:r w:rsidRPr="00B612CD">
              <w:rPr>
                <w:noProof/>
                <w:webHidden/>
                <w:sz w:val="20"/>
                <w:szCs w:val="20"/>
              </w:rPr>
            </w:r>
            <w:r w:rsidRPr="00B612CD">
              <w:rPr>
                <w:noProof/>
                <w:webHidden/>
                <w:sz w:val="20"/>
                <w:szCs w:val="20"/>
              </w:rPr>
              <w:fldChar w:fldCharType="separate"/>
            </w:r>
            <w:r w:rsidR="00A860F6">
              <w:rPr>
                <w:noProof/>
                <w:webHidden/>
                <w:sz w:val="20"/>
                <w:szCs w:val="20"/>
              </w:rPr>
              <w:t>17</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96" w:history="1">
            <w:r w:rsidR="00F57526" w:rsidRPr="00B612CD">
              <w:rPr>
                <w:rStyle w:val="Lienhypertexte"/>
                <w:rFonts w:ascii="Times New Roman" w:hAnsi="Times New Roman"/>
                <w:noProof/>
                <w:sz w:val="20"/>
                <w:szCs w:val="20"/>
              </w:rPr>
              <w:t>3.4.</w:t>
            </w:r>
            <w:r w:rsidR="00F57526" w:rsidRPr="00B612CD">
              <w:rPr>
                <w:noProof/>
                <w:sz w:val="20"/>
                <w:szCs w:val="20"/>
              </w:rPr>
              <w:tab/>
            </w:r>
            <w:r w:rsidR="00F57526" w:rsidRPr="00B612CD">
              <w:rPr>
                <w:rStyle w:val="Lienhypertexte"/>
                <w:rFonts w:ascii="Times New Roman" w:hAnsi="Times New Roman"/>
                <w:noProof/>
                <w:sz w:val="20"/>
                <w:szCs w:val="20"/>
              </w:rPr>
              <w:t>Propriété et usage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_Toc252366196 \h </w:instrText>
            </w:r>
            <w:r w:rsidRPr="00B612CD">
              <w:rPr>
                <w:noProof/>
                <w:webHidden/>
                <w:sz w:val="20"/>
                <w:szCs w:val="20"/>
              </w:rPr>
            </w:r>
            <w:r w:rsidRPr="00B612CD">
              <w:rPr>
                <w:noProof/>
                <w:webHidden/>
                <w:sz w:val="20"/>
                <w:szCs w:val="20"/>
              </w:rPr>
              <w:fldChar w:fldCharType="separate"/>
            </w:r>
            <w:r w:rsidR="00A860F6">
              <w:rPr>
                <w:noProof/>
                <w:webHidden/>
                <w:sz w:val="20"/>
                <w:szCs w:val="20"/>
              </w:rPr>
              <w:t>17</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97" w:history="1">
            <w:r w:rsidR="00F57526" w:rsidRPr="00B612CD">
              <w:rPr>
                <w:rStyle w:val="Lienhypertexte"/>
                <w:rFonts w:ascii="Times New Roman" w:hAnsi="Times New Roman"/>
                <w:noProof/>
                <w:sz w:val="20"/>
                <w:szCs w:val="20"/>
              </w:rPr>
              <w:t>3.5.</w:t>
            </w:r>
            <w:r w:rsidR="00F57526" w:rsidRPr="00B612CD">
              <w:rPr>
                <w:noProof/>
                <w:sz w:val="20"/>
                <w:szCs w:val="20"/>
              </w:rPr>
              <w:tab/>
            </w:r>
            <w:r w:rsidR="00F57526" w:rsidRPr="00B612CD">
              <w:rPr>
                <w:rStyle w:val="Lienhypertexte"/>
                <w:rFonts w:ascii="Times New Roman" w:hAnsi="Times New Roman"/>
                <w:noProof/>
                <w:sz w:val="20"/>
                <w:szCs w:val="20"/>
              </w:rPr>
              <w:t>Composition biochimique de la graine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_Toc252366197 \h </w:instrText>
            </w:r>
            <w:r w:rsidRPr="00B612CD">
              <w:rPr>
                <w:noProof/>
                <w:webHidden/>
                <w:sz w:val="20"/>
                <w:szCs w:val="20"/>
              </w:rPr>
            </w:r>
            <w:r w:rsidRPr="00B612CD">
              <w:rPr>
                <w:noProof/>
                <w:webHidden/>
                <w:sz w:val="20"/>
                <w:szCs w:val="20"/>
              </w:rPr>
              <w:fldChar w:fldCharType="separate"/>
            </w:r>
            <w:r w:rsidR="00A860F6">
              <w:rPr>
                <w:noProof/>
                <w:webHidden/>
                <w:sz w:val="20"/>
                <w:szCs w:val="20"/>
              </w:rPr>
              <w:t>18</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198" w:history="1">
            <w:r w:rsidR="00F57526" w:rsidRPr="00B612CD">
              <w:rPr>
                <w:rStyle w:val="Lienhypertexte"/>
                <w:rFonts w:ascii="Times New Roman" w:hAnsi="Times New Roman"/>
                <w:noProof/>
                <w:sz w:val="20"/>
                <w:szCs w:val="20"/>
              </w:rPr>
              <w:t>3.6.</w:t>
            </w:r>
            <w:r w:rsidR="00F57526" w:rsidRPr="00B612CD">
              <w:rPr>
                <w:noProof/>
                <w:sz w:val="20"/>
                <w:szCs w:val="20"/>
              </w:rPr>
              <w:tab/>
            </w:r>
            <w:r w:rsidR="00F57526" w:rsidRPr="00B612CD">
              <w:rPr>
                <w:rStyle w:val="Lienhypertexte"/>
                <w:rFonts w:ascii="Times New Roman" w:hAnsi="Times New Roman"/>
                <w:noProof/>
                <w:sz w:val="20"/>
                <w:szCs w:val="20"/>
              </w:rPr>
              <w:t>La culture de la Nigelle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_Toc252366198 \h </w:instrText>
            </w:r>
            <w:r w:rsidRPr="00B612CD">
              <w:rPr>
                <w:noProof/>
                <w:webHidden/>
                <w:sz w:val="20"/>
                <w:szCs w:val="20"/>
              </w:rPr>
            </w:r>
            <w:r w:rsidRPr="00B612CD">
              <w:rPr>
                <w:noProof/>
                <w:webHidden/>
                <w:sz w:val="20"/>
                <w:szCs w:val="20"/>
              </w:rPr>
              <w:fldChar w:fldCharType="separate"/>
            </w:r>
            <w:r w:rsidR="00A860F6">
              <w:rPr>
                <w:noProof/>
                <w:webHidden/>
                <w:sz w:val="20"/>
                <w:szCs w:val="20"/>
              </w:rPr>
              <w:t>18</w:t>
            </w:r>
            <w:r w:rsidRPr="00B612CD">
              <w:rPr>
                <w:noProof/>
                <w:webHidden/>
                <w:sz w:val="20"/>
                <w:szCs w:val="20"/>
              </w:rPr>
              <w:fldChar w:fldCharType="end"/>
            </w:r>
          </w:hyperlink>
        </w:p>
        <w:p w:rsidR="00F57526" w:rsidRPr="00B612CD" w:rsidRDefault="00811D6A" w:rsidP="00B612CD">
          <w:pPr>
            <w:pStyle w:val="TM2"/>
            <w:tabs>
              <w:tab w:val="left" w:pos="1100"/>
              <w:tab w:val="right" w:leader="dot" w:pos="9771"/>
            </w:tabs>
            <w:spacing w:line="240" w:lineRule="auto"/>
            <w:rPr>
              <w:noProof/>
              <w:sz w:val="20"/>
              <w:szCs w:val="20"/>
            </w:rPr>
          </w:pPr>
          <w:hyperlink w:anchor="_Toc252366199" w:history="1">
            <w:r w:rsidR="00F57526" w:rsidRPr="00B612CD">
              <w:rPr>
                <w:rStyle w:val="Lienhypertexte"/>
                <w:rFonts w:ascii="Times New Roman" w:hAnsi="Times New Roman"/>
                <w:noProof/>
                <w:sz w:val="20"/>
                <w:szCs w:val="20"/>
              </w:rPr>
              <w:t>3.6.1.</w:t>
            </w:r>
            <w:r w:rsidR="00F57526" w:rsidRPr="00B612CD">
              <w:rPr>
                <w:noProof/>
                <w:sz w:val="20"/>
                <w:szCs w:val="20"/>
              </w:rPr>
              <w:tab/>
            </w:r>
            <w:r w:rsidR="00F57526" w:rsidRPr="00B612CD">
              <w:rPr>
                <w:rStyle w:val="Lienhypertexte"/>
                <w:rFonts w:ascii="Times New Roman" w:hAnsi="Times New Roman"/>
                <w:noProof/>
                <w:sz w:val="20"/>
                <w:szCs w:val="20"/>
              </w:rPr>
              <w:t>Les principaux pays producteurs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_Toc252366199 \h </w:instrText>
            </w:r>
            <w:r w:rsidRPr="00B612CD">
              <w:rPr>
                <w:noProof/>
                <w:webHidden/>
                <w:sz w:val="20"/>
                <w:szCs w:val="20"/>
              </w:rPr>
            </w:r>
            <w:r w:rsidRPr="00B612CD">
              <w:rPr>
                <w:noProof/>
                <w:webHidden/>
                <w:sz w:val="20"/>
                <w:szCs w:val="20"/>
              </w:rPr>
              <w:fldChar w:fldCharType="separate"/>
            </w:r>
            <w:r w:rsidR="00A860F6">
              <w:rPr>
                <w:noProof/>
                <w:webHidden/>
                <w:sz w:val="20"/>
                <w:szCs w:val="20"/>
              </w:rPr>
              <w:t>18</w:t>
            </w:r>
            <w:r w:rsidRPr="00B612CD">
              <w:rPr>
                <w:noProof/>
                <w:webHidden/>
                <w:sz w:val="20"/>
                <w:szCs w:val="20"/>
              </w:rPr>
              <w:fldChar w:fldCharType="end"/>
            </w:r>
          </w:hyperlink>
        </w:p>
        <w:p w:rsidR="00F57526" w:rsidRPr="00B612CD" w:rsidRDefault="00811D6A" w:rsidP="00B612CD">
          <w:pPr>
            <w:pStyle w:val="TM2"/>
            <w:tabs>
              <w:tab w:val="left" w:pos="1100"/>
              <w:tab w:val="right" w:leader="dot" w:pos="9771"/>
            </w:tabs>
            <w:spacing w:line="240" w:lineRule="auto"/>
            <w:rPr>
              <w:noProof/>
              <w:sz w:val="20"/>
              <w:szCs w:val="20"/>
            </w:rPr>
          </w:pPr>
          <w:hyperlink w:anchor="_Toc252366200" w:history="1">
            <w:r w:rsidR="00F57526" w:rsidRPr="00B612CD">
              <w:rPr>
                <w:rStyle w:val="Lienhypertexte"/>
                <w:rFonts w:ascii="Times New Roman" w:hAnsi="Times New Roman"/>
                <w:noProof/>
                <w:sz w:val="20"/>
                <w:szCs w:val="20"/>
              </w:rPr>
              <w:t>3.6.3.</w:t>
            </w:r>
            <w:r w:rsidR="00F57526" w:rsidRPr="00B612CD">
              <w:rPr>
                <w:noProof/>
                <w:sz w:val="20"/>
                <w:szCs w:val="20"/>
              </w:rPr>
              <w:tab/>
            </w:r>
            <w:r w:rsidR="00F57526" w:rsidRPr="00B612CD">
              <w:rPr>
                <w:rStyle w:val="Lienhypertexte"/>
                <w:rFonts w:ascii="Times New Roman" w:hAnsi="Times New Roman"/>
                <w:noProof/>
                <w:sz w:val="20"/>
                <w:szCs w:val="20"/>
              </w:rPr>
              <w:t>La culture de la nigelle en Algérie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_Toc252366200 \h </w:instrText>
            </w:r>
            <w:r w:rsidRPr="00B612CD">
              <w:rPr>
                <w:noProof/>
                <w:webHidden/>
                <w:sz w:val="20"/>
                <w:szCs w:val="20"/>
              </w:rPr>
            </w:r>
            <w:r w:rsidRPr="00B612CD">
              <w:rPr>
                <w:noProof/>
                <w:webHidden/>
                <w:sz w:val="20"/>
                <w:szCs w:val="20"/>
              </w:rPr>
              <w:fldChar w:fldCharType="separate"/>
            </w:r>
            <w:r w:rsidR="00A860F6">
              <w:rPr>
                <w:noProof/>
                <w:webHidden/>
                <w:sz w:val="20"/>
                <w:szCs w:val="20"/>
              </w:rPr>
              <w:t>18</w:t>
            </w:r>
            <w:r w:rsidRPr="00B612CD">
              <w:rPr>
                <w:noProof/>
                <w:webHidden/>
                <w:sz w:val="20"/>
                <w:szCs w:val="20"/>
              </w:rPr>
              <w:fldChar w:fldCharType="end"/>
            </w:r>
          </w:hyperlink>
        </w:p>
        <w:p w:rsidR="00E80556" w:rsidRPr="00B612CD" w:rsidRDefault="00811D6A" w:rsidP="00B612CD">
          <w:pPr>
            <w:pStyle w:val="TM2"/>
            <w:tabs>
              <w:tab w:val="left" w:pos="1100"/>
              <w:tab w:val="right" w:leader="dot" w:pos="9771"/>
            </w:tabs>
            <w:spacing w:line="240" w:lineRule="auto"/>
            <w:rPr>
              <w:noProof/>
              <w:sz w:val="20"/>
              <w:szCs w:val="20"/>
            </w:rPr>
          </w:pPr>
          <w:hyperlink w:anchor="_Toc252366190" w:history="1">
            <w:r w:rsidR="00E80556" w:rsidRPr="00B612CD">
              <w:rPr>
                <w:rStyle w:val="Lienhypertexte"/>
                <w:rFonts w:ascii="Times New Roman" w:hAnsi="Times New Roman"/>
                <w:noProof/>
                <w:sz w:val="20"/>
                <w:szCs w:val="20"/>
              </w:rPr>
              <w:t>3.6.3.</w:t>
            </w:r>
            <w:r w:rsidR="00E80556" w:rsidRPr="00B612CD">
              <w:rPr>
                <w:noProof/>
                <w:sz w:val="20"/>
                <w:szCs w:val="20"/>
              </w:rPr>
              <w:tab/>
            </w:r>
            <w:r w:rsidR="00E80556" w:rsidRPr="00B612CD">
              <w:rPr>
                <w:rFonts w:asciiTheme="majorBidi" w:hAnsiTheme="majorBidi" w:cstheme="majorBidi"/>
                <w:noProof/>
                <w:sz w:val="20"/>
                <w:szCs w:val="20"/>
              </w:rPr>
              <w:t xml:space="preserve">Les </w:t>
            </w:r>
            <w:r w:rsidR="00E80556" w:rsidRPr="00B612CD">
              <w:rPr>
                <w:rStyle w:val="Lienhypertexte"/>
                <w:rFonts w:asciiTheme="majorBidi" w:hAnsiTheme="majorBidi" w:cstheme="majorBidi"/>
                <w:noProof/>
                <w:sz w:val="20"/>
                <w:szCs w:val="20"/>
              </w:rPr>
              <w:t>exigences écologiques</w:t>
            </w:r>
            <w:r w:rsidR="00E80556" w:rsidRPr="00B612CD">
              <w:rPr>
                <w:noProof/>
                <w:webHidden/>
                <w:sz w:val="20"/>
                <w:szCs w:val="20"/>
              </w:rPr>
              <w:tab/>
            </w:r>
            <w:r w:rsidRPr="00B612CD">
              <w:rPr>
                <w:noProof/>
                <w:webHidden/>
                <w:sz w:val="20"/>
                <w:szCs w:val="20"/>
              </w:rPr>
              <w:fldChar w:fldCharType="begin"/>
            </w:r>
            <w:r w:rsidR="00E80556" w:rsidRPr="00B612CD">
              <w:rPr>
                <w:noProof/>
                <w:webHidden/>
                <w:sz w:val="20"/>
                <w:szCs w:val="20"/>
              </w:rPr>
              <w:instrText xml:space="preserve"> PAGEREF _Toc252366190 \h </w:instrText>
            </w:r>
            <w:r w:rsidRPr="00B612CD">
              <w:rPr>
                <w:noProof/>
                <w:webHidden/>
                <w:sz w:val="20"/>
                <w:szCs w:val="20"/>
              </w:rPr>
            </w:r>
            <w:r w:rsidRPr="00B612CD">
              <w:rPr>
                <w:noProof/>
                <w:webHidden/>
                <w:sz w:val="20"/>
                <w:szCs w:val="20"/>
              </w:rPr>
              <w:fldChar w:fldCharType="separate"/>
            </w:r>
            <w:r w:rsidR="00A860F6">
              <w:rPr>
                <w:noProof/>
                <w:webHidden/>
                <w:sz w:val="20"/>
                <w:szCs w:val="20"/>
              </w:rPr>
              <w:t>15</w:t>
            </w:r>
            <w:r w:rsidRPr="00B612CD">
              <w:rPr>
                <w:noProof/>
                <w:webHidden/>
                <w:sz w:val="20"/>
                <w:szCs w:val="20"/>
              </w:rPr>
              <w:fldChar w:fldCharType="end"/>
            </w:r>
          </w:hyperlink>
        </w:p>
        <w:p w:rsidR="00E80556" w:rsidRPr="00B612CD" w:rsidRDefault="00811D6A" w:rsidP="00B612CD">
          <w:pPr>
            <w:pStyle w:val="TM2"/>
            <w:tabs>
              <w:tab w:val="left" w:pos="1100"/>
              <w:tab w:val="right" w:leader="dot" w:pos="9771"/>
            </w:tabs>
            <w:spacing w:line="240" w:lineRule="auto"/>
            <w:rPr>
              <w:noProof/>
              <w:sz w:val="20"/>
              <w:szCs w:val="20"/>
            </w:rPr>
          </w:pPr>
          <w:hyperlink w:anchor="_Toc252366191" w:history="1">
            <w:r w:rsidR="00E80556" w:rsidRPr="00B612CD">
              <w:rPr>
                <w:rStyle w:val="Lienhypertexte"/>
                <w:rFonts w:ascii="Times New Roman" w:hAnsi="Times New Roman"/>
                <w:noProof/>
                <w:sz w:val="20"/>
                <w:szCs w:val="20"/>
              </w:rPr>
              <w:t>3.6.4.</w:t>
            </w:r>
            <w:r w:rsidR="00E80556" w:rsidRPr="00B612CD">
              <w:rPr>
                <w:noProof/>
                <w:sz w:val="20"/>
                <w:szCs w:val="20"/>
              </w:rPr>
              <w:tab/>
            </w:r>
            <w:r w:rsidR="00E80556" w:rsidRPr="00B612CD">
              <w:rPr>
                <w:rFonts w:asciiTheme="majorBidi" w:hAnsiTheme="majorBidi" w:cstheme="majorBidi"/>
                <w:noProof/>
                <w:sz w:val="20"/>
                <w:szCs w:val="20"/>
              </w:rPr>
              <w:t xml:space="preserve">Les </w:t>
            </w:r>
            <w:r w:rsidR="00E80556" w:rsidRPr="00B612CD">
              <w:rPr>
                <w:rStyle w:val="Lienhypertexte"/>
                <w:rFonts w:ascii="Times New Roman" w:hAnsi="Times New Roman"/>
                <w:noProof/>
                <w:sz w:val="20"/>
                <w:szCs w:val="20"/>
              </w:rPr>
              <w:t>exigence</w:t>
            </w:r>
            <w:r w:rsidR="000D4826" w:rsidRPr="00B612CD">
              <w:rPr>
                <w:rStyle w:val="Lienhypertexte"/>
                <w:rFonts w:ascii="Times New Roman" w:hAnsi="Times New Roman"/>
                <w:noProof/>
                <w:sz w:val="20"/>
                <w:szCs w:val="20"/>
              </w:rPr>
              <w:t>s</w:t>
            </w:r>
            <w:r w:rsidR="00E80556" w:rsidRPr="00B612CD">
              <w:rPr>
                <w:rStyle w:val="Lienhypertexte"/>
                <w:rFonts w:ascii="Times New Roman" w:hAnsi="Times New Roman"/>
                <w:noProof/>
                <w:sz w:val="20"/>
                <w:szCs w:val="20"/>
              </w:rPr>
              <w:t xml:space="preserve"> culturale</w:t>
            </w:r>
            <w:r w:rsidR="000D4826" w:rsidRPr="00B612CD">
              <w:rPr>
                <w:rStyle w:val="Lienhypertexte"/>
                <w:rFonts w:ascii="Times New Roman" w:hAnsi="Times New Roman"/>
                <w:noProof/>
                <w:sz w:val="20"/>
                <w:szCs w:val="20"/>
              </w:rPr>
              <w:t>s</w:t>
            </w:r>
            <w:r w:rsidR="00E80556" w:rsidRPr="00B612CD">
              <w:rPr>
                <w:noProof/>
                <w:webHidden/>
                <w:sz w:val="20"/>
                <w:szCs w:val="20"/>
              </w:rPr>
              <w:tab/>
            </w:r>
            <w:r w:rsidRPr="00B612CD">
              <w:rPr>
                <w:noProof/>
                <w:webHidden/>
                <w:sz w:val="20"/>
                <w:szCs w:val="20"/>
              </w:rPr>
              <w:fldChar w:fldCharType="begin"/>
            </w:r>
            <w:r w:rsidR="00E80556" w:rsidRPr="00B612CD">
              <w:rPr>
                <w:noProof/>
                <w:webHidden/>
                <w:sz w:val="20"/>
                <w:szCs w:val="20"/>
              </w:rPr>
              <w:instrText xml:space="preserve"> PAGEREF _Toc252366191 \h </w:instrText>
            </w:r>
            <w:r w:rsidRPr="00B612CD">
              <w:rPr>
                <w:noProof/>
                <w:webHidden/>
                <w:sz w:val="20"/>
                <w:szCs w:val="20"/>
              </w:rPr>
            </w:r>
            <w:r w:rsidRPr="00B612CD">
              <w:rPr>
                <w:noProof/>
                <w:webHidden/>
                <w:sz w:val="20"/>
                <w:szCs w:val="20"/>
              </w:rPr>
              <w:fldChar w:fldCharType="separate"/>
            </w:r>
            <w:r w:rsidR="00A860F6">
              <w:rPr>
                <w:noProof/>
                <w:webHidden/>
                <w:sz w:val="20"/>
                <w:szCs w:val="20"/>
              </w:rPr>
              <w:t>15</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noProof/>
              <w:sz w:val="20"/>
              <w:szCs w:val="20"/>
            </w:rPr>
          </w:pPr>
          <w:hyperlink w:anchor="_Toc252366201" w:history="1">
            <w:r w:rsidR="00F57526" w:rsidRPr="00B612CD">
              <w:rPr>
                <w:rStyle w:val="Lienhypertexte"/>
                <w:rFonts w:asciiTheme="majorBidi" w:hAnsiTheme="majorBidi" w:cstheme="majorBidi"/>
                <w:b/>
                <w:bCs/>
                <w:noProof/>
                <w:sz w:val="20"/>
                <w:szCs w:val="20"/>
              </w:rPr>
              <w:t>Chapitre II : Matériel et méthodes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_Toc252366201 \h </w:instrText>
            </w:r>
            <w:r w:rsidRPr="00B612CD">
              <w:rPr>
                <w:noProof/>
                <w:webHidden/>
                <w:sz w:val="20"/>
                <w:szCs w:val="20"/>
              </w:rPr>
            </w:r>
            <w:r w:rsidRPr="00B612CD">
              <w:rPr>
                <w:noProof/>
                <w:webHidden/>
                <w:sz w:val="20"/>
                <w:szCs w:val="20"/>
              </w:rPr>
              <w:fldChar w:fldCharType="separate"/>
            </w:r>
            <w:r w:rsidR="00A860F6">
              <w:rPr>
                <w:noProof/>
                <w:webHidden/>
                <w:sz w:val="20"/>
                <w:szCs w:val="20"/>
              </w:rPr>
              <w:t>20</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02" w:history="1">
            <w:r w:rsidR="00F57526" w:rsidRPr="00B612CD">
              <w:rPr>
                <w:rStyle w:val="Lienhypertexte"/>
                <w:rFonts w:ascii="Times New Roman" w:hAnsi="Times New Roman"/>
                <w:noProof/>
                <w:sz w:val="20"/>
                <w:szCs w:val="20"/>
              </w:rPr>
              <w:t>I.</w:t>
            </w:r>
            <w:r w:rsidR="00F57526" w:rsidRPr="00B612CD">
              <w:rPr>
                <w:noProof/>
                <w:sz w:val="20"/>
                <w:szCs w:val="20"/>
              </w:rPr>
              <w:tab/>
            </w:r>
            <w:r w:rsidR="00F57526" w:rsidRPr="00B612CD">
              <w:rPr>
                <w:rStyle w:val="Lienhypertexte"/>
                <w:rFonts w:ascii="Times New Roman" w:hAnsi="Times New Roman"/>
                <w:noProof/>
                <w:sz w:val="20"/>
                <w:szCs w:val="20"/>
              </w:rPr>
              <w:t>Objectif de travail</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_Toc252366202 \h </w:instrText>
            </w:r>
            <w:r w:rsidRPr="00B612CD">
              <w:rPr>
                <w:noProof/>
                <w:webHidden/>
                <w:sz w:val="20"/>
                <w:szCs w:val="20"/>
              </w:rPr>
            </w:r>
            <w:r w:rsidRPr="00B612CD">
              <w:rPr>
                <w:noProof/>
                <w:webHidden/>
                <w:sz w:val="20"/>
                <w:szCs w:val="20"/>
              </w:rPr>
              <w:fldChar w:fldCharType="separate"/>
            </w:r>
            <w:r w:rsidR="00A860F6">
              <w:rPr>
                <w:noProof/>
                <w:webHidden/>
                <w:sz w:val="20"/>
                <w:szCs w:val="20"/>
              </w:rPr>
              <w:t>20</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03" w:history="1">
            <w:r w:rsidR="00F57526" w:rsidRPr="00B612CD">
              <w:rPr>
                <w:rStyle w:val="Lienhypertexte"/>
                <w:rFonts w:ascii="Times New Roman" w:hAnsi="Times New Roman"/>
                <w:noProof/>
                <w:sz w:val="20"/>
                <w:szCs w:val="20"/>
              </w:rPr>
              <w:t>II.</w:t>
            </w:r>
            <w:r w:rsidR="00F57526" w:rsidRPr="00B612CD">
              <w:rPr>
                <w:noProof/>
                <w:sz w:val="20"/>
                <w:szCs w:val="20"/>
              </w:rPr>
              <w:tab/>
            </w:r>
            <w:r w:rsidR="00F57526" w:rsidRPr="00B612CD">
              <w:rPr>
                <w:rStyle w:val="Lienhypertexte"/>
                <w:rFonts w:ascii="Times New Roman" w:hAnsi="Times New Roman"/>
                <w:noProof/>
                <w:sz w:val="20"/>
                <w:szCs w:val="20"/>
              </w:rPr>
              <w:t>Présentation de site d’expérimentation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_Toc252366203 \h </w:instrText>
            </w:r>
            <w:r w:rsidRPr="00B612CD">
              <w:rPr>
                <w:noProof/>
                <w:webHidden/>
                <w:sz w:val="20"/>
                <w:szCs w:val="20"/>
              </w:rPr>
            </w:r>
            <w:r w:rsidRPr="00B612CD">
              <w:rPr>
                <w:noProof/>
                <w:webHidden/>
                <w:sz w:val="20"/>
                <w:szCs w:val="20"/>
              </w:rPr>
              <w:fldChar w:fldCharType="separate"/>
            </w:r>
            <w:r w:rsidR="00A860F6">
              <w:rPr>
                <w:noProof/>
                <w:webHidden/>
                <w:sz w:val="20"/>
                <w:szCs w:val="20"/>
              </w:rPr>
              <w:t>20</w:t>
            </w:r>
            <w:r w:rsidRPr="00B612CD">
              <w:rPr>
                <w:noProof/>
                <w:webHidden/>
                <w:sz w:val="20"/>
                <w:szCs w:val="20"/>
              </w:rPr>
              <w:fldChar w:fldCharType="end"/>
            </w:r>
          </w:hyperlink>
        </w:p>
        <w:p w:rsidR="00F57526" w:rsidRPr="00B612CD" w:rsidRDefault="00811D6A" w:rsidP="00B612CD">
          <w:pPr>
            <w:pStyle w:val="TM2"/>
            <w:tabs>
              <w:tab w:val="left" w:pos="660"/>
              <w:tab w:val="right" w:leader="dot" w:pos="9771"/>
            </w:tabs>
            <w:spacing w:line="240" w:lineRule="auto"/>
            <w:rPr>
              <w:noProof/>
              <w:sz w:val="20"/>
              <w:szCs w:val="20"/>
            </w:rPr>
          </w:pPr>
          <w:hyperlink w:anchor="_Toc252366204" w:history="1">
            <w:r w:rsidR="00F57526" w:rsidRPr="00B612CD">
              <w:rPr>
                <w:rStyle w:val="Lienhypertexte"/>
                <w:rFonts w:ascii="Times New Roman" w:hAnsi="Times New Roman"/>
                <w:noProof/>
                <w:sz w:val="20"/>
                <w:szCs w:val="20"/>
              </w:rPr>
              <w:t>1.</w:t>
            </w:r>
            <w:r w:rsidR="00F57526" w:rsidRPr="00B612CD">
              <w:rPr>
                <w:noProof/>
                <w:sz w:val="20"/>
                <w:szCs w:val="20"/>
              </w:rPr>
              <w:tab/>
            </w:r>
            <w:r w:rsidR="00F57526" w:rsidRPr="00B612CD">
              <w:rPr>
                <w:rStyle w:val="Lienhypertexte"/>
                <w:rFonts w:ascii="Times New Roman" w:hAnsi="Times New Roman"/>
                <w:noProof/>
                <w:sz w:val="20"/>
                <w:szCs w:val="20"/>
              </w:rPr>
              <w:t>Conditions pédoclimatiques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_Toc252366204 \h </w:instrText>
            </w:r>
            <w:r w:rsidRPr="00B612CD">
              <w:rPr>
                <w:noProof/>
                <w:webHidden/>
                <w:sz w:val="20"/>
                <w:szCs w:val="20"/>
              </w:rPr>
            </w:r>
            <w:r w:rsidRPr="00B612CD">
              <w:rPr>
                <w:noProof/>
                <w:webHidden/>
                <w:sz w:val="20"/>
                <w:szCs w:val="20"/>
              </w:rPr>
              <w:fldChar w:fldCharType="separate"/>
            </w:r>
            <w:r w:rsidR="00A860F6">
              <w:rPr>
                <w:noProof/>
                <w:webHidden/>
                <w:sz w:val="20"/>
                <w:szCs w:val="20"/>
              </w:rPr>
              <w:t>21</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205" w:history="1">
            <w:r w:rsidR="00F57526" w:rsidRPr="00B612CD">
              <w:rPr>
                <w:rStyle w:val="Lienhypertexte"/>
                <w:rFonts w:ascii="Times New Roman" w:hAnsi="Times New Roman"/>
                <w:noProof/>
                <w:sz w:val="20"/>
                <w:szCs w:val="20"/>
              </w:rPr>
              <w:t>1.1.</w:t>
            </w:r>
            <w:r w:rsidR="00F57526" w:rsidRPr="00B612CD">
              <w:rPr>
                <w:noProof/>
                <w:sz w:val="20"/>
                <w:szCs w:val="20"/>
              </w:rPr>
              <w:tab/>
            </w:r>
            <w:r w:rsidR="00F57526" w:rsidRPr="00B612CD">
              <w:rPr>
                <w:rStyle w:val="Lienhypertexte"/>
                <w:rFonts w:ascii="Times New Roman" w:hAnsi="Times New Roman"/>
                <w:noProof/>
                <w:sz w:val="20"/>
                <w:szCs w:val="20"/>
              </w:rPr>
              <w:t>Caractérisation chimique du sol</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_Toc252366205 \h </w:instrText>
            </w:r>
            <w:r w:rsidRPr="00B612CD">
              <w:rPr>
                <w:noProof/>
                <w:webHidden/>
                <w:sz w:val="20"/>
                <w:szCs w:val="20"/>
              </w:rPr>
            </w:r>
            <w:r w:rsidRPr="00B612CD">
              <w:rPr>
                <w:noProof/>
                <w:webHidden/>
                <w:sz w:val="20"/>
                <w:szCs w:val="20"/>
              </w:rPr>
              <w:fldChar w:fldCharType="separate"/>
            </w:r>
            <w:r w:rsidR="00A860F6">
              <w:rPr>
                <w:noProof/>
                <w:webHidden/>
                <w:sz w:val="20"/>
                <w:szCs w:val="20"/>
              </w:rPr>
              <w:t>21</w:t>
            </w:r>
            <w:r w:rsidRPr="00B612CD">
              <w:rPr>
                <w:noProof/>
                <w:webHidden/>
                <w:sz w:val="20"/>
                <w:szCs w:val="20"/>
              </w:rPr>
              <w:fldChar w:fldCharType="end"/>
            </w:r>
          </w:hyperlink>
        </w:p>
        <w:p w:rsidR="00F57526" w:rsidRPr="00B612CD" w:rsidRDefault="00811D6A" w:rsidP="00B612CD">
          <w:pPr>
            <w:pStyle w:val="TM2"/>
            <w:tabs>
              <w:tab w:val="left" w:pos="880"/>
              <w:tab w:val="right" w:leader="dot" w:pos="9771"/>
            </w:tabs>
            <w:spacing w:line="240" w:lineRule="auto"/>
            <w:rPr>
              <w:noProof/>
              <w:sz w:val="20"/>
              <w:szCs w:val="20"/>
            </w:rPr>
          </w:pPr>
          <w:hyperlink w:anchor="_Toc252366206" w:history="1">
            <w:r w:rsidR="00F57526" w:rsidRPr="00B612CD">
              <w:rPr>
                <w:rStyle w:val="Lienhypertexte"/>
                <w:rFonts w:ascii="Times New Roman" w:hAnsi="Times New Roman"/>
                <w:noProof/>
                <w:sz w:val="20"/>
                <w:szCs w:val="20"/>
              </w:rPr>
              <w:t>1.2.</w:t>
            </w:r>
            <w:r w:rsidR="00F57526" w:rsidRPr="00B612CD">
              <w:rPr>
                <w:noProof/>
                <w:sz w:val="20"/>
                <w:szCs w:val="20"/>
              </w:rPr>
              <w:tab/>
            </w:r>
            <w:r w:rsidR="00F57526" w:rsidRPr="00B612CD">
              <w:rPr>
                <w:rStyle w:val="Lienhypertexte"/>
                <w:rFonts w:ascii="Times New Roman" w:hAnsi="Times New Roman"/>
                <w:noProof/>
                <w:sz w:val="20"/>
                <w:szCs w:val="20"/>
              </w:rPr>
              <w:t>Le climat</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_Toc252366206 \h </w:instrText>
            </w:r>
            <w:r w:rsidRPr="00B612CD">
              <w:rPr>
                <w:noProof/>
                <w:webHidden/>
                <w:sz w:val="20"/>
                <w:szCs w:val="20"/>
              </w:rPr>
            </w:r>
            <w:r w:rsidRPr="00B612CD">
              <w:rPr>
                <w:noProof/>
                <w:webHidden/>
                <w:sz w:val="20"/>
                <w:szCs w:val="20"/>
              </w:rPr>
              <w:fldChar w:fldCharType="separate"/>
            </w:r>
            <w:r w:rsidR="00A860F6">
              <w:rPr>
                <w:noProof/>
                <w:webHidden/>
                <w:sz w:val="20"/>
                <w:szCs w:val="20"/>
              </w:rPr>
              <w:t>21</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07" w:history="1">
            <w:r w:rsidR="00F57526" w:rsidRPr="00B612CD">
              <w:rPr>
                <w:rStyle w:val="Lienhypertexte"/>
                <w:rFonts w:ascii="Times New Roman" w:hAnsi="Times New Roman"/>
                <w:noProof/>
                <w:sz w:val="20"/>
                <w:szCs w:val="20"/>
              </w:rPr>
              <w:t>III.</w:t>
            </w:r>
            <w:r w:rsidR="00F57526" w:rsidRPr="00B612CD">
              <w:rPr>
                <w:noProof/>
                <w:sz w:val="20"/>
                <w:szCs w:val="20"/>
              </w:rPr>
              <w:tab/>
            </w:r>
            <w:r w:rsidR="00F57526" w:rsidRPr="00B612CD">
              <w:rPr>
                <w:rStyle w:val="Lienhypertexte"/>
                <w:rFonts w:ascii="Times New Roman" w:hAnsi="Times New Roman"/>
                <w:noProof/>
                <w:sz w:val="20"/>
                <w:szCs w:val="20"/>
              </w:rPr>
              <w:t>Matériel végétal</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_Toc252366207 \h </w:instrText>
            </w:r>
            <w:r w:rsidRPr="00B612CD">
              <w:rPr>
                <w:noProof/>
                <w:webHidden/>
                <w:sz w:val="20"/>
                <w:szCs w:val="20"/>
              </w:rPr>
            </w:r>
            <w:r w:rsidRPr="00B612CD">
              <w:rPr>
                <w:noProof/>
                <w:webHidden/>
                <w:sz w:val="20"/>
                <w:szCs w:val="20"/>
              </w:rPr>
              <w:fldChar w:fldCharType="separate"/>
            </w:r>
            <w:r w:rsidR="00A860F6">
              <w:rPr>
                <w:noProof/>
                <w:webHidden/>
                <w:sz w:val="20"/>
                <w:szCs w:val="20"/>
              </w:rPr>
              <w:t>23</w:t>
            </w:r>
            <w:r w:rsidRPr="00B612CD">
              <w:rPr>
                <w:noProof/>
                <w:webHidden/>
                <w:sz w:val="20"/>
                <w:szCs w:val="20"/>
              </w:rPr>
              <w:fldChar w:fldCharType="end"/>
            </w:r>
          </w:hyperlink>
        </w:p>
        <w:p w:rsidR="00904E1D" w:rsidRPr="00B612CD" w:rsidRDefault="00811D6A" w:rsidP="00B612CD">
          <w:pPr>
            <w:pStyle w:val="TM2"/>
            <w:tabs>
              <w:tab w:val="left" w:pos="660"/>
              <w:tab w:val="right" w:leader="dot" w:pos="9771"/>
            </w:tabs>
            <w:spacing w:line="240" w:lineRule="auto"/>
            <w:rPr>
              <w:noProof/>
              <w:sz w:val="20"/>
              <w:szCs w:val="20"/>
            </w:rPr>
          </w:pPr>
          <w:hyperlink w:anchor="_Toc252366204" w:history="1">
            <w:r w:rsidR="00904E1D" w:rsidRPr="00B612CD">
              <w:rPr>
                <w:rStyle w:val="Lienhypertexte"/>
                <w:rFonts w:ascii="Times New Roman" w:hAnsi="Times New Roman"/>
                <w:noProof/>
                <w:sz w:val="20"/>
                <w:szCs w:val="20"/>
              </w:rPr>
              <w:t>1.</w:t>
            </w:r>
            <w:r w:rsidR="00904E1D" w:rsidRPr="00B612CD">
              <w:rPr>
                <w:noProof/>
                <w:sz w:val="20"/>
                <w:szCs w:val="20"/>
              </w:rPr>
              <w:tab/>
            </w:r>
            <w:r w:rsidR="00904E1D" w:rsidRPr="00B612CD">
              <w:rPr>
                <w:rStyle w:val="Lienhypertexte"/>
                <w:rFonts w:ascii="Times New Roman" w:hAnsi="Times New Roman"/>
                <w:noProof/>
                <w:sz w:val="20"/>
                <w:szCs w:val="20"/>
              </w:rPr>
              <w:t>Origine des populations étudiées</w:t>
            </w:r>
            <w:r w:rsidR="00904E1D" w:rsidRPr="00B612CD">
              <w:rPr>
                <w:noProof/>
                <w:webHidden/>
                <w:sz w:val="20"/>
                <w:szCs w:val="20"/>
              </w:rPr>
              <w:tab/>
              <w:t>24</w:t>
            </w:r>
          </w:hyperlink>
          <w:r w:rsidR="00904E1D" w:rsidRPr="00B612CD">
            <w:rPr>
              <w:noProof/>
              <w:sz w:val="20"/>
              <w:szCs w:val="20"/>
            </w:rPr>
            <w:t xml:space="preserve">     </w:t>
          </w:r>
        </w:p>
        <w:p w:rsidR="00F57526" w:rsidRPr="00B612CD" w:rsidRDefault="00811D6A" w:rsidP="00B612CD">
          <w:pPr>
            <w:pStyle w:val="TM1"/>
            <w:tabs>
              <w:tab w:val="left" w:pos="660"/>
              <w:tab w:val="right" w:leader="dot" w:pos="9771"/>
            </w:tabs>
            <w:spacing w:line="240" w:lineRule="auto"/>
            <w:rPr>
              <w:noProof/>
              <w:sz w:val="20"/>
              <w:szCs w:val="20"/>
            </w:rPr>
          </w:pPr>
          <w:hyperlink w:anchor="_Toc252366211" w:history="1">
            <w:r w:rsidR="00F57526" w:rsidRPr="00B612CD">
              <w:rPr>
                <w:rStyle w:val="Lienhypertexte"/>
                <w:rFonts w:ascii="Times New Roman" w:hAnsi="Times New Roman" w:cs="Times New Roman"/>
                <w:noProof/>
                <w:sz w:val="20"/>
                <w:szCs w:val="20"/>
              </w:rPr>
              <w:t>1.1.</w:t>
            </w:r>
            <w:r w:rsidR="00F57526" w:rsidRPr="00B612CD">
              <w:rPr>
                <w:rFonts w:asciiTheme="majorBidi" w:hAnsiTheme="majorBidi" w:cstheme="majorBidi"/>
                <w:noProof/>
                <w:sz w:val="20"/>
                <w:szCs w:val="20"/>
              </w:rPr>
              <w:tab/>
            </w:r>
            <w:r w:rsidR="00C9744E" w:rsidRPr="00B612CD">
              <w:rPr>
                <w:rFonts w:asciiTheme="majorBidi" w:hAnsiTheme="majorBidi" w:cstheme="majorBidi"/>
                <w:noProof/>
                <w:sz w:val="20"/>
                <w:szCs w:val="20"/>
              </w:rPr>
              <w:t xml:space="preserve">Le </w:t>
            </w:r>
            <w:r w:rsidR="00F57526" w:rsidRPr="00B612CD">
              <w:rPr>
                <w:rStyle w:val="Lienhypertexte"/>
                <w:rFonts w:asciiTheme="majorBidi" w:hAnsiTheme="majorBidi" w:cstheme="majorBidi"/>
                <w:noProof/>
                <w:sz w:val="20"/>
                <w:szCs w:val="20"/>
              </w:rPr>
              <w:t>Fenug</w:t>
            </w:r>
            <w:r w:rsidR="00F57526" w:rsidRPr="00B612CD">
              <w:rPr>
                <w:rStyle w:val="Lienhypertexte"/>
                <w:rFonts w:ascii="Times New Roman" w:hAnsi="Times New Roman" w:cs="Times New Roman"/>
                <w:noProof/>
                <w:sz w:val="20"/>
                <w:szCs w:val="20"/>
              </w:rPr>
              <w:t>rec</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_Toc252366211 \h </w:instrText>
            </w:r>
            <w:r w:rsidRPr="00B612CD">
              <w:rPr>
                <w:noProof/>
                <w:webHidden/>
                <w:sz w:val="20"/>
                <w:szCs w:val="20"/>
              </w:rPr>
            </w:r>
            <w:r w:rsidRPr="00B612CD">
              <w:rPr>
                <w:noProof/>
                <w:webHidden/>
                <w:sz w:val="20"/>
                <w:szCs w:val="20"/>
              </w:rPr>
              <w:fldChar w:fldCharType="separate"/>
            </w:r>
            <w:r w:rsidR="00A860F6">
              <w:rPr>
                <w:noProof/>
                <w:webHidden/>
                <w:sz w:val="20"/>
                <w:szCs w:val="20"/>
              </w:rPr>
              <w:t>24</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19" w:history="1">
            <w:r w:rsidR="00F57526" w:rsidRPr="00B612CD">
              <w:rPr>
                <w:rStyle w:val="Lienhypertexte"/>
                <w:rFonts w:ascii="Times New Roman" w:hAnsi="Times New Roman" w:cs="Times New Roman"/>
                <w:noProof/>
                <w:sz w:val="20"/>
                <w:szCs w:val="20"/>
              </w:rPr>
              <w:t>1.2.</w:t>
            </w:r>
            <w:r w:rsidR="00F57526" w:rsidRPr="00B612CD">
              <w:rPr>
                <w:noProof/>
                <w:sz w:val="20"/>
                <w:szCs w:val="20"/>
              </w:rPr>
              <w:tab/>
            </w:r>
            <w:r w:rsidR="00F57526" w:rsidRPr="00B612CD">
              <w:rPr>
                <w:rStyle w:val="Lienhypertexte"/>
                <w:rFonts w:ascii="Times New Roman" w:hAnsi="Times New Roman" w:cs="Times New Roman"/>
                <w:noProof/>
                <w:sz w:val="20"/>
                <w:szCs w:val="20"/>
              </w:rPr>
              <w:t>Le Carthame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_Toc252366219 \h </w:instrText>
            </w:r>
            <w:r w:rsidRPr="00B612CD">
              <w:rPr>
                <w:noProof/>
                <w:webHidden/>
                <w:sz w:val="20"/>
                <w:szCs w:val="20"/>
              </w:rPr>
            </w:r>
            <w:r w:rsidRPr="00B612CD">
              <w:rPr>
                <w:noProof/>
                <w:webHidden/>
                <w:sz w:val="20"/>
                <w:szCs w:val="20"/>
              </w:rPr>
              <w:fldChar w:fldCharType="separate"/>
            </w:r>
            <w:r w:rsidR="00A860F6">
              <w:rPr>
                <w:noProof/>
                <w:webHidden/>
                <w:sz w:val="20"/>
                <w:szCs w:val="20"/>
              </w:rPr>
              <w:t>24</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25" w:history="1">
            <w:r w:rsidR="00F57526" w:rsidRPr="00B612CD">
              <w:rPr>
                <w:rStyle w:val="Lienhypertexte"/>
                <w:rFonts w:ascii="Times New Roman" w:hAnsi="Times New Roman" w:cs="Times New Roman"/>
                <w:noProof/>
                <w:sz w:val="20"/>
                <w:szCs w:val="20"/>
              </w:rPr>
              <w:t>1.3.</w:t>
            </w:r>
            <w:r w:rsidR="00F57526" w:rsidRPr="00B612CD">
              <w:rPr>
                <w:noProof/>
                <w:sz w:val="20"/>
                <w:szCs w:val="20"/>
              </w:rPr>
              <w:tab/>
            </w:r>
            <w:r w:rsidR="00F57526" w:rsidRPr="00B612CD">
              <w:rPr>
                <w:rStyle w:val="Lienhypertexte"/>
                <w:rFonts w:ascii="Times New Roman" w:hAnsi="Times New Roman" w:cs="Times New Roman"/>
                <w:noProof/>
                <w:sz w:val="20"/>
                <w:szCs w:val="20"/>
              </w:rPr>
              <w:t>La Nigelle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_Toc252366225 \h </w:instrText>
            </w:r>
            <w:r w:rsidRPr="00B612CD">
              <w:rPr>
                <w:noProof/>
                <w:webHidden/>
                <w:sz w:val="20"/>
                <w:szCs w:val="20"/>
              </w:rPr>
            </w:r>
            <w:r w:rsidRPr="00B612CD">
              <w:rPr>
                <w:noProof/>
                <w:webHidden/>
                <w:sz w:val="20"/>
                <w:szCs w:val="20"/>
              </w:rPr>
              <w:fldChar w:fldCharType="separate"/>
            </w:r>
            <w:r w:rsidR="00A860F6">
              <w:rPr>
                <w:noProof/>
                <w:webHidden/>
                <w:sz w:val="20"/>
                <w:szCs w:val="20"/>
              </w:rPr>
              <w:t>25</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32" w:history="1">
            <w:r w:rsidR="00F57526" w:rsidRPr="00B612CD">
              <w:rPr>
                <w:rStyle w:val="Lienhypertexte"/>
                <w:rFonts w:ascii="Times New Roman" w:hAnsi="Times New Roman"/>
                <w:noProof/>
                <w:sz w:val="20"/>
                <w:szCs w:val="20"/>
              </w:rPr>
              <w:t>IV.</w:t>
            </w:r>
            <w:r w:rsidR="00F57526" w:rsidRPr="00B612CD">
              <w:rPr>
                <w:noProof/>
                <w:sz w:val="20"/>
                <w:szCs w:val="20"/>
              </w:rPr>
              <w:tab/>
            </w:r>
            <w:r w:rsidR="00F57526" w:rsidRPr="00B612CD">
              <w:rPr>
                <w:rStyle w:val="Lienhypertexte"/>
                <w:rFonts w:ascii="Times New Roman" w:hAnsi="Times New Roman"/>
                <w:noProof/>
                <w:sz w:val="20"/>
                <w:szCs w:val="20"/>
              </w:rPr>
              <w:t>Test de germination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_Toc252366232 \h </w:instrText>
            </w:r>
            <w:r w:rsidRPr="00B612CD">
              <w:rPr>
                <w:noProof/>
                <w:webHidden/>
                <w:sz w:val="20"/>
                <w:szCs w:val="20"/>
              </w:rPr>
            </w:r>
            <w:r w:rsidRPr="00B612CD">
              <w:rPr>
                <w:noProof/>
                <w:webHidden/>
                <w:sz w:val="20"/>
                <w:szCs w:val="20"/>
              </w:rPr>
              <w:fldChar w:fldCharType="separate"/>
            </w:r>
            <w:r w:rsidR="00A860F6">
              <w:rPr>
                <w:noProof/>
                <w:webHidden/>
                <w:sz w:val="20"/>
                <w:szCs w:val="20"/>
              </w:rPr>
              <w:t>25</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38" w:history="1">
            <w:r w:rsidR="00F57526" w:rsidRPr="00B612CD">
              <w:rPr>
                <w:rStyle w:val="Lienhypertexte"/>
                <w:rFonts w:ascii="Times New Roman" w:hAnsi="Times New Roman"/>
                <w:noProof/>
                <w:sz w:val="20"/>
                <w:szCs w:val="20"/>
              </w:rPr>
              <w:t>V.</w:t>
            </w:r>
            <w:r w:rsidR="00F57526" w:rsidRPr="00B612CD">
              <w:rPr>
                <w:noProof/>
                <w:sz w:val="20"/>
                <w:szCs w:val="20"/>
              </w:rPr>
              <w:tab/>
            </w:r>
            <w:r w:rsidR="00F57526" w:rsidRPr="00B612CD">
              <w:rPr>
                <w:rStyle w:val="Lienhypertexte"/>
                <w:rFonts w:ascii="Times New Roman" w:hAnsi="Times New Roman"/>
                <w:noProof/>
                <w:sz w:val="20"/>
                <w:szCs w:val="20"/>
              </w:rPr>
              <w:t>Mise en place et conduite de l'essai</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_Toc252366238 \h </w:instrText>
            </w:r>
            <w:r w:rsidRPr="00B612CD">
              <w:rPr>
                <w:noProof/>
                <w:webHidden/>
                <w:sz w:val="20"/>
                <w:szCs w:val="20"/>
              </w:rPr>
            </w:r>
            <w:r w:rsidRPr="00B612CD">
              <w:rPr>
                <w:noProof/>
                <w:webHidden/>
                <w:sz w:val="20"/>
                <w:szCs w:val="20"/>
              </w:rPr>
              <w:fldChar w:fldCharType="separate"/>
            </w:r>
            <w:r w:rsidR="00A860F6">
              <w:rPr>
                <w:noProof/>
                <w:webHidden/>
                <w:sz w:val="20"/>
                <w:szCs w:val="20"/>
              </w:rPr>
              <w:t>26</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39" w:history="1">
            <w:r w:rsidR="00F57526" w:rsidRPr="00B612CD">
              <w:rPr>
                <w:rStyle w:val="Lienhypertexte"/>
                <w:rFonts w:ascii="Times New Roman" w:hAnsi="Times New Roman"/>
                <w:noProof/>
                <w:sz w:val="20"/>
                <w:szCs w:val="20"/>
              </w:rPr>
              <w:t>VI.</w:t>
            </w:r>
            <w:r w:rsidR="00F57526" w:rsidRPr="00B612CD">
              <w:rPr>
                <w:noProof/>
                <w:sz w:val="20"/>
                <w:szCs w:val="20"/>
              </w:rPr>
              <w:tab/>
            </w:r>
            <w:r w:rsidR="00F57526" w:rsidRPr="00B612CD">
              <w:rPr>
                <w:rStyle w:val="Lienhypertexte"/>
                <w:rFonts w:ascii="Times New Roman" w:hAnsi="Times New Roman"/>
                <w:noProof/>
                <w:sz w:val="20"/>
                <w:szCs w:val="20"/>
              </w:rPr>
              <w:t>Les paramètres mesures et observes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_Toc252366239 \h </w:instrText>
            </w:r>
            <w:r w:rsidRPr="00B612CD">
              <w:rPr>
                <w:noProof/>
                <w:webHidden/>
                <w:sz w:val="20"/>
                <w:szCs w:val="20"/>
              </w:rPr>
            </w:r>
            <w:r w:rsidRPr="00B612CD">
              <w:rPr>
                <w:noProof/>
                <w:webHidden/>
                <w:sz w:val="20"/>
                <w:szCs w:val="20"/>
              </w:rPr>
              <w:fldChar w:fldCharType="separate"/>
            </w:r>
            <w:r w:rsidR="00A860F6">
              <w:rPr>
                <w:noProof/>
                <w:webHidden/>
                <w:sz w:val="20"/>
                <w:szCs w:val="20"/>
              </w:rPr>
              <w:t>29</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40" w:history="1">
            <w:r w:rsidR="00F57526" w:rsidRPr="00B612CD">
              <w:rPr>
                <w:rStyle w:val="Lienhypertexte"/>
                <w:rFonts w:ascii="Times New Roman" w:hAnsi="Times New Roman" w:cs="Times New Roman"/>
                <w:noProof/>
                <w:sz w:val="20"/>
                <w:szCs w:val="20"/>
              </w:rPr>
              <w:t>1.</w:t>
            </w:r>
            <w:r w:rsidR="00F57526" w:rsidRPr="00B612CD">
              <w:rPr>
                <w:noProof/>
                <w:sz w:val="20"/>
                <w:szCs w:val="20"/>
              </w:rPr>
              <w:tab/>
            </w:r>
            <w:r w:rsidR="00F57526" w:rsidRPr="00B612CD">
              <w:rPr>
                <w:rStyle w:val="Lienhypertexte"/>
                <w:rFonts w:ascii="Times New Roman" w:hAnsi="Times New Roman" w:cs="Times New Roman"/>
                <w:noProof/>
                <w:sz w:val="20"/>
                <w:szCs w:val="20"/>
              </w:rPr>
              <w:t>Caractères phénologiques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_Toc252366240 \h </w:instrText>
            </w:r>
            <w:r w:rsidRPr="00B612CD">
              <w:rPr>
                <w:noProof/>
                <w:webHidden/>
                <w:sz w:val="20"/>
                <w:szCs w:val="20"/>
              </w:rPr>
            </w:r>
            <w:r w:rsidRPr="00B612CD">
              <w:rPr>
                <w:noProof/>
                <w:webHidden/>
                <w:sz w:val="20"/>
                <w:szCs w:val="20"/>
              </w:rPr>
              <w:fldChar w:fldCharType="separate"/>
            </w:r>
            <w:r w:rsidR="00A860F6">
              <w:rPr>
                <w:noProof/>
                <w:webHidden/>
                <w:sz w:val="20"/>
                <w:szCs w:val="20"/>
              </w:rPr>
              <w:t>29</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60" w:history="1">
            <w:r w:rsidR="00F57526" w:rsidRPr="00B612CD">
              <w:rPr>
                <w:rStyle w:val="Lienhypertexte"/>
                <w:rFonts w:ascii="Times New Roman" w:hAnsi="Times New Roman" w:cs="Times New Roman"/>
                <w:noProof/>
                <w:sz w:val="20"/>
                <w:szCs w:val="20"/>
              </w:rPr>
              <w:t>2.</w:t>
            </w:r>
            <w:r w:rsidR="00F57526" w:rsidRPr="00B612CD">
              <w:rPr>
                <w:noProof/>
                <w:sz w:val="20"/>
                <w:szCs w:val="20"/>
              </w:rPr>
              <w:tab/>
            </w:r>
            <w:r w:rsidR="00F57526" w:rsidRPr="00B612CD">
              <w:rPr>
                <w:rStyle w:val="Lienhypertexte"/>
                <w:rFonts w:ascii="Times New Roman" w:hAnsi="Times New Roman" w:cs="Times New Roman"/>
                <w:noProof/>
                <w:sz w:val="20"/>
                <w:szCs w:val="20"/>
              </w:rPr>
              <w:t>Caractères de développement végétatif</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_Toc252366260 \h </w:instrText>
            </w:r>
            <w:r w:rsidRPr="00B612CD">
              <w:rPr>
                <w:noProof/>
                <w:webHidden/>
                <w:sz w:val="20"/>
                <w:szCs w:val="20"/>
              </w:rPr>
            </w:r>
            <w:r w:rsidRPr="00B612CD">
              <w:rPr>
                <w:noProof/>
                <w:webHidden/>
                <w:sz w:val="20"/>
                <w:szCs w:val="20"/>
              </w:rPr>
              <w:fldChar w:fldCharType="separate"/>
            </w:r>
            <w:r w:rsidR="00A860F6">
              <w:rPr>
                <w:noProof/>
                <w:webHidden/>
                <w:sz w:val="20"/>
                <w:szCs w:val="20"/>
              </w:rPr>
              <w:t>30</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63" w:history="1">
            <w:r w:rsidR="00F57526" w:rsidRPr="00B612CD">
              <w:rPr>
                <w:rStyle w:val="Lienhypertexte"/>
                <w:rFonts w:ascii="Times New Roman" w:hAnsi="Times New Roman" w:cs="Times New Roman"/>
                <w:noProof/>
                <w:sz w:val="20"/>
                <w:szCs w:val="20"/>
              </w:rPr>
              <w:t>3.</w:t>
            </w:r>
            <w:r w:rsidR="00F57526" w:rsidRPr="00B612CD">
              <w:rPr>
                <w:noProof/>
                <w:sz w:val="20"/>
                <w:szCs w:val="20"/>
              </w:rPr>
              <w:tab/>
            </w:r>
            <w:r w:rsidR="00F57526" w:rsidRPr="00B612CD">
              <w:rPr>
                <w:rStyle w:val="Lienhypertexte"/>
                <w:rFonts w:ascii="Times New Roman" w:hAnsi="Times New Roman" w:cs="Times New Roman"/>
                <w:noProof/>
                <w:sz w:val="20"/>
                <w:szCs w:val="20"/>
              </w:rPr>
              <w:t>Etude biométrique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_Toc252366263 \h </w:instrText>
            </w:r>
            <w:r w:rsidRPr="00B612CD">
              <w:rPr>
                <w:noProof/>
                <w:webHidden/>
                <w:sz w:val="20"/>
                <w:szCs w:val="20"/>
              </w:rPr>
            </w:r>
            <w:r w:rsidRPr="00B612CD">
              <w:rPr>
                <w:noProof/>
                <w:webHidden/>
                <w:sz w:val="20"/>
                <w:szCs w:val="20"/>
              </w:rPr>
              <w:fldChar w:fldCharType="separate"/>
            </w:r>
            <w:r w:rsidR="00A860F6">
              <w:rPr>
                <w:noProof/>
                <w:webHidden/>
                <w:sz w:val="20"/>
                <w:szCs w:val="20"/>
              </w:rPr>
              <w:t>31</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64" w:history="1">
            <w:r w:rsidR="00F57526" w:rsidRPr="00B612CD">
              <w:rPr>
                <w:rStyle w:val="Lienhypertexte"/>
                <w:rFonts w:ascii="Times New Roman" w:hAnsi="Times New Roman"/>
                <w:noProof/>
                <w:sz w:val="20"/>
                <w:szCs w:val="20"/>
              </w:rPr>
              <w:t>VII.</w:t>
            </w:r>
            <w:r w:rsidR="00F57526" w:rsidRPr="00B612CD">
              <w:rPr>
                <w:noProof/>
                <w:sz w:val="20"/>
                <w:szCs w:val="20"/>
              </w:rPr>
              <w:tab/>
            </w:r>
            <w:r w:rsidR="00F57526" w:rsidRPr="00B612CD">
              <w:rPr>
                <w:rStyle w:val="Lienhypertexte"/>
                <w:rFonts w:ascii="Times New Roman" w:hAnsi="Times New Roman"/>
                <w:noProof/>
                <w:sz w:val="20"/>
                <w:szCs w:val="20"/>
              </w:rPr>
              <w:t>Méthodes d'analyse statistique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_Toc252366264 \h </w:instrText>
            </w:r>
            <w:r w:rsidRPr="00B612CD">
              <w:rPr>
                <w:noProof/>
                <w:webHidden/>
                <w:sz w:val="20"/>
                <w:szCs w:val="20"/>
              </w:rPr>
            </w:r>
            <w:r w:rsidRPr="00B612CD">
              <w:rPr>
                <w:noProof/>
                <w:webHidden/>
                <w:sz w:val="20"/>
                <w:szCs w:val="20"/>
              </w:rPr>
              <w:fldChar w:fldCharType="separate"/>
            </w:r>
            <w:r w:rsidR="00A860F6">
              <w:rPr>
                <w:noProof/>
                <w:webHidden/>
                <w:sz w:val="20"/>
                <w:szCs w:val="20"/>
              </w:rPr>
              <w:t>32</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noProof/>
              <w:sz w:val="20"/>
              <w:szCs w:val="20"/>
            </w:rPr>
          </w:pPr>
          <w:hyperlink w:anchor="_Toc252366265" w:history="1">
            <w:r w:rsidR="00F57526" w:rsidRPr="00B612CD">
              <w:rPr>
                <w:rStyle w:val="Lienhypertexte"/>
                <w:rFonts w:asciiTheme="majorBidi" w:hAnsiTheme="majorBidi" w:cstheme="majorBidi"/>
                <w:b/>
                <w:bCs/>
                <w:noProof/>
                <w:sz w:val="20"/>
                <w:szCs w:val="20"/>
              </w:rPr>
              <w:t>Chapitre III : Résultats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_Toc252366265 \h </w:instrText>
            </w:r>
            <w:r w:rsidRPr="00B612CD">
              <w:rPr>
                <w:noProof/>
                <w:webHidden/>
                <w:sz w:val="20"/>
                <w:szCs w:val="20"/>
              </w:rPr>
            </w:r>
            <w:r w:rsidRPr="00B612CD">
              <w:rPr>
                <w:noProof/>
                <w:webHidden/>
                <w:sz w:val="20"/>
                <w:szCs w:val="20"/>
              </w:rPr>
              <w:fldChar w:fldCharType="separate"/>
            </w:r>
            <w:r w:rsidR="00A860F6">
              <w:rPr>
                <w:noProof/>
                <w:webHidden/>
                <w:sz w:val="20"/>
                <w:szCs w:val="20"/>
              </w:rPr>
              <w:t>33</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noProof/>
              <w:sz w:val="20"/>
              <w:szCs w:val="20"/>
            </w:rPr>
          </w:pPr>
          <w:hyperlink w:anchor="_Toc252366266" w:history="1">
            <w:r w:rsidR="00F57526" w:rsidRPr="00B612CD">
              <w:rPr>
                <w:rStyle w:val="Lienhypertexte"/>
                <w:rFonts w:ascii="Times New Roman" w:hAnsi="Times New Roman"/>
                <w:noProof/>
                <w:sz w:val="20"/>
                <w:szCs w:val="20"/>
              </w:rPr>
              <w:t>FENUGREC (</w:t>
            </w:r>
            <w:r w:rsidR="00F57526" w:rsidRPr="00B612CD">
              <w:rPr>
                <w:rStyle w:val="Lienhypertexte"/>
                <w:rFonts w:ascii="Times New Roman" w:hAnsi="Times New Roman"/>
                <w:i/>
                <w:iCs/>
                <w:noProof/>
                <w:sz w:val="20"/>
                <w:szCs w:val="20"/>
              </w:rPr>
              <w:t>Trigonella foenum graecum</w:t>
            </w:r>
            <w:r w:rsidR="00F57526" w:rsidRPr="00B612CD">
              <w:rPr>
                <w:rStyle w:val="Lienhypertexte"/>
                <w:rFonts w:ascii="Times New Roman" w:hAnsi="Times New Roman"/>
                <w:noProof/>
                <w:sz w:val="20"/>
                <w:szCs w:val="20"/>
              </w:rPr>
              <w:t xml:space="preserve"> L.)</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_Toc252366266 \h </w:instrText>
            </w:r>
            <w:r w:rsidRPr="00B612CD">
              <w:rPr>
                <w:noProof/>
                <w:webHidden/>
                <w:sz w:val="20"/>
                <w:szCs w:val="20"/>
              </w:rPr>
            </w:r>
            <w:r w:rsidRPr="00B612CD">
              <w:rPr>
                <w:noProof/>
                <w:webHidden/>
                <w:sz w:val="20"/>
                <w:szCs w:val="20"/>
              </w:rPr>
              <w:fldChar w:fldCharType="separate"/>
            </w:r>
            <w:r w:rsidR="00A860F6">
              <w:rPr>
                <w:noProof/>
                <w:webHidden/>
                <w:sz w:val="20"/>
                <w:szCs w:val="20"/>
              </w:rPr>
              <w:t>33</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67" w:history="1">
            <w:r w:rsidR="00F57526" w:rsidRPr="00B612CD">
              <w:rPr>
                <w:rStyle w:val="Lienhypertexte"/>
                <w:rFonts w:ascii="Times New Roman" w:hAnsi="Times New Roman"/>
                <w:noProof/>
                <w:sz w:val="20"/>
                <w:szCs w:val="20"/>
              </w:rPr>
              <w:t>I.</w:t>
            </w:r>
            <w:r w:rsidR="00F57526" w:rsidRPr="00B612CD">
              <w:rPr>
                <w:noProof/>
                <w:sz w:val="20"/>
                <w:szCs w:val="20"/>
              </w:rPr>
              <w:tab/>
            </w:r>
            <w:r w:rsidR="00F57526" w:rsidRPr="00B612CD">
              <w:rPr>
                <w:rStyle w:val="Lienhypertexte"/>
                <w:rFonts w:ascii="Times New Roman" w:hAnsi="Times New Roman"/>
                <w:noProof/>
                <w:sz w:val="20"/>
                <w:szCs w:val="20"/>
              </w:rPr>
              <w:t>Germination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_Toc252366267 \h </w:instrText>
            </w:r>
            <w:r w:rsidRPr="00B612CD">
              <w:rPr>
                <w:noProof/>
                <w:webHidden/>
                <w:sz w:val="20"/>
                <w:szCs w:val="20"/>
              </w:rPr>
            </w:r>
            <w:r w:rsidRPr="00B612CD">
              <w:rPr>
                <w:noProof/>
                <w:webHidden/>
                <w:sz w:val="20"/>
                <w:szCs w:val="20"/>
              </w:rPr>
              <w:fldChar w:fldCharType="separate"/>
            </w:r>
            <w:r w:rsidR="00A860F6">
              <w:rPr>
                <w:noProof/>
                <w:webHidden/>
                <w:sz w:val="20"/>
                <w:szCs w:val="20"/>
              </w:rPr>
              <w:t>33</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68" w:history="1">
            <w:r w:rsidR="00F57526" w:rsidRPr="00B612CD">
              <w:rPr>
                <w:rStyle w:val="Lienhypertexte"/>
                <w:rFonts w:ascii="Times New Roman" w:hAnsi="Times New Roman"/>
                <w:noProof/>
                <w:sz w:val="20"/>
                <w:szCs w:val="20"/>
              </w:rPr>
              <w:t>II.</w:t>
            </w:r>
            <w:r w:rsidR="00F57526" w:rsidRPr="00B612CD">
              <w:rPr>
                <w:noProof/>
                <w:sz w:val="20"/>
                <w:szCs w:val="20"/>
              </w:rPr>
              <w:tab/>
            </w:r>
            <w:r w:rsidR="00C9744E" w:rsidRPr="00B612CD">
              <w:rPr>
                <w:rStyle w:val="Lienhypertexte"/>
                <w:rFonts w:ascii="Times New Roman" w:hAnsi="Times New Roman"/>
                <w:noProof/>
                <w:sz w:val="20"/>
                <w:szCs w:val="20"/>
              </w:rPr>
              <w:t>Caractères</w:t>
            </w:r>
            <w:r w:rsidR="00F57526" w:rsidRPr="00B612CD">
              <w:rPr>
                <w:rStyle w:val="Lienhypertexte"/>
                <w:rFonts w:ascii="Times New Roman" w:hAnsi="Times New Roman"/>
                <w:noProof/>
                <w:sz w:val="20"/>
                <w:szCs w:val="20"/>
              </w:rPr>
              <w:t xml:space="preserve"> phénologiques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_Toc252366268 \h </w:instrText>
            </w:r>
            <w:r w:rsidRPr="00B612CD">
              <w:rPr>
                <w:noProof/>
                <w:webHidden/>
                <w:sz w:val="20"/>
                <w:szCs w:val="20"/>
              </w:rPr>
            </w:r>
            <w:r w:rsidRPr="00B612CD">
              <w:rPr>
                <w:noProof/>
                <w:webHidden/>
                <w:sz w:val="20"/>
                <w:szCs w:val="20"/>
              </w:rPr>
              <w:fldChar w:fldCharType="separate"/>
            </w:r>
            <w:r w:rsidR="00A860F6">
              <w:rPr>
                <w:noProof/>
                <w:webHidden/>
                <w:sz w:val="20"/>
                <w:szCs w:val="20"/>
              </w:rPr>
              <w:t>35</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69" w:history="1">
            <w:r w:rsidR="00F57526" w:rsidRPr="00B612CD">
              <w:rPr>
                <w:rStyle w:val="Lienhypertexte"/>
                <w:rFonts w:ascii="Times New Roman" w:hAnsi="Times New Roman"/>
                <w:noProof/>
                <w:sz w:val="20"/>
                <w:szCs w:val="20"/>
              </w:rPr>
              <w:t>III.</w:t>
            </w:r>
            <w:r w:rsidR="00F57526" w:rsidRPr="00B612CD">
              <w:rPr>
                <w:noProof/>
                <w:sz w:val="20"/>
                <w:szCs w:val="20"/>
              </w:rPr>
              <w:tab/>
            </w:r>
            <w:r w:rsidR="00F57526" w:rsidRPr="00B612CD">
              <w:rPr>
                <w:rStyle w:val="Lienhypertexte"/>
                <w:rFonts w:ascii="Times New Roman" w:hAnsi="Times New Roman"/>
                <w:noProof/>
                <w:sz w:val="20"/>
                <w:szCs w:val="20"/>
              </w:rPr>
              <w:t>Caractères de développement végétatif</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_Toc252366269 \h </w:instrText>
            </w:r>
            <w:r w:rsidRPr="00B612CD">
              <w:rPr>
                <w:noProof/>
                <w:webHidden/>
                <w:sz w:val="20"/>
                <w:szCs w:val="20"/>
              </w:rPr>
            </w:r>
            <w:r w:rsidRPr="00B612CD">
              <w:rPr>
                <w:noProof/>
                <w:webHidden/>
                <w:sz w:val="20"/>
                <w:szCs w:val="20"/>
              </w:rPr>
              <w:fldChar w:fldCharType="separate"/>
            </w:r>
            <w:r w:rsidR="00A860F6">
              <w:rPr>
                <w:noProof/>
                <w:webHidden/>
                <w:sz w:val="20"/>
                <w:szCs w:val="20"/>
              </w:rPr>
              <w:t>39</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70" w:history="1">
            <w:r w:rsidR="00F57526" w:rsidRPr="00B612CD">
              <w:rPr>
                <w:rStyle w:val="Lienhypertexte"/>
                <w:rFonts w:ascii="Times New Roman" w:hAnsi="Times New Roman"/>
                <w:noProof/>
                <w:sz w:val="20"/>
                <w:szCs w:val="20"/>
              </w:rPr>
              <w:t>IV.</w:t>
            </w:r>
            <w:r w:rsidR="00F57526" w:rsidRPr="00B612CD">
              <w:rPr>
                <w:noProof/>
                <w:sz w:val="20"/>
                <w:szCs w:val="20"/>
              </w:rPr>
              <w:tab/>
            </w:r>
            <w:r w:rsidR="00F57526" w:rsidRPr="00B612CD">
              <w:rPr>
                <w:rStyle w:val="Lienhypertexte"/>
                <w:rFonts w:ascii="Times New Roman" w:hAnsi="Times New Roman"/>
                <w:noProof/>
                <w:sz w:val="20"/>
                <w:szCs w:val="20"/>
              </w:rPr>
              <w:t>Etude biométrique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_Toc252366270 \h </w:instrText>
            </w:r>
            <w:r w:rsidRPr="00B612CD">
              <w:rPr>
                <w:noProof/>
                <w:webHidden/>
                <w:sz w:val="20"/>
                <w:szCs w:val="20"/>
              </w:rPr>
            </w:r>
            <w:r w:rsidRPr="00B612CD">
              <w:rPr>
                <w:noProof/>
                <w:webHidden/>
                <w:sz w:val="20"/>
                <w:szCs w:val="20"/>
              </w:rPr>
              <w:fldChar w:fldCharType="separate"/>
            </w:r>
            <w:r w:rsidR="00A860F6">
              <w:rPr>
                <w:noProof/>
                <w:webHidden/>
                <w:sz w:val="20"/>
                <w:szCs w:val="20"/>
              </w:rPr>
              <w:t>41</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71" w:history="1">
            <w:r w:rsidR="00F57526" w:rsidRPr="00B612CD">
              <w:rPr>
                <w:rStyle w:val="Lienhypertexte"/>
                <w:rFonts w:ascii="Times New Roman" w:hAnsi="Times New Roman"/>
                <w:noProof/>
                <w:sz w:val="20"/>
                <w:szCs w:val="20"/>
              </w:rPr>
              <w:t>V.</w:t>
            </w:r>
            <w:r w:rsidR="00F57526" w:rsidRPr="00B612CD">
              <w:rPr>
                <w:noProof/>
                <w:sz w:val="20"/>
                <w:szCs w:val="20"/>
              </w:rPr>
              <w:tab/>
            </w:r>
            <w:r w:rsidR="00F57526" w:rsidRPr="00B612CD">
              <w:rPr>
                <w:rStyle w:val="Lienhypertexte"/>
                <w:rFonts w:ascii="Times New Roman" w:hAnsi="Times New Roman"/>
                <w:noProof/>
                <w:sz w:val="20"/>
                <w:szCs w:val="20"/>
              </w:rPr>
              <w:t>Matrice des corrélations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_Toc252366271 \h </w:instrText>
            </w:r>
            <w:r w:rsidRPr="00B612CD">
              <w:rPr>
                <w:noProof/>
                <w:webHidden/>
                <w:sz w:val="20"/>
                <w:szCs w:val="20"/>
              </w:rPr>
            </w:r>
            <w:r w:rsidRPr="00B612CD">
              <w:rPr>
                <w:noProof/>
                <w:webHidden/>
                <w:sz w:val="20"/>
                <w:szCs w:val="20"/>
              </w:rPr>
              <w:fldChar w:fldCharType="separate"/>
            </w:r>
            <w:r w:rsidR="00A860F6">
              <w:rPr>
                <w:noProof/>
                <w:webHidden/>
                <w:sz w:val="20"/>
                <w:szCs w:val="20"/>
              </w:rPr>
              <w:t>49</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72" w:history="1">
            <w:r w:rsidR="00F57526" w:rsidRPr="00B612CD">
              <w:rPr>
                <w:rStyle w:val="Lienhypertexte"/>
                <w:rFonts w:ascii="Times New Roman" w:hAnsi="Times New Roman"/>
                <w:noProof/>
                <w:sz w:val="20"/>
                <w:szCs w:val="20"/>
              </w:rPr>
              <w:t>VI.</w:t>
            </w:r>
            <w:r w:rsidR="00F57526" w:rsidRPr="00B612CD">
              <w:rPr>
                <w:noProof/>
                <w:sz w:val="20"/>
                <w:szCs w:val="20"/>
              </w:rPr>
              <w:tab/>
            </w:r>
            <w:r w:rsidR="00F57526" w:rsidRPr="00B612CD">
              <w:rPr>
                <w:rStyle w:val="Lienhypertexte"/>
                <w:rFonts w:ascii="Times New Roman" w:hAnsi="Times New Roman"/>
                <w:noProof/>
                <w:sz w:val="20"/>
                <w:szCs w:val="20"/>
              </w:rPr>
              <w:t>Analyse en composantes principales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_Toc252366272 \h </w:instrText>
            </w:r>
            <w:r w:rsidRPr="00B612CD">
              <w:rPr>
                <w:noProof/>
                <w:webHidden/>
                <w:sz w:val="20"/>
                <w:szCs w:val="20"/>
              </w:rPr>
            </w:r>
            <w:r w:rsidRPr="00B612CD">
              <w:rPr>
                <w:noProof/>
                <w:webHidden/>
                <w:sz w:val="20"/>
                <w:szCs w:val="20"/>
              </w:rPr>
              <w:fldChar w:fldCharType="separate"/>
            </w:r>
            <w:r w:rsidR="00A860F6">
              <w:rPr>
                <w:noProof/>
                <w:webHidden/>
                <w:sz w:val="20"/>
                <w:szCs w:val="20"/>
              </w:rPr>
              <w:t>51</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noProof/>
              <w:sz w:val="20"/>
              <w:szCs w:val="20"/>
            </w:rPr>
          </w:pPr>
          <w:hyperlink w:anchor="_Toc252366273" w:history="1">
            <w:r w:rsidR="00F57526" w:rsidRPr="00B612CD">
              <w:rPr>
                <w:rStyle w:val="Lienhypertexte"/>
                <w:rFonts w:ascii="Times New Roman" w:hAnsi="Times New Roman"/>
                <w:noProof/>
                <w:sz w:val="20"/>
                <w:szCs w:val="20"/>
              </w:rPr>
              <w:t>CARTHAME (</w:t>
            </w:r>
            <w:r w:rsidR="00F57526" w:rsidRPr="00B612CD">
              <w:rPr>
                <w:rStyle w:val="Lienhypertexte"/>
                <w:rFonts w:ascii="Times New Roman" w:hAnsi="Times New Roman"/>
                <w:i/>
                <w:iCs/>
                <w:noProof/>
                <w:sz w:val="20"/>
                <w:szCs w:val="20"/>
              </w:rPr>
              <w:t>Carthamus tinctorius</w:t>
            </w:r>
            <w:r w:rsidR="00F57526" w:rsidRPr="00B612CD">
              <w:rPr>
                <w:rStyle w:val="Lienhypertexte"/>
                <w:rFonts w:ascii="Times New Roman" w:hAnsi="Times New Roman"/>
                <w:noProof/>
                <w:sz w:val="20"/>
                <w:szCs w:val="20"/>
              </w:rPr>
              <w:t xml:space="preserve"> L.)</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_Toc252366273 \h </w:instrText>
            </w:r>
            <w:r w:rsidRPr="00B612CD">
              <w:rPr>
                <w:noProof/>
                <w:webHidden/>
                <w:sz w:val="20"/>
                <w:szCs w:val="20"/>
              </w:rPr>
            </w:r>
            <w:r w:rsidRPr="00B612CD">
              <w:rPr>
                <w:noProof/>
                <w:webHidden/>
                <w:sz w:val="20"/>
                <w:szCs w:val="20"/>
              </w:rPr>
              <w:fldChar w:fldCharType="separate"/>
            </w:r>
            <w:r w:rsidR="00A860F6">
              <w:rPr>
                <w:noProof/>
                <w:webHidden/>
                <w:sz w:val="20"/>
                <w:szCs w:val="20"/>
              </w:rPr>
              <w:t>55</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74" w:history="1">
            <w:r w:rsidR="00F57526" w:rsidRPr="00B612CD">
              <w:rPr>
                <w:rStyle w:val="Lienhypertexte"/>
                <w:rFonts w:ascii="Times New Roman" w:hAnsi="Times New Roman"/>
                <w:noProof/>
                <w:sz w:val="20"/>
                <w:szCs w:val="20"/>
              </w:rPr>
              <w:t>I.</w:t>
            </w:r>
            <w:r w:rsidR="00F57526" w:rsidRPr="00B612CD">
              <w:rPr>
                <w:noProof/>
                <w:sz w:val="20"/>
                <w:szCs w:val="20"/>
              </w:rPr>
              <w:tab/>
            </w:r>
            <w:r w:rsidR="00F57526" w:rsidRPr="00B612CD">
              <w:rPr>
                <w:rStyle w:val="Lienhypertexte"/>
                <w:rFonts w:ascii="Times New Roman" w:hAnsi="Times New Roman"/>
                <w:noProof/>
                <w:sz w:val="20"/>
                <w:szCs w:val="20"/>
              </w:rPr>
              <w:t>Germination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_Toc252366274 \h </w:instrText>
            </w:r>
            <w:r w:rsidRPr="00B612CD">
              <w:rPr>
                <w:noProof/>
                <w:webHidden/>
                <w:sz w:val="20"/>
                <w:szCs w:val="20"/>
              </w:rPr>
            </w:r>
            <w:r w:rsidRPr="00B612CD">
              <w:rPr>
                <w:noProof/>
                <w:webHidden/>
                <w:sz w:val="20"/>
                <w:szCs w:val="20"/>
              </w:rPr>
              <w:fldChar w:fldCharType="separate"/>
            </w:r>
            <w:r w:rsidR="00A860F6">
              <w:rPr>
                <w:noProof/>
                <w:webHidden/>
                <w:sz w:val="20"/>
                <w:szCs w:val="20"/>
              </w:rPr>
              <w:t>55</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75" w:history="1">
            <w:r w:rsidR="00F57526" w:rsidRPr="00B612CD">
              <w:rPr>
                <w:rStyle w:val="Lienhypertexte"/>
                <w:rFonts w:ascii="Times New Roman" w:hAnsi="Times New Roman"/>
                <w:noProof/>
                <w:sz w:val="20"/>
                <w:szCs w:val="20"/>
              </w:rPr>
              <w:t>II.</w:t>
            </w:r>
            <w:r w:rsidR="00F57526" w:rsidRPr="00B612CD">
              <w:rPr>
                <w:noProof/>
                <w:sz w:val="20"/>
                <w:szCs w:val="20"/>
              </w:rPr>
              <w:tab/>
            </w:r>
            <w:r w:rsidR="00C9744E" w:rsidRPr="00B612CD">
              <w:rPr>
                <w:rStyle w:val="Lienhypertexte"/>
                <w:rFonts w:ascii="Times New Roman" w:hAnsi="Times New Roman"/>
                <w:noProof/>
                <w:sz w:val="20"/>
                <w:szCs w:val="20"/>
              </w:rPr>
              <w:t>Caractères</w:t>
            </w:r>
            <w:r w:rsidR="00F57526" w:rsidRPr="00B612CD">
              <w:rPr>
                <w:rStyle w:val="Lienhypertexte"/>
                <w:rFonts w:ascii="Times New Roman" w:hAnsi="Times New Roman"/>
                <w:noProof/>
                <w:sz w:val="20"/>
                <w:szCs w:val="20"/>
              </w:rPr>
              <w:t xml:space="preserve"> phénologiques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_Toc252366275 \h </w:instrText>
            </w:r>
            <w:r w:rsidRPr="00B612CD">
              <w:rPr>
                <w:noProof/>
                <w:webHidden/>
                <w:sz w:val="20"/>
                <w:szCs w:val="20"/>
              </w:rPr>
            </w:r>
            <w:r w:rsidRPr="00B612CD">
              <w:rPr>
                <w:noProof/>
                <w:webHidden/>
                <w:sz w:val="20"/>
                <w:szCs w:val="20"/>
              </w:rPr>
              <w:fldChar w:fldCharType="separate"/>
            </w:r>
            <w:r w:rsidR="00A860F6">
              <w:rPr>
                <w:noProof/>
                <w:webHidden/>
                <w:sz w:val="20"/>
                <w:szCs w:val="20"/>
              </w:rPr>
              <w:t>57</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76" w:history="1">
            <w:r w:rsidR="00F57526" w:rsidRPr="00B612CD">
              <w:rPr>
                <w:rStyle w:val="Lienhypertexte"/>
                <w:rFonts w:ascii="Times New Roman" w:hAnsi="Times New Roman"/>
                <w:noProof/>
                <w:sz w:val="20"/>
                <w:szCs w:val="20"/>
              </w:rPr>
              <w:t>III.</w:t>
            </w:r>
            <w:r w:rsidR="00F57526" w:rsidRPr="00B612CD">
              <w:rPr>
                <w:noProof/>
                <w:sz w:val="20"/>
                <w:szCs w:val="20"/>
              </w:rPr>
              <w:tab/>
            </w:r>
            <w:r w:rsidR="00F57526" w:rsidRPr="00B612CD">
              <w:rPr>
                <w:rStyle w:val="Lienhypertexte"/>
                <w:rFonts w:ascii="Times New Roman" w:hAnsi="Times New Roman"/>
                <w:noProof/>
                <w:sz w:val="20"/>
                <w:szCs w:val="20"/>
              </w:rPr>
              <w:t>Caractères de développement végétatif</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_Toc252366276 \h </w:instrText>
            </w:r>
            <w:r w:rsidRPr="00B612CD">
              <w:rPr>
                <w:noProof/>
                <w:webHidden/>
                <w:sz w:val="20"/>
                <w:szCs w:val="20"/>
              </w:rPr>
            </w:r>
            <w:r w:rsidRPr="00B612CD">
              <w:rPr>
                <w:noProof/>
                <w:webHidden/>
                <w:sz w:val="20"/>
                <w:szCs w:val="20"/>
              </w:rPr>
              <w:fldChar w:fldCharType="separate"/>
            </w:r>
            <w:r w:rsidR="00A860F6">
              <w:rPr>
                <w:noProof/>
                <w:webHidden/>
                <w:sz w:val="20"/>
                <w:szCs w:val="20"/>
              </w:rPr>
              <w:t>61</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77" w:history="1">
            <w:r w:rsidR="00F57526" w:rsidRPr="00B612CD">
              <w:rPr>
                <w:rStyle w:val="Lienhypertexte"/>
                <w:rFonts w:ascii="Times New Roman" w:hAnsi="Times New Roman"/>
                <w:noProof/>
                <w:sz w:val="20"/>
                <w:szCs w:val="20"/>
              </w:rPr>
              <w:t>IV.</w:t>
            </w:r>
            <w:r w:rsidR="00F57526" w:rsidRPr="00B612CD">
              <w:rPr>
                <w:noProof/>
                <w:sz w:val="20"/>
                <w:szCs w:val="20"/>
              </w:rPr>
              <w:tab/>
            </w:r>
            <w:r w:rsidR="00F57526" w:rsidRPr="00B612CD">
              <w:rPr>
                <w:rStyle w:val="Lienhypertexte"/>
                <w:rFonts w:ascii="Times New Roman" w:hAnsi="Times New Roman"/>
                <w:noProof/>
                <w:sz w:val="20"/>
                <w:szCs w:val="20"/>
              </w:rPr>
              <w:t>Etude biométrique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_Toc252366277 \h </w:instrText>
            </w:r>
            <w:r w:rsidRPr="00B612CD">
              <w:rPr>
                <w:noProof/>
                <w:webHidden/>
                <w:sz w:val="20"/>
                <w:szCs w:val="20"/>
              </w:rPr>
            </w:r>
            <w:r w:rsidRPr="00B612CD">
              <w:rPr>
                <w:noProof/>
                <w:webHidden/>
                <w:sz w:val="20"/>
                <w:szCs w:val="20"/>
              </w:rPr>
              <w:fldChar w:fldCharType="separate"/>
            </w:r>
            <w:r w:rsidR="00A860F6">
              <w:rPr>
                <w:noProof/>
                <w:webHidden/>
                <w:sz w:val="20"/>
                <w:szCs w:val="20"/>
              </w:rPr>
              <w:t>61</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78" w:history="1">
            <w:r w:rsidR="00F57526" w:rsidRPr="00B612CD">
              <w:rPr>
                <w:rStyle w:val="Lienhypertexte"/>
                <w:rFonts w:ascii="Times New Roman" w:hAnsi="Times New Roman"/>
                <w:noProof/>
                <w:sz w:val="20"/>
                <w:szCs w:val="20"/>
              </w:rPr>
              <w:t>V.</w:t>
            </w:r>
            <w:r w:rsidR="00F57526" w:rsidRPr="00B612CD">
              <w:rPr>
                <w:noProof/>
                <w:sz w:val="20"/>
                <w:szCs w:val="20"/>
              </w:rPr>
              <w:tab/>
            </w:r>
            <w:r w:rsidR="00F57526" w:rsidRPr="00B612CD">
              <w:rPr>
                <w:rStyle w:val="Lienhypertexte"/>
                <w:rFonts w:ascii="Times New Roman" w:hAnsi="Times New Roman"/>
                <w:noProof/>
                <w:sz w:val="20"/>
                <w:szCs w:val="20"/>
              </w:rPr>
              <w:t>Matrice des corrélations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_Toc252366278 \h </w:instrText>
            </w:r>
            <w:r w:rsidRPr="00B612CD">
              <w:rPr>
                <w:noProof/>
                <w:webHidden/>
                <w:sz w:val="20"/>
                <w:szCs w:val="20"/>
              </w:rPr>
            </w:r>
            <w:r w:rsidRPr="00B612CD">
              <w:rPr>
                <w:noProof/>
                <w:webHidden/>
                <w:sz w:val="20"/>
                <w:szCs w:val="20"/>
              </w:rPr>
              <w:fldChar w:fldCharType="separate"/>
            </w:r>
            <w:r w:rsidR="00A860F6">
              <w:rPr>
                <w:noProof/>
                <w:webHidden/>
                <w:sz w:val="20"/>
                <w:szCs w:val="20"/>
              </w:rPr>
              <w:t>73</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79" w:history="1">
            <w:r w:rsidR="00F57526" w:rsidRPr="00B612CD">
              <w:rPr>
                <w:rStyle w:val="Lienhypertexte"/>
                <w:rFonts w:ascii="Times New Roman" w:hAnsi="Times New Roman"/>
                <w:noProof/>
                <w:sz w:val="20"/>
                <w:szCs w:val="20"/>
              </w:rPr>
              <w:t>VI.</w:t>
            </w:r>
            <w:r w:rsidR="00F57526" w:rsidRPr="00B612CD">
              <w:rPr>
                <w:noProof/>
                <w:sz w:val="20"/>
                <w:szCs w:val="20"/>
              </w:rPr>
              <w:tab/>
            </w:r>
            <w:r w:rsidR="00F57526" w:rsidRPr="00B612CD">
              <w:rPr>
                <w:rStyle w:val="Lienhypertexte"/>
                <w:rFonts w:ascii="Times New Roman" w:hAnsi="Times New Roman"/>
                <w:noProof/>
                <w:sz w:val="20"/>
                <w:szCs w:val="20"/>
              </w:rPr>
              <w:t>Analyse en composantes principales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_Toc252366279 \h </w:instrText>
            </w:r>
            <w:r w:rsidRPr="00B612CD">
              <w:rPr>
                <w:noProof/>
                <w:webHidden/>
                <w:sz w:val="20"/>
                <w:szCs w:val="20"/>
              </w:rPr>
            </w:r>
            <w:r w:rsidRPr="00B612CD">
              <w:rPr>
                <w:noProof/>
                <w:webHidden/>
                <w:sz w:val="20"/>
                <w:szCs w:val="20"/>
              </w:rPr>
              <w:fldChar w:fldCharType="separate"/>
            </w:r>
            <w:r w:rsidR="00A860F6">
              <w:rPr>
                <w:noProof/>
                <w:webHidden/>
                <w:sz w:val="20"/>
                <w:szCs w:val="20"/>
              </w:rPr>
              <w:t>75</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noProof/>
              <w:sz w:val="20"/>
              <w:szCs w:val="20"/>
            </w:rPr>
          </w:pPr>
          <w:hyperlink w:anchor="_Toc252366280" w:history="1">
            <w:r w:rsidR="00F57526" w:rsidRPr="00B612CD">
              <w:rPr>
                <w:rStyle w:val="Lienhypertexte"/>
                <w:rFonts w:ascii="Times New Roman" w:hAnsi="Times New Roman"/>
                <w:noProof/>
                <w:sz w:val="20"/>
                <w:szCs w:val="20"/>
              </w:rPr>
              <w:t>NEGELLE (</w:t>
            </w:r>
            <w:r w:rsidR="00F57526" w:rsidRPr="00B612CD">
              <w:rPr>
                <w:rStyle w:val="Lienhypertexte"/>
                <w:rFonts w:ascii="Times New Roman" w:hAnsi="Times New Roman"/>
                <w:i/>
                <w:iCs/>
                <w:noProof/>
                <w:sz w:val="20"/>
                <w:szCs w:val="20"/>
              </w:rPr>
              <w:t>Nigella sativa</w:t>
            </w:r>
            <w:r w:rsidR="00F57526" w:rsidRPr="00B612CD">
              <w:rPr>
                <w:rStyle w:val="Lienhypertexte"/>
                <w:rFonts w:ascii="Times New Roman" w:hAnsi="Times New Roman"/>
                <w:noProof/>
                <w:sz w:val="20"/>
                <w:szCs w:val="20"/>
              </w:rPr>
              <w:t xml:space="preserve"> L.)</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_Toc252366280 \h </w:instrText>
            </w:r>
            <w:r w:rsidRPr="00B612CD">
              <w:rPr>
                <w:noProof/>
                <w:webHidden/>
                <w:sz w:val="20"/>
                <w:szCs w:val="20"/>
              </w:rPr>
            </w:r>
            <w:r w:rsidRPr="00B612CD">
              <w:rPr>
                <w:noProof/>
                <w:webHidden/>
                <w:sz w:val="20"/>
                <w:szCs w:val="20"/>
              </w:rPr>
              <w:fldChar w:fldCharType="separate"/>
            </w:r>
            <w:r w:rsidR="00A860F6">
              <w:rPr>
                <w:noProof/>
                <w:webHidden/>
                <w:sz w:val="20"/>
                <w:szCs w:val="20"/>
              </w:rPr>
              <w:t>80</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81" w:history="1">
            <w:r w:rsidR="00F57526" w:rsidRPr="00B612CD">
              <w:rPr>
                <w:rStyle w:val="Lienhypertexte"/>
                <w:rFonts w:ascii="Times New Roman" w:hAnsi="Times New Roman"/>
                <w:noProof/>
                <w:sz w:val="20"/>
                <w:szCs w:val="20"/>
              </w:rPr>
              <w:t>I.</w:t>
            </w:r>
            <w:r w:rsidR="00F57526" w:rsidRPr="00B612CD">
              <w:rPr>
                <w:noProof/>
                <w:sz w:val="20"/>
                <w:szCs w:val="20"/>
              </w:rPr>
              <w:tab/>
            </w:r>
            <w:r w:rsidR="00F57526" w:rsidRPr="00B612CD">
              <w:rPr>
                <w:rStyle w:val="Lienhypertexte"/>
                <w:rFonts w:ascii="Times New Roman" w:hAnsi="Times New Roman"/>
                <w:noProof/>
                <w:sz w:val="20"/>
                <w:szCs w:val="20"/>
              </w:rPr>
              <w:t>Germination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_Toc252366281 \h </w:instrText>
            </w:r>
            <w:r w:rsidRPr="00B612CD">
              <w:rPr>
                <w:noProof/>
                <w:webHidden/>
                <w:sz w:val="20"/>
                <w:szCs w:val="20"/>
              </w:rPr>
            </w:r>
            <w:r w:rsidRPr="00B612CD">
              <w:rPr>
                <w:noProof/>
                <w:webHidden/>
                <w:sz w:val="20"/>
                <w:szCs w:val="20"/>
              </w:rPr>
              <w:fldChar w:fldCharType="separate"/>
            </w:r>
            <w:r w:rsidR="00A860F6">
              <w:rPr>
                <w:noProof/>
                <w:webHidden/>
                <w:sz w:val="20"/>
                <w:szCs w:val="20"/>
              </w:rPr>
              <w:t>80</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82" w:history="1">
            <w:r w:rsidR="00F57526" w:rsidRPr="00B612CD">
              <w:rPr>
                <w:rStyle w:val="Lienhypertexte"/>
                <w:rFonts w:ascii="Times New Roman" w:hAnsi="Times New Roman"/>
                <w:noProof/>
                <w:sz w:val="20"/>
                <w:szCs w:val="20"/>
              </w:rPr>
              <w:t>II.</w:t>
            </w:r>
            <w:r w:rsidR="00F57526" w:rsidRPr="00B612CD">
              <w:rPr>
                <w:noProof/>
                <w:sz w:val="20"/>
                <w:szCs w:val="20"/>
              </w:rPr>
              <w:tab/>
            </w:r>
            <w:r w:rsidR="00C9744E" w:rsidRPr="00B612CD">
              <w:rPr>
                <w:rStyle w:val="Lienhypertexte"/>
                <w:rFonts w:ascii="Times New Roman" w:hAnsi="Times New Roman"/>
                <w:noProof/>
                <w:sz w:val="20"/>
                <w:szCs w:val="20"/>
              </w:rPr>
              <w:t>Caractères</w:t>
            </w:r>
            <w:r w:rsidR="00F57526" w:rsidRPr="00B612CD">
              <w:rPr>
                <w:rStyle w:val="Lienhypertexte"/>
                <w:rFonts w:ascii="Times New Roman" w:hAnsi="Times New Roman"/>
                <w:noProof/>
                <w:sz w:val="20"/>
                <w:szCs w:val="20"/>
              </w:rPr>
              <w:t xml:space="preserve"> phénologiques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_Toc252366282 \h </w:instrText>
            </w:r>
            <w:r w:rsidRPr="00B612CD">
              <w:rPr>
                <w:noProof/>
                <w:webHidden/>
                <w:sz w:val="20"/>
                <w:szCs w:val="20"/>
              </w:rPr>
            </w:r>
            <w:r w:rsidRPr="00B612CD">
              <w:rPr>
                <w:noProof/>
                <w:webHidden/>
                <w:sz w:val="20"/>
                <w:szCs w:val="20"/>
              </w:rPr>
              <w:fldChar w:fldCharType="separate"/>
            </w:r>
            <w:r w:rsidR="00A860F6">
              <w:rPr>
                <w:noProof/>
                <w:webHidden/>
                <w:sz w:val="20"/>
                <w:szCs w:val="20"/>
              </w:rPr>
              <w:t>82</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83" w:history="1">
            <w:r w:rsidR="00F57526" w:rsidRPr="00B612CD">
              <w:rPr>
                <w:rStyle w:val="Lienhypertexte"/>
                <w:rFonts w:ascii="Times New Roman" w:hAnsi="Times New Roman"/>
                <w:noProof/>
                <w:sz w:val="20"/>
                <w:szCs w:val="20"/>
              </w:rPr>
              <w:t>III.</w:t>
            </w:r>
            <w:r w:rsidR="00F57526" w:rsidRPr="00B612CD">
              <w:rPr>
                <w:noProof/>
                <w:sz w:val="20"/>
                <w:szCs w:val="20"/>
              </w:rPr>
              <w:tab/>
            </w:r>
            <w:r w:rsidR="00F57526" w:rsidRPr="00B612CD">
              <w:rPr>
                <w:rStyle w:val="Lienhypertexte"/>
                <w:rFonts w:ascii="Times New Roman" w:hAnsi="Times New Roman"/>
                <w:noProof/>
                <w:sz w:val="20"/>
                <w:szCs w:val="20"/>
              </w:rPr>
              <w:t>Caractères de développement végétatif</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_Toc252366283 \h </w:instrText>
            </w:r>
            <w:r w:rsidRPr="00B612CD">
              <w:rPr>
                <w:noProof/>
                <w:webHidden/>
                <w:sz w:val="20"/>
                <w:szCs w:val="20"/>
              </w:rPr>
            </w:r>
            <w:r w:rsidRPr="00B612CD">
              <w:rPr>
                <w:noProof/>
                <w:webHidden/>
                <w:sz w:val="20"/>
                <w:szCs w:val="20"/>
              </w:rPr>
              <w:fldChar w:fldCharType="separate"/>
            </w:r>
            <w:r w:rsidR="00A860F6">
              <w:rPr>
                <w:noProof/>
                <w:webHidden/>
                <w:sz w:val="20"/>
                <w:szCs w:val="20"/>
              </w:rPr>
              <w:t>84</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84" w:history="1">
            <w:r w:rsidR="00F57526" w:rsidRPr="00B612CD">
              <w:rPr>
                <w:rStyle w:val="Lienhypertexte"/>
                <w:rFonts w:ascii="Times New Roman" w:hAnsi="Times New Roman"/>
                <w:noProof/>
                <w:sz w:val="20"/>
                <w:szCs w:val="20"/>
              </w:rPr>
              <w:t>IV.</w:t>
            </w:r>
            <w:r w:rsidR="00F57526" w:rsidRPr="00B612CD">
              <w:rPr>
                <w:noProof/>
                <w:sz w:val="20"/>
                <w:szCs w:val="20"/>
              </w:rPr>
              <w:tab/>
            </w:r>
            <w:r w:rsidR="00F57526" w:rsidRPr="00B612CD">
              <w:rPr>
                <w:rStyle w:val="Lienhypertexte"/>
                <w:rFonts w:ascii="Times New Roman" w:hAnsi="Times New Roman"/>
                <w:noProof/>
                <w:sz w:val="20"/>
                <w:szCs w:val="20"/>
              </w:rPr>
              <w:t>Etude biométrique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_Toc252366284 \h </w:instrText>
            </w:r>
            <w:r w:rsidRPr="00B612CD">
              <w:rPr>
                <w:noProof/>
                <w:webHidden/>
                <w:sz w:val="20"/>
                <w:szCs w:val="20"/>
              </w:rPr>
            </w:r>
            <w:r w:rsidRPr="00B612CD">
              <w:rPr>
                <w:noProof/>
                <w:webHidden/>
                <w:sz w:val="20"/>
                <w:szCs w:val="20"/>
              </w:rPr>
              <w:fldChar w:fldCharType="separate"/>
            </w:r>
            <w:r w:rsidR="00A860F6">
              <w:rPr>
                <w:noProof/>
                <w:webHidden/>
                <w:sz w:val="20"/>
                <w:szCs w:val="20"/>
              </w:rPr>
              <w:t>86</w:t>
            </w:r>
            <w:r w:rsidRPr="00B612CD">
              <w:rPr>
                <w:noProof/>
                <w:webHidden/>
                <w:sz w:val="20"/>
                <w:szCs w:val="20"/>
              </w:rPr>
              <w:fldChar w:fldCharType="end"/>
            </w:r>
          </w:hyperlink>
        </w:p>
        <w:p w:rsidR="00F57526" w:rsidRPr="00B612CD" w:rsidRDefault="00811D6A" w:rsidP="00B612CD">
          <w:pPr>
            <w:pStyle w:val="TM1"/>
            <w:tabs>
              <w:tab w:val="left" w:pos="440"/>
              <w:tab w:val="right" w:leader="dot" w:pos="9771"/>
            </w:tabs>
            <w:spacing w:line="240" w:lineRule="auto"/>
            <w:rPr>
              <w:noProof/>
              <w:sz w:val="20"/>
              <w:szCs w:val="20"/>
            </w:rPr>
          </w:pPr>
          <w:hyperlink w:anchor="_Toc252366285" w:history="1">
            <w:r w:rsidR="00F57526" w:rsidRPr="00B612CD">
              <w:rPr>
                <w:rStyle w:val="Lienhypertexte"/>
                <w:rFonts w:ascii="Times New Roman" w:hAnsi="Times New Roman"/>
                <w:noProof/>
                <w:sz w:val="20"/>
                <w:szCs w:val="20"/>
              </w:rPr>
              <w:t>V.</w:t>
            </w:r>
            <w:r w:rsidR="00F57526" w:rsidRPr="00B612CD">
              <w:rPr>
                <w:noProof/>
                <w:sz w:val="20"/>
                <w:szCs w:val="20"/>
              </w:rPr>
              <w:tab/>
            </w:r>
            <w:r w:rsidR="00F57526" w:rsidRPr="00B612CD">
              <w:rPr>
                <w:rStyle w:val="Lienhypertexte"/>
                <w:rFonts w:ascii="Times New Roman" w:hAnsi="Times New Roman"/>
                <w:noProof/>
                <w:sz w:val="20"/>
                <w:szCs w:val="20"/>
              </w:rPr>
              <w:t>Matrice des corrélations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_Toc252366285 \h </w:instrText>
            </w:r>
            <w:r w:rsidRPr="00B612CD">
              <w:rPr>
                <w:noProof/>
                <w:webHidden/>
                <w:sz w:val="20"/>
                <w:szCs w:val="20"/>
              </w:rPr>
            </w:r>
            <w:r w:rsidRPr="00B612CD">
              <w:rPr>
                <w:noProof/>
                <w:webHidden/>
                <w:sz w:val="20"/>
                <w:szCs w:val="20"/>
              </w:rPr>
              <w:fldChar w:fldCharType="separate"/>
            </w:r>
            <w:r w:rsidR="00A860F6">
              <w:rPr>
                <w:noProof/>
                <w:webHidden/>
                <w:sz w:val="20"/>
                <w:szCs w:val="20"/>
              </w:rPr>
              <w:t>94</w:t>
            </w:r>
            <w:r w:rsidRPr="00B612CD">
              <w:rPr>
                <w:noProof/>
                <w:webHidden/>
                <w:sz w:val="20"/>
                <w:szCs w:val="20"/>
              </w:rPr>
              <w:fldChar w:fldCharType="end"/>
            </w:r>
          </w:hyperlink>
        </w:p>
        <w:p w:rsidR="00F57526" w:rsidRPr="00B612CD" w:rsidRDefault="00811D6A" w:rsidP="00B612CD">
          <w:pPr>
            <w:pStyle w:val="TM1"/>
            <w:tabs>
              <w:tab w:val="left" w:pos="660"/>
              <w:tab w:val="right" w:leader="dot" w:pos="9771"/>
            </w:tabs>
            <w:spacing w:line="240" w:lineRule="auto"/>
            <w:rPr>
              <w:noProof/>
              <w:sz w:val="20"/>
              <w:szCs w:val="20"/>
            </w:rPr>
          </w:pPr>
          <w:hyperlink w:anchor="_Toc252366286" w:history="1">
            <w:r w:rsidR="00F57526" w:rsidRPr="00B612CD">
              <w:rPr>
                <w:rStyle w:val="Lienhypertexte"/>
                <w:rFonts w:ascii="Times New Roman" w:hAnsi="Times New Roman"/>
                <w:noProof/>
                <w:sz w:val="20"/>
                <w:szCs w:val="20"/>
              </w:rPr>
              <w:t>VI.</w:t>
            </w:r>
            <w:r w:rsidR="00F57526" w:rsidRPr="00B612CD">
              <w:rPr>
                <w:noProof/>
                <w:sz w:val="20"/>
                <w:szCs w:val="20"/>
              </w:rPr>
              <w:tab/>
            </w:r>
            <w:r w:rsidR="00F57526" w:rsidRPr="00B612CD">
              <w:rPr>
                <w:rStyle w:val="Lienhypertexte"/>
                <w:rFonts w:ascii="Times New Roman" w:hAnsi="Times New Roman"/>
                <w:noProof/>
                <w:sz w:val="20"/>
                <w:szCs w:val="20"/>
              </w:rPr>
              <w:t>Analyse en composantes principales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_Toc252366286 \h </w:instrText>
            </w:r>
            <w:r w:rsidRPr="00B612CD">
              <w:rPr>
                <w:noProof/>
                <w:webHidden/>
                <w:sz w:val="20"/>
                <w:szCs w:val="20"/>
              </w:rPr>
            </w:r>
            <w:r w:rsidRPr="00B612CD">
              <w:rPr>
                <w:noProof/>
                <w:webHidden/>
                <w:sz w:val="20"/>
                <w:szCs w:val="20"/>
              </w:rPr>
              <w:fldChar w:fldCharType="separate"/>
            </w:r>
            <w:r w:rsidR="00A860F6">
              <w:rPr>
                <w:noProof/>
                <w:webHidden/>
                <w:sz w:val="20"/>
                <w:szCs w:val="20"/>
              </w:rPr>
              <w:t>96</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noProof/>
              <w:sz w:val="20"/>
              <w:szCs w:val="20"/>
            </w:rPr>
          </w:pPr>
          <w:hyperlink w:anchor="_Toc252366287" w:history="1">
            <w:r w:rsidR="00F57526" w:rsidRPr="00B612CD">
              <w:rPr>
                <w:rStyle w:val="Lienhypertexte"/>
                <w:rFonts w:asciiTheme="majorBidi" w:hAnsiTheme="majorBidi" w:cstheme="majorBidi"/>
                <w:b/>
                <w:bCs/>
                <w:noProof/>
                <w:sz w:val="20"/>
                <w:szCs w:val="20"/>
              </w:rPr>
              <w:t xml:space="preserve">Chapitre IV : </w:t>
            </w:r>
            <w:r w:rsidR="00AE116C" w:rsidRPr="00B612CD">
              <w:rPr>
                <w:rStyle w:val="Lienhypertexte"/>
                <w:rFonts w:asciiTheme="majorBidi" w:hAnsiTheme="majorBidi" w:cstheme="majorBidi"/>
                <w:b/>
                <w:bCs/>
                <w:noProof/>
                <w:sz w:val="20"/>
                <w:szCs w:val="20"/>
              </w:rPr>
              <w:t>Discus</w:t>
            </w:r>
            <w:r w:rsidR="00EB09D5">
              <w:rPr>
                <w:rStyle w:val="Lienhypertexte"/>
                <w:rFonts w:asciiTheme="majorBidi" w:hAnsiTheme="majorBidi" w:cstheme="majorBidi"/>
                <w:b/>
                <w:bCs/>
                <w:noProof/>
                <w:sz w:val="20"/>
                <w:szCs w:val="20"/>
              </w:rPr>
              <w:t>s</w:t>
            </w:r>
            <w:r w:rsidR="00AE116C" w:rsidRPr="00B612CD">
              <w:rPr>
                <w:rStyle w:val="Lienhypertexte"/>
                <w:rFonts w:asciiTheme="majorBidi" w:hAnsiTheme="majorBidi" w:cstheme="majorBidi"/>
                <w:b/>
                <w:bCs/>
                <w:noProof/>
                <w:sz w:val="20"/>
                <w:szCs w:val="20"/>
              </w:rPr>
              <w:t>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_Toc252366287 \h </w:instrText>
            </w:r>
            <w:r w:rsidRPr="00B612CD">
              <w:rPr>
                <w:noProof/>
                <w:webHidden/>
                <w:sz w:val="20"/>
                <w:szCs w:val="20"/>
              </w:rPr>
            </w:r>
            <w:r w:rsidRPr="00B612CD">
              <w:rPr>
                <w:noProof/>
                <w:webHidden/>
                <w:sz w:val="20"/>
                <w:szCs w:val="20"/>
              </w:rPr>
              <w:fldChar w:fldCharType="separate"/>
            </w:r>
            <w:r w:rsidR="00A860F6">
              <w:rPr>
                <w:noProof/>
                <w:webHidden/>
                <w:sz w:val="20"/>
                <w:szCs w:val="20"/>
              </w:rPr>
              <w:t>100</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noProof/>
              <w:sz w:val="20"/>
              <w:szCs w:val="20"/>
            </w:rPr>
          </w:pPr>
          <w:hyperlink w:anchor="_Toc252366288" w:history="1">
            <w:r w:rsidR="00F57526" w:rsidRPr="00B612CD">
              <w:rPr>
                <w:rStyle w:val="Lienhypertexte"/>
                <w:rFonts w:ascii="Times New Roman" w:hAnsi="Times New Roman"/>
                <w:noProof/>
                <w:sz w:val="20"/>
                <w:szCs w:val="20"/>
              </w:rPr>
              <w:t>FENUGREC (</w:t>
            </w:r>
            <w:r w:rsidR="00F57526" w:rsidRPr="00B612CD">
              <w:rPr>
                <w:rStyle w:val="Lienhypertexte"/>
                <w:rFonts w:ascii="Times New Roman" w:hAnsi="Times New Roman"/>
                <w:i/>
                <w:iCs/>
                <w:noProof/>
                <w:sz w:val="20"/>
                <w:szCs w:val="20"/>
              </w:rPr>
              <w:t>Trigonella foenum graecum</w:t>
            </w:r>
            <w:r w:rsidR="00F57526" w:rsidRPr="00B612CD">
              <w:rPr>
                <w:rStyle w:val="Lienhypertexte"/>
                <w:rFonts w:ascii="Times New Roman" w:hAnsi="Times New Roman"/>
                <w:noProof/>
                <w:sz w:val="20"/>
                <w:szCs w:val="20"/>
              </w:rPr>
              <w:t xml:space="preserve"> L.)</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_Toc252366288 \h </w:instrText>
            </w:r>
            <w:r w:rsidRPr="00B612CD">
              <w:rPr>
                <w:noProof/>
                <w:webHidden/>
                <w:sz w:val="20"/>
                <w:szCs w:val="20"/>
              </w:rPr>
            </w:r>
            <w:r w:rsidRPr="00B612CD">
              <w:rPr>
                <w:noProof/>
                <w:webHidden/>
                <w:sz w:val="20"/>
                <w:szCs w:val="20"/>
              </w:rPr>
              <w:fldChar w:fldCharType="separate"/>
            </w:r>
            <w:r w:rsidR="00A860F6">
              <w:rPr>
                <w:noProof/>
                <w:webHidden/>
                <w:sz w:val="20"/>
                <w:szCs w:val="20"/>
              </w:rPr>
              <w:t>100</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noProof/>
              <w:sz w:val="20"/>
              <w:szCs w:val="20"/>
            </w:rPr>
          </w:pPr>
          <w:hyperlink w:anchor="_Toc252366289" w:history="1">
            <w:r w:rsidR="00F57526" w:rsidRPr="00B612CD">
              <w:rPr>
                <w:rStyle w:val="Lienhypertexte"/>
                <w:rFonts w:ascii="Times New Roman" w:hAnsi="Times New Roman"/>
                <w:noProof/>
                <w:sz w:val="20"/>
                <w:szCs w:val="20"/>
              </w:rPr>
              <w:t>CARTHAME (</w:t>
            </w:r>
            <w:r w:rsidR="00F57526" w:rsidRPr="00B612CD">
              <w:rPr>
                <w:rStyle w:val="Lienhypertexte"/>
                <w:rFonts w:ascii="Times New Roman" w:hAnsi="Times New Roman"/>
                <w:i/>
                <w:iCs/>
                <w:noProof/>
                <w:sz w:val="20"/>
                <w:szCs w:val="20"/>
              </w:rPr>
              <w:t>Carthamus tinctorius</w:t>
            </w:r>
            <w:r w:rsidR="00F57526" w:rsidRPr="00B612CD">
              <w:rPr>
                <w:rStyle w:val="Lienhypertexte"/>
                <w:rFonts w:ascii="Times New Roman" w:hAnsi="Times New Roman"/>
                <w:noProof/>
                <w:sz w:val="20"/>
                <w:szCs w:val="20"/>
              </w:rPr>
              <w:t xml:space="preserve"> L.)</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_Toc252366289 \h </w:instrText>
            </w:r>
            <w:r w:rsidRPr="00B612CD">
              <w:rPr>
                <w:noProof/>
                <w:webHidden/>
                <w:sz w:val="20"/>
                <w:szCs w:val="20"/>
              </w:rPr>
            </w:r>
            <w:r w:rsidRPr="00B612CD">
              <w:rPr>
                <w:noProof/>
                <w:webHidden/>
                <w:sz w:val="20"/>
                <w:szCs w:val="20"/>
              </w:rPr>
              <w:fldChar w:fldCharType="separate"/>
            </w:r>
            <w:r w:rsidR="00A860F6">
              <w:rPr>
                <w:noProof/>
                <w:webHidden/>
                <w:sz w:val="20"/>
                <w:szCs w:val="20"/>
              </w:rPr>
              <w:t>103</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noProof/>
              <w:sz w:val="20"/>
              <w:szCs w:val="20"/>
            </w:rPr>
          </w:pPr>
          <w:hyperlink w:anchor="_Toc252366290" w:history="1">
            <w:r w:rsidR="00F57526" w:rsidRPr="00B612CD">
              <w:rPr>
                <w:rStyle w:val="Lienhypertexte"/>
                <w:rFonts w:ascii="Times New Roman" w:hAnsi="Times New Roman"/>
                <w:noProof/>
                <w:sz w:val="20"/>
                <w:szCs w:val="20"/>
              </w:rPr>
              <w:t>NEGELLE (</w:t>
            </w:r>
            <w:r w:rsidR="00F57526" w:rsidRPr="00B612CD">
              <w:rPr>
                <w:rStyle w:val="Lienhypertexte"/>
                <w:rFonts w:ascii="Times New Roman" w:hAnsi="Times New Roman"/>
                <w:i/>
                <w:iCs/>
                <w:noProof/>
                <w:sz w:val="20"/>
                <w:szCs w:val="20"/>
              </w:rPr>
              <w:t>Nigella sativa</w:t>
            </w:r>
            <w:r w:rsidR="00F57526" w:rsidRPr="00B612CD">
              <w:rPr>
                <w:rStyle w:val="Lienhypertexte"/>
                <w:rFonts w:ascii="Times New Roman" w:hAnsi="Times New Roman"/>
                <w:noProof/>
                <w:sz w:val="20"/>
                <w:szCs w:val="20"/>
              </w:rPr>
              <w:t xml:space="preserve"> L.)</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_Toc252366290 \h </w:instrText>
            </w:r>
            <w:r w:rsidRPr="00B612CD">
              <w:rPr>
                <w:noProof/>
                <w:webHidden/>
                <w:sz w:val="20"/>
                <w:szCs w:val="20"/>
              </w:rPr>
            </w:r>
            <w:r w:rsidRPr="00B612CD">
              <w:rPr>
                <w:noProof/>
                <w:webHidden/>
                <w:sz w:val="20"/>
                <w:szCs w:val="20"/>
              </w:rPr>
              <w:fldChar w:fldCharType="separate"/>
            </w:r>
            <w:r w:rsidR="00A860F6">
              <w:rPr>
                <w:noProof/>
                <w:webHidden/>
                <w:sz w:val="20"/>
                <w:szCs w:val="20"/>
              </w:rPr>
              <w:t>106</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b/>
              <w:bCs/>
              <w:noProof/>
              <w:sz w:val="20"/>
              <w:szCs w:val="20"/>
            </w:rPr>
          </w:pPr>
          <w:hyperlink w:anchor="_Toc252366291" w:history="1">
            <w:r w:rsidR="00F57526" w:rsidRPr="00B612CD">
              <w:rPr>
                <w:rStyle w:val="Lienhypertexte"/>
                <w:rFonts w:asciiTheme="majorBidi" w:hAnsiTheme="majorBidi" w:cstheme="majorBidi"/>
                <w:b/>
                <w:bCs/>
                <w:noProof/>
                <w:sz w:val="20"/>
                <w:szCs w:val="20"/>
              </w:rPr>
              <w:t>Conclusion</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_Toc252366291 \h </w:instrText>
            </w:r>
            <w:r w:rsidRPr="00B612CD">
              <w:rPr>
                <w:noProof/>
                <w:webHidden/>
                <w:sz w:val="20"/>
                <w:szCs w:val="20"/>
              </w:rPr>
            </w:r>
            <w:r w:rsidRPr="00B612CD">
              <w:rPr>
                <w:noProof/>
                <w:webHidden/>
                <w:sz w:val="20"/>
                <w:szCs w:val="20"/>
              </w:rPr>
              <w:fldChar w:fldCharType="separate"/>
            </w:r>
            <w:r w:rsidR="00A860F6">
              <w:rPr>
                <w:noProof/>
                <w:webHidden/>
                <w:sz w:val="20"/>
                <w:szCs w:val="20"/>
              </w:rPr>
              <w:t>109</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b/>
              <w:bCs/>
              <w:noProof/>
              <w:sz w:val="20"/>
              <w:szCs w:val="20"/>
            </w:rPr>
          </w:pPr>
          <w:hyperlink w:anchor="_Toc252366292" w:history="1">
            <w:r w:rsidR="00F57526" w:rsidRPr="00B612CD">
              <w:rPr>
                <w:rStyle w:val="Lienhypertexte"/>
                <w:rFonts w:asciiTheme="majorBidi" w:hAnsiTheme="majorBidi" w:cstheme="majorBidi"/>
                <w:b/>
                <w:bCs/>
                <w:noProof/>
                <w:sz w:val="20"/>
                <w:szCs w:val="20"/>
              </w:rPr>
              <w:t>Bibliographies</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_Toc252366292 \h </w:instrText>
            </w:r>
            <w:r w:rsidRPr="00B612CD">
              <w:rPr>
                <w:noProof/>
                <w:webHidden/>
                <w:sz w:val="20"/>
                <w:szCs w:val="20"/>
              </w:rPr>
            </w:r>
            <w:r w:rsidRPr="00B612CD">
              <w:rPr>
                <w:noProof/>
                <w:webHidden/>
                <w:sz w:val="20"/>
                <w:szCs w:val="20"/>
              </w:rPr>
              <w:fldChar w:fldCharType="separate"/>
            </w:r>
            <w:r w:rsidR="00A860F6">
              <w:rPr>
                <w:noProof/>
                <w:webHidden/>
                <w:sz w:val="20"/>
                <w:szCs w:val="20"/>
              </w:rPr>
              <w:t>111</w:t>
            </w:r>
            <w:r w:rsidRPr="00B612CD">
              <w:rPr>
                <w:noProof/>
                <w:webHidden/>
                <w:sz w:val="20"/>
                <w:szCs w:val="20"/>
              </w:rPr>
              <w:fldChar w:fldCharType="end"/>
            </w:r>
          </w:hyperlink>
        </w:p>
        <w:p w:rsidR="00F57526" w:rsidRPr="00B612CD" w:rsidRDefault="00811D6A" w:rsidP="00B612CD">
          <w:pPr>
            <w:pStyle w:val="TM1"/>
            <w:tabs>
              <w:tab w:val="right" w:leader="dot" w:pos="9771"/>
            </w:tabs>
            <w:spacing w:line="240" w:lineRule="auto"/>
            <w:rPr>
              <w:b/>
              <w:bCs/>
              <w:noProof/>
              <w:sz w:val="20"/>
              <w:szCs w:val="20"/>
            </w:rPr>
          </w:pPr>
          <w:hyperlink w:anchor="_Toc252366293" w:history="1">
            <w:r w:rsidR="00F57526" w:rsidRPr="00B612CD">
              <w:rPr>
                <w:rStyle w:val="Lienhypertexte"/>
                <w:rFonts w:asciiTheme="majorBidi" w:hAnsiTheme="majorBidi" w:cstheme="majorBidi"/>
                <w:b/>
                <w:bCs/>
                <w:noProof/>
                <w:sz w:val="20"/>
                <w:szCs w:val="20"/>
              </w:rPr>
              <w:t>Annexe</w:t>
            </w:r>
            <w:r w:rsidR="00F57526" w:rsidRPr="00B612CD">
              <w:rPr>
                <w:noProof/>
                <w:webHidden/>
                <w:sz w:val="20"/>
                <w:szCs w:val="20"/>
              </w:rPr>
              <w:tab/>
            </w:r>
            <w:r w:rsidRPr="00B612CD">
              <w:rPr>
                <w:noProof/>
                <w:webHidden/>
                <w:sz w:val="20"/>
                <w:szCs w:val="20"/>
              </w:rPr>
              <w:fldChar w:fldCharType="begin"/>
            </w:r>
            <w:r w:rsidR="00F57526" w:rsidRPr="00B612CD">
              <w:rPr>
                <w:noProof/>
                <w:webHidden/>
                <w:sz w:val="20"/>
                <w:szCs w:val="20"/>
              </w:rPr>
              <w:instrText xml:space="preserve"> PAGEREF _Toc252366293 \h </w:instrText>
            </w:r>
            <w:r w:rsidRPr="00B612CD">
              <w:rPr>
                <w:noProof/>
                <w:webHidden/>
                <w:sz w:val="20"/>
                <w:szCs w:val="20"/>
              </w:rPr>
            </w:r>
            <w:r w:rsidRPr="00B612CD">
              <w:rPr>
                <w:noProof/>
                <w:webHidden/>
                <w:sz w:val="20"/>
                <w:szCs w:val="20"/>
              </w:rPr>
              <w:fldChar w:fldCharType="separate"/>
            </w:r>
            <w:r w:rsidR="00A860F6">
              <w:rPr>
                <w:noProof/>
                <w:webHidden/>
                <w:sz w:val="20"/>
                <w:szCs w:val="20"/>
              </w:rPr>
              <w:t>116</w:t>
            </w:r>
            <w:r w:rsidRPr="00B612CD">
              <w:rPr>
                <w:noProof/>
                <w:webHidden/>
                <w:sz w:val="20"/>
                <w:szCs w:val="20"/>
              </w:rPr>
              <w:fldChar w:fldCharType="end"/>
            </w:r>
          </w:hyperlink>
        </w:p>
        <w:p w:rsidR="00F57526" w:rsidRPr="00F1526F" w:rsidRDefault="00811D6A" w:rsidP="00F1526F">
          <w:pPr>
            <w:spacing w:line="240" w:lineRule="auto"/>
            <w:rPr>
              <w:sz w:val="20"/>
              <w:szCs w:val="20"/>
            </w:rPr>
          </w:pPr>
          <w:r w:rsidRPr="00F1526F">
            <w:rPr>
              <w:sz w:val="20"/>
              <w:szCs w:val="20"/>
            </w:rPr>
            <w:fldChar w:fldCharType="end"/>
          </w:r>
        </w:p>
      </w:sdtContent>
    </w:sdt>
    <w:p w:rsidR="00A86BBF" w:rsidRPr="00F1526F" w:rsidRDefault="00A86BBF" w:rsidP="00F1526F">
      <w:pPr>
        <w:pStyle w:val="Titre"/>
        <w:spacing w:line="240" w:lineRule="auto"/>
        <w:jc w:val="left"/>
        <w:rPr>
          <w:sz w:val="20"/>
          <w:szCs w:val="20"/>
        </w:rPr>
      </w:pPr>
    </w:p>
    <w:p w:rsidR="00F57526" w:rsidRPr="00F1526F" w:rsidRDefault="00F57526" w:rsidP="00F1526F">
      <w:pPr>
        <w:spacing w:line="240" w:lineRule="auto"/>
        <w:rPr>
          <w:sz w:val="20"/>
          <w:szCs w:val="20"/>
        </w:rPr>
      </w:pPr>
    </w:p>
    <w:p w:rsidR="00F57526" w:rsidRDefault="00F57526" w:rsidP="00F57526"/>
    <w:p w:rsidR="005F6833" w:rsidRDefault="005F6833" w:rsidP="00B824A2"/>
    <w:p w:rsidR="001D6B71" w:rsidRDefault="001D6B71" w:rsidP="00B824A2"/>
    <w:p w:rsidR="001D6B71" w:rsidRDefault="001D6B71" w:rsidP="00B824A2"/>
    <w:p w:rsidR="001D6B71" w:rsidRDefault="001D6B71" w:rsidP="00B824A2"/>
    <w:p w:rsidR="001D6B71" w:rsidRDefault="001D6B71" w:rsidP="00B824A2"/>
    <w:p w:rsidR="00B612CD" w:rsidRDefault="00B612CD" w:rsidP="00B824A2"/>
    <w:p w:rsidR="00B612CD" w:rsidRDefault="00B612CD" w:rsidP="00B824A2"/>
    <w:p w:rsidR="00B612CD" w:rsidRDefault="00B612CD" w:rsidP="00B824A2"/>
    <w:p w:rsidR="00B612CD" w:rsidRDefault="00B612CD" w:rsidP="00B824A2"/>
    <w:p w:rsidR="00B612CD" w:rsidRDefault="00B612CD" w:rsidP="00B824A2"/>
    <w:p w:rsidR="00B612CD" w:rsidRDefault="00B612CD" w:rsidP="00B824A2"/>
    <w:p w:rsidR="001D6B71" w:rsidRDefault="001D6B71" w:rsidP="00B824A2"/>
    <w:p w:rsidR="001D6B71" w:rsidRDefault="001D6B71" w:rsidP="00B824A2"/>
    <w:p w:rsidR="005A5587" w:rsidRDefault="005A5587" w:rsidP="00B824A2"/>
    <w:p w:rsidR="005A5587" w:rsidRDefault="005A5587" w:rsidP="00B824A2"/>
    <w:p w:rsidR="005A5587" w:rsidRDefault="005A5587" w:rsidP="00B824A2"/>
    <w:p w:rsidR="00B824A2" w:rsidRDefault="003F0C62" w:rsidP="003F0C62">
      <w:pPr>
        <w:pStyle w:val="Titre"/>
        <w:spacing w:line="360" w:lineRule="auto"/>
        <w:rPr>
          <w:rFonts w:asciiTheme="majorBidi" w:hAnsiTheme="majorBidi" w:cstheme="majorBidi"/>
          <w:sz w:val="28"/>
          <w:szCs w:val="28"/>
        </w:rPr>
      </w:pPr>
      <w:bookmarkStart w:id="0" w:name="_Toc252365348"/>
      <w:bookmarkStart w:id="1" w:name="_Toc252365607"/>
      <w:bookmarkStart w:id="2" w:name="_Toc252366152"/>
      <w:r w:rsidRPr="003F0C62">
        <w:rPr>
          <w:rFonts w:asciiTheme="majorBidi" w:hAnsiTheme="majorBidi" w:cstheme="majorBidi"/>
          <w:sz w:val="28"/>
          <w:szCs w:val="28"/>
        </w:rPr>
        <w:t>Liste des tableaux</w:t>
      </w:r>
      <w:bookmarkEnd w:id="0"/>
      <w:bookmarkEnd w:id="1"/>
      <w:bookmarkEnd w:id="2"/>
    </w:p>
    <w:p w:rsidR="003F0C62" w:rsidRPr="00B612CD" w:rsidRDefault="00811D6A" w:rsidP="00B612CD">
      <w:pPr>
        <w:pStyle w:val="Tabledesillustrations"/>
        <w:tabs>
          <w:tab w:val="right" w:leader="dot" w:pos="9771"/>
        </w:tabs>
        <w:spacing w:line="240" w:lineRule="auto"/>
        <w:rPr>
          <w:noProof/>
          <w:sz w:val="20"/>
          <w:szCs w:val="20"/>
        </w:rPr>
      </w:pPr>
      <w:r w:rsidRPr="00811D6A">
        <w:rPr>
          <w:sz w:val="24"/>
          <w:szCs w:val="24"/>
        </w:rPr>
        <w:fldChar w:fldCharType="begin"/>
      </w:r>
      <w:r w:rsidR="003F0C62" w:rsidRPr="008619DB">
        <w:rPr>
          <w:sz w:val="24"/>
          <w:szCs w:val="24"/>
        </w:rPr>
        <w:instrText xml:space="preserve"> TOC \h \z \c "Tableau" </w:instrText>
      </w:r>
      <w:r w:rsidRPr="00811D6A">
        <w:rPr>
          <w:sz w:val="24"/>
          <w:szCs w:val="24"/>
        </w:rPr>
        <w:fldChar w:fldCharType="separate"/>
      </w:r>
      <w:hyperlink w:anchor="_Toc252195091" w:history="1">
        <w:r w:rsidR="00324213" w:rsidRPr="00B612CD">
          <w:rPr>
            <w:rStyle w:val="Lienhypertexte"/>
            <w:rFonts w:asciiTheme="majorBidi" w:hAnsiTheme="majorBidi" w:cstheme="majorBidi"/>
            <w:noProof/>
            <w:sz w:val="20"/>
            <w:szCs w:val="20"/>
          </w:rPr>
          <w:t>Tableau 1</w:t>
        </w:r>
        <w:r w:rsidR="00335AAA" w:rsidRPr="00B612CD">
          <w:rPr>
            <w:rStyle w:val="Lienhypertexte"/>
            <w:rFonts w:asciiTheme="majorBidi" w:hAnsiTheme="majorBidi" w:cstheme="majorBidi"/>
            <w:noProof/>
            <w:sz w:val="20"/>
            <w:szCs w:val="20"/>
          </w:rPr>
          <w:t xml:space="preserve">: Analyses </w:t>
        </w:r>
        <w:r w:rsidR="003F0C62" w:rsidRPr="00B612CD">
          <w:rPr>
            <w:rStyle w:val="Lienhypertexte"/>
            <w:rFonts w:asciiTheme="majorBidi" w:hAnsiTheme="majorBidi" w:cstheme="majorBidi"/>
            <w:noProof/>
            <w:sz w:val="20"/>
            <w:szCs w:val="20"/>
          </w:rPr>
          <w:t>chimiques du sol</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_Toc252195091 \h </w:instrText>
        </w:r>
        <w:r w:rsidRPr="00B612CD">
          <w:rPr>
            <w:noProof/>
            <w:webHidden/>
            <w:sz w:val="20"/>
            <w:szCs w:val="20"/>
          </w:rPr>
        </w:r>
        <w:r w:rsidRPr="00B612CD">
          <w:rPr>
            <w:noProof/>
            <w:webHidden/>
            <w:sz w:val="20"/>
            <w:szCs w:val="20"/>
          </w:rPr>
          <w:fldChar w:fldCharType="separate"/>
        </w:r>
        <w:r w:rsidR="00A860F6">
          <w:rPr>
            <w:noProof/>
            <w:webHidden/>
            <w:sz w:val="20"/>
            <w:szCs w:val="20"/>
          </w:rPr>
          <w:t>21</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92" w:history="1">
        <w:r w:rsidR="00324213" w:rsidRPr="00B612CD">
          <w:rPr>
            <w:rStyle w:val="Lienhypertexte"/>
            <w:rFonts w:asciiTheme="majorBidi" w:hAnsiTheme="majorBidi" w:cstheme="majorBidi"/>
            <w:noProof/>
            <w:sz w:val="20"/>
            <w:szCs w:val="20"/>
          </w:rPr>
          <w:t>Tabl</w:t>
        </w:r>
        <w:r w:rsidR="00192810" w:rsidRPr="00B612CD">
          <w:rPr>
            <w:rStyle w:val="Lienhypertexte"/>
            <w:rFonts w:asciiTheme="majorBidi" w:hAnsiTheme="majorBidi" w:cstheme="majorBidi"/>
            <w:noProof/>
            <w:sz w:val="20"/>
            <w:szCs w:val="20"/>
          </w:rPr>
          <w:t>eau</w:t>
        </w:r>
        <w:r w:rsidR="00324213" w:rsidRPr="00B612CD">
          <w:rPr>
            <w:rStyle w:val="Lienhypertexte"/>
            <w:rFonts w:asciiTheme="majorBidi" w:hAnsiTheme="majorBidi" w:cstheme="majorBidi"/>
            <w:noProof/>
            <w:sz w:val="20"/>
            <w:szCs w:val="20"/>
          </w:rPr>
          <w:t xml:space="preserve"> 2</w:t>
        </w:r>
        <w:r w:rsidR="003F0C62" w:rsidRPr="00B612CD">
          <w:rPr>
            <w:rStyle w:val="Lienhypertexte"/>
            <w:rFonts w:asciiTheme="majorBidi" w:hAnsiTheme="majorBidi" w:cstheme="majorBidi"/>
            <w:noProof/>
            <w:sz w:val="20"/>
            <w:szCs w:val="20"/>
          </w:rPr>
          <w:t xml:space="preserve"> : Provenances des différentes populations de </w:t>
        </w:r>
        <w:r w:rsidR="003F0C62" w:rsidRPr="00B612CD">
          <w:rPr>
            <w:rStyle w:val="Lienhypertexte"/>
            <w:rFonts w:asciiTheme="majorBidi" w:hAnsiTheme="majorBidi" w:cstheme="majorBidi"/>
            <w:i/>
            <w:iCs/>
            <w:noProof/>
            <w:sz w:val="20"/>
            <w:szCs w:val="20"/>
          </w:rPr>
          <w:t>Trigonella foenum graecum</w:t>
        </w:r>
        <w:r w:rsidR="003F0C62" w:rsidRPr="00B612CD">
          <w:rPr>
            <w:rStyle w:val="Lienhypertexte"/>
            <w:rFonts w:asciiTheme="majorBidi" w:hAnsiTheme="majorBidi" w:cstheme="majorBidi"/>
            <w:noProof/>
            <w:sz w:val="20"/>
            <w:szCs w:val="20"/>
          </w:rPr>
          <w:t xml:space="preserve"> L.</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_Toc252195092 \h </w:instrText>
        </w:r>
        <w:r w:rsidRPr="00B612CD">
          <w:rPr>
            <w:noProof/>
            <w:webHidden/>
            <w:sz w:val="20"/>
            <w:szCs w:val="20"/>
          </w:rPr>
        </w:r>
        <w:r w:rsidRPr="00B612CD">
          <w:rPr>
            <w:noProof/>
            <w:webHidden/>
            <w:sz w:val="20"/>
            <w:szCs w:val="20"/>
          </w:rPr>
          <w:fldChar w:fldCharType="separate"/>
        </w:r>
        <w:r w:rsidR="00A860F6">
          <w:rPr>
            <w:noProof/>
            <w:webHidden/>
            <w:sz w:val="20"/>
            <w:szCs w:val="20"/>
          </w:rPr>
          <w:t>24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93" w:history="1">
        <w:r w:rsidR="00324213" w:rsidRPr="00B612CD">
          <w:rPr>
            <w:rStyle w:val="Lienhypertexte"/>
            <w:rFonts w:asciiTheme="majorBidi" w:hAnsiTheme="majorBidi" w:cstheme="majorBidi"/>
            <w:noProof/>
            <w:sz w:val="20"/>
            <w:szCs w:val="20"/>
          </w:rPr>
          <w:t>Tab</w:t>
        </w:r>
        <w:r w:rsidR="00192810" w:rsidRPr="00B612CD">
          <w:rPr>
            <w:rStyle w:val="Lienhypertexte"/>
            <w:rFonts w:asciiTheme="majorBidi" w:hAnsiTheme="majorBidi" w:cstheme="majorBidi"/>
            <w:noProof/>
            <w:sz w:val="20"/>
            <w:szCs w:val="20"/>
          </w:rPr>
          <w:t>leau</w:t>
        </w:r>
        <w:r w:rsidR="00324213" w:rsidRPr="00B612CD">
          <w:rPr>
            <w:rStyle w:val="Lienhypertexte"/>
            <w:rFonts w:asciiTheme="majorBidi" w:hAnsiTheme="majorBidi" w:cstheme="majorBidi"/>
            <w:noProof/>
            <w:sz w:val="20"/>
            <w:szCs w:val="20"/>
          </w:rPr>
          <w:t xml:space="preserve"> 3</w:t>
        </w:r>
        <w:r w:rsidR="003F0C62" w:rsidRPr="00B612CD">
          <w:rPr>
            <w:rStyle w:val="Lienhypertexte"/>
            <w:rFonts w:asciiTheme="majorBidi" w:hAnsiTheme="majorBidi" w:cstheme="majorBidi"/>
            <w:noProof/>
            <w:sz w:val="20"/>
            <w:szCs w:val="20"/>
          </w:rPr>
          <w:t xml:space="preserve"> :Provenances des différentes populations de </w:t>
        </w:r>
        <w:r w:rsidR="003F0C62" w:rsidRPr="00B612CD">
          <w:rPr>
            <w:rStyle w:val="Lienhypertexte"/>
            <w:rFonts w:asciiTheme="majorBidi" w:hAnsiTheme="majorBidi" w:cstheme="majorBidi"/>
            <w:i/>
            <w:iCs/>
            <w:noProof/>
            <w:sz w:val="20"/>
            <w:szCs w:val="20"/>
          </w:rPr>
          <w:t>Carthamus tinctorius</w:t>
        </w:r>
        <w:r w:rsidR="003F0C62" w:rsidRPr="00B612CD">
          <w:rPr>
            <w:rStyle w:val="Lienhypertexte"/>
            <w:rFonts w:asciiTheme="majorBidi" w:hAnsiTheme="majorBidi" w:cstheme="majorBidi"/>
            <w:noProof/>
            <w:sz w:val="20"/>
            <w:szCs w:val="20"/>
          </w:rPr>
          <w:t xml:space="preserve"> L.</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_Toc252195093 \h </w:instrText>
        </w:r>
        <w:r w:rsidRPr="00B612CD">
          <w:rPr>
            <w:noProof/>
            <w:webHidden/>
            <w:sz w:val="20"/>
            <w:szCs w:val="20"/>
          </w:rPr>
        </w:r>
        <w:r w:rsidRPr="00B612CD">
          <w:rPr>
            <w:noProof/>
            <w:webHidden/>
            <w:sz w:val="20"/>
            <w:szCs w:val="20"/>
          </w:rPr>
          <w:fldChar w:fldCharType="separate"/>
        </w:r>
        <w:r w:rsidR="00A860F6">
          <w:rPr>
            <w:noProof/>
            <w:webHidden/>
            <w:sz w:val="20"/>
            <w:szCs w:val="20"/>
          </w:rPr>
          <w:t>24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94" w:history="1">
        <w:r w:rsidR="00324213" w:rsidRPr="00B612CD">
          <w:rPr>
            <w:rStyle w:val="Lienhypertexte"/>
            <w:rFonts w:asciiTheme="majorBidi" w:hAnsiTheme="majorBidi" w:cstheme="majorBidi"/>
            <w:noProof/>
            <w:sz w:val="20"/>
            <w:szCs w:val="20"/>
          </w:rPr>
          <w:t>Tab</w:t>
        </w:r>
        <w:r w:rsidR="00192810" w:rsidRPr="00B612CD">
          <w:rPr>
            <w:rStyle w:val="Lienhypertexte"/>
            <w:rFonts w:asciiTheme="majorBidi" w:hAnsiTheme="majorBidi" w:cstheme="majorBidi"/>
            <w:noProof/>
            <w:sz w:val="20"/>
            <w:szCs w:val="20"/>
          </w:rPr>
          <w:t>leau</w:t>
        </w:r>
        <w:r w:rsidR="00324213" w:rsidRPr="00B612CD">
          <w:rPr>
            <w:rStyle w:val="Lienhypertexte"/>
            <w:rFonts w:asciiTheme="majorBidi" w:hAnsiTheme="majorBidi" w:cstheme="majorBidi"/>
            <w:noProof/>
            <w:sz w:val="20"/>
            <w:szCs w:val="20"/>
          </w:rPr>
          <w:t xml:space="preserve"> 4</w:t>
        </w:r>
        <w:r w:rsidR="003F0C62" w:rsidRPr="00B612CD">
          <w:rPr>
            <w:rStyle w:val="Lienhypertexte"/>
            <w:rFonts w:asciiTheme="majorBidi" w:hAnsiTheme="majorBidi" w:cstheme="majorBidi"/>
            <w:noProof/>
            <w:sz w:val="20"/>
            <w:szCs w:val="20"/>
          </w:rPr>
          <w:t>:Provenances des différentes populations de</w:t>
        </w:r>
        <w:r w:rsidR="003F0C62" w:rsidRPr="00B612CD">
          <w:rPr>
            <w:rStyle w:val="Lienhypertexte"/>
            <w:rFonts w:asciiTheme="majorBidi" w:hAnsiTheme="majorBidi" w:cstheme="majorBidi"/>
            <w:i/>
            <w:iCs/>
            <w:noProof/>
            <w:sz w:val="20"/>
            <w:szCs w:val="20"/>
          </w:rPr>
          <w:t xml:space="preserve"> Nigila sativa </w:t>
        </w:r>
        <w:r w:rsidR="003F0C62" w:rsidRPr="00B612CD">
          <w:rPr>
            <w:rStyle w:val="Lienhypertexte"/>
            <w:rFonts w:asciiTheme="majorBidi" w:hAnsiTheme="majorBidi" w:cstheme="majorBidi"/>
            <w:noProof/>
            <w:sz w:val="20"/>
            <w:szCs w:val="20"/>
          </w:rPr>
          <w:t>L.</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_Toc252195094 \h </w:instrText>
        </w:r>
        <w:r w:rsidRPr="00B612CD">
          <w:rPr>
            <w:noProof/>
            <w:webHidden/>
            <w:sz w:val="20"/>
            <w:szCs w:val="20"/>
          </w:rPr>
        </w:r>
        <w:r w:rsidRPr="00B612CD">
          <w:rPr>
            <w:noProof/>
            <w:webHidden/>
            <w:sz w:val="20"/>
            <w:szCs w:val="20"/>
          </w:rPr>
          <w:fldChar w:fldCharType="separate"/>
        </w:r>
        <w:r w:rsidR="00A860F6">
          <w:rPr>
            <w:noProof/>
            <w:webHidden/>
            <w:sz w:val="20"/>
            <w:szCs w:val="20"/>
          </w:rPr>
          <w:t>25</w:t>
        </w:r>
        <w:r w:rsidRPr="00B612CD">
          <w:rPr>
            <w:noProof/>
            <w:webHidden/>
            <w:sz w:val="20"/>
            <w:szCs w:val="20"/>
          </w:rPr>
          <w:fldChar w:fldCharType="end"/>
        </w:r>
      </w:hyperlink>
    </w:p>
    <w:p w:rsidR="003F0C62" w:rsidRPr="008619DB" w:rsidRDefault="00811D6A" w:rsidP="003F0C62">
      <w:pPr>
        <w:pStyle w:val="Lgende"/>
        <w:rPr>
          <w:sz w:val="24"/>
          <w:szCs w:val="24"/>
        </w:rPr>
      </w:pPr>
      <w:r w:rsidRPr="008619DB">
        <w:rPr>
          <w:sz w:val="24"/>
          <w:szCs w:val="24"/>
        </w:rPr>
        <w:fldChar w:fldCharType="end"/>
      </w: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3F0C62" w:rsidRDefault="003F0C62" w:rsidP="003F0C62">
      <w:pPr>
        <w:pStyle w:val="Titre"/>
        <w:spacing w:line="360" w:lineRule="auto"/>
        <w:rPr>
          <w:rFonts w:asciiTheme="majorBidi" w:hAnsiTheme="majorBidi" w:cstheme="majorBidi"/>
          <w:sz w:val="28"/>
          <w:szCs w:val="28"/>
        </w:rPr>
      </w:pPr>
    </w:p>
    <w:p w:rsidR="00B612CD" w:rsidRDefault="00B612CD" w:rsidP="00F57526"/>
    <w:p w:rsidR="00A64CFE" w:rsidRDefault="00A64CFE" w:rsidP="00F57526"/>
    <w:p w:rsidR="005A5587" w:rsidRDefault="005A5587" w:rsidP="00F57526"/>
    <w:p w:rsidR="00A64CFE" w:rsidRDefault="00A64CFE" w:rsidP="00F57526"/>
    <w:p w:rsidR="003F0C62" w:rsidRDefault="003F0C62" w:rsidP="003F0C62">
      <w:pPr>
        <w:pStyle w:val="Titre"/>
        <w:spacing w:line="360" w:lineRule="auto"/>
        <w:rPr>
          <w:rFonts w:asciiTheme="majorBidi" w:hAnsiTheme="majorBidi" w:cstheme="majorBidi"/>
          <w:sz w:val="28"/>
          <w:szCs w:val="28"/>
        </w:rPr>
      </w:pPr>
      <w:bookmarkStart w:id="3" w:name="_Toc252365349"/>
      <w:bookmarkStart w:id="4" w:name="_Toc252365608"/>
      <w:bookmarkStart w:id="5" w:name="_Toc252366153"/>
      <w:r w:rsidRPr="003F0C62">
        <w:rPr>
          <w:rFonts w:asciiTheme="majorBidi" w:hAnsiTheme="majorBidi" w:cstheme="majorBidi"/>
          <w:sz w:val="28"/>
          <w:szCs w:val="28"/>
        </w:rPr>
        <w:lastRenderedPageBreak/>
        <w:t>Liste des figures</w:t>
      </w:r>
      <w:bookmarkEnd w:id="3"/>
      <w:bookmarkEnd w:id="4"/>
      <w:bookmarkEnd w:id="5"/>
    </w:p>
    <w:p w:rsidR="003F0C62" w:rsidRPr="00B612CD" w:rsidRDefault="00811D6A" w:rsidP="00B612CD">
      <w:pPr>
        <w:pStyle w:val="Tabledesillustrations"/>
        <w:tabs>
          <w:tab w:val="right" w:leader="dot" w:pos="9771"/>
        </w:tabs>
        <w:spacing w:line="240" w:lineRule="auto"/>
        <w:rPr>
          <w:noProof/>
          <w:sz w:val="20"/>
          <w:szCs w:val="20"/>
        </w:rPr>
      </w:pPr>
      <w:r w:rsidRPr="001D6B71">
        <w:rPr>
          <w:sz w:val="20"/>
          <w:szCs w:val="20"/>
        </w:rPr>
        <w:fldChar w:fldCharType="begin"/>
      </w:r>
      <w:r w:rsidR="003F0C62" w:rsidRPr="001D6B71">
        <w:rPr>
          <w:sz w:val="20"/>
          <w:szCs w:val="20"/>
        </w:rPr>
        <w:instrText xml:space="preserve"> TOC \h \z \c "Figure" </w:instrText>
      </w:r>
      <w:r w:rsidRPr="001D6B71">
        <w:rPr>
          <w:sz w:val="20"/>
          <w:szCs w:val="20"/>
        </w:rPr>
        <w:fldChar w:fldCharType="separate"/>
      </w:r>
      <w:hyperlink w:anchor="_Toc252194938" w:history="1">
        <w:r w:rsidR="003F0C62" w:rsidRPr="00B612CD">
          <w:rPr>
            <w:rStyle w:val="Lienhypertexte"/>
            <w:rFonts w:asciiTheme="majorBidi" w:hAnsiTheme="majorBidi" w:cstheme="majorBidi"/>
            <w:noProof/>
            <w:sz w:val="20"/>
            <w:szCs w:val="20"/>
          </w:rPr>
          <w:t>Fig. 1:Culture des plantes condimentaires, médicinales et aromatiques dans la wilaya de Biskra</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_Toc252194938 \h </w:instrText>
        </w:r>
        <w:r w:rsidRPr="00B612CD">
          <w:rPr>
            <w:noProof/>
            <w:webHidden/>
            <w:sz w:val="20"/>
            <w:szCs w:val="20"/>
          </w:rPr>
        </w:r>
        <w:r w:rsidRPr="00B612CD">
          <w:rPr>
            <w:noProof/>
            <w:webHidden/>
            <w:sz w:val="20"/>
            <w:szCs w:val="20"/>
          </w:rPr>
          <w:fldChar w:fldCharType="separate"/>
        </w:r>
        <w:r w:rsidR="00A860F6">
          <w:rPr>
            <w:noProof/>
            <w:webHidden/>
            <w:sz w:val="20"/>
            <w:szCs w:val="20"/>
          </w:rPr>
          <w:t>7</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39" w:history="1">
        <w:r w:rsidR="003F0C62" w:rsidRPr="00B612CD">
          <w:rPr>
            <w:rStyle w:val="Lienhypertexte"/>
            <w:rFonts w:asciiTheme="majorBidi" w:hAnsiTheme="majorBidi" w:cstheme="majorBidi"/>
            <w:noProof/>
            <w:sz w:val="20"/>
            <w:szCs w:val="20"/>
          </w:rPr>
          <w:t>Fig. 2:Evolution des superficies (ha) des cultures condimentaires dans la wilaya de Biskra de 1993 à 2009</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_Toc252194939 \h </w:instrText>
        </w:r>
        <w:r w:rsidRPr="00B612CD">
          <w:rPr>
            <w:noProof/>
            <w:webHidden/>
            <w:sz w:val="20"/>
            <w:szCs w:val="20"/>
          </w:rPr>
        </w:r>
        <w:r w:rsidRPr="00B612CD">
          <w:rPr>
            <w:noProof/>
            <w:webHidden/>
            <w:sz w:val="20"/>
            <w:szCs w:val="20"/>
          </w:rPr>
          <w:fldChar w:fldCharType="separate"/>
        </w:r>
        <w:r w:rsidR="00A860F6">
          <w:rPr>
            <w:noProof/>
            <w:webHidden/>
            <w:sz w:val="20"/>
            <w:szCs w:val="20"/>
          </w:rPr>
          <w:t>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40" w:history="1">
        <w:r w:rsidR="003F0C62" w:rsidRPr="00B612CD">
          <w:rPr>
            <w:rStyle w:val="Lienhypertexte"/>
            <w:rFonts w:asciiTheme="majorBidi" w:hAnsiTheme="majorBidi" w:cstheme="majorBidi"/>
            <w:noProof/>
            <w:sz w:val="20"/>
            <w:szCs w:val="20"/>
          </w:rPr>
          <w:t>Fig. 3:Evolution de la production (Qx) des cultures condimentaires dans la wilaya de Biskra de 1993 à 2009</w:t>
        </w:r>
        <w:r w:rsidR="00D22555" w:rsidRPr="00B612CD">
          <w:rPr>
            <w:rStyle w:val="Lienhypertexte"/>
            <w:rFonts w:asciiTheme="majorBidi" w:hAnsiTheme="majorBidi" w:cstheme="majorBidi"/>
            <w:noProof/>
            <w:sz w:val="20"/>
            <w:szCs w:val="20"/>
          </w:rPr>
          <w:t>.</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_Toc252194940 \h </w:instrText>
        </w:r>
        <w:r w:rsidRPr="00B612CD">
          <w:rPr>
            <w:noProof/>
            <w:webHidden/>
            <w:sz w:val="20"/>
            <w:szCs w:val="20"/>
          </w:rPr>
        </w:r>
        <w:r w:rsidRPr="00B612CD">
          <w:rPr>
            <w:noProof/>
            <w:webHidden/>
            <w:sz w:val="20"/>
            <w:szCs w:val="20"/>
          </w:rPr>
          <w:fldChar w:fldCharType="separate"/>
        </w:r>
        <w:r w:rsidR="00A860F6">
          <w:rPr>
            <w:noProof/>
            <w:webHidden/>
            <w:sz w:val="20"/>
            <w:szCs w:val="20"/>
          </w:rPr>
          <w:t>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41" w:history="1">
        <w:r w:rsidR="003F0C62" w:rsidRPr="00B612CD">
          <w:rPr>
            <w:rStyle w:val="Lienhypertexte"/>
            <w:rFonts w:asciiTheme="majorBidi" w:hAnsiTheme="majorBidi" w:cstheme="majorBidi"/>
            <w:noProof/>
            <w:sz w:val="20"/>
            <w:szCs w:val="20"/>
          </w:rPr>
          <w:t>Fig. 4:Evolution des superficies (ha) par espèce des cultures condimentaires dans la wilaya de Biskra de 1993 à 2009</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_Toc252194941 \h </w:instrText>
        </w:r>
        <w:r w:rsidRPr="00B612CD">
          <w:rPr>
            <w:noProof/>
            <w:webHidden/>
            <w:sz w:val="20"/>
            <w:szCs w:val="20"/>
          </w:rPr>
        </w:r>
        <w:r w:rsidRPr="00B612CD">
          <w:rPr>
            <w:noProof/>
            <w:webHidden/>
            <w:sz w:val="20"/>
            <w:szCs w:val="20"/>
          </w:rPr>
          <w:fldChar w:fldCharType="separate"/>
        </w:r>
        <w:r w:rsidR="00A860F6">
          <w:rPr>
            <w:noProof/>
            <w:webHidden/>
            <w:sz w:val="20"/>
            <w:szCs w:val="20"/>
          </w:rPr>
          <w:t>9</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42" w:history="1">
        <w:r w:rsidR="003F0C62" w:rsidRPr="00B612CD">
          <w:rPr>
            <w:rStyle w:val="Lienhypertexte"/>
            <w:rFonts w:asciiTheme="majorBidi" w:hAnsiTheme="majorBidi" w:cstheme="majorBidi"/>
            <w:noProof/>
            <w:sz w:val="20"/>
            <w:szCs w:val="20"/>
          </w:rPr>
          <w:t>Fig. 5:Evolution de la production (Qx) par espèce des cultures condimentaires dans la wilaya de Biskra de 1993 à 2009</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_Toc252194942 \h </w:instrText>
        </w:r>
        <w:r w:rsidRPr="00B612CD">
          <w:rPr>
            <w:noProof/>
            <w:webHidden/>
            <w:sz w:val="20"/>
            <w:szCs w:val="20"/>
          </w:rPr>
        </w:r>
        <w:r w:rsidRPr="00B612CD">
          <w:rPr>
            <w:noProof/>
            <w:webHidden/>
            <w:sz w:val="20"/>
            <w:szCs w:val="20"/>
          </w:rPr>
          <w:fldChar w:fldCharType="separate"/>
        </w:r>
        <w:r w:rsidR="00A860F6">
          <w:rPr>
            <w:noProof/>
            <w:webHidden/>
            <w:sz w:val="20"/>
            <w:szCs w:val="20"/>
          </w:rPr>
          <w:t>9</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43" w:history="1">
        <w:r w:rsidR="003F0C62" w:rsidRPr="00B612CD">
          <w:rPr>
            <w:rStyle w:val="Lienhypertexte"/>
            <w:rFonts w:asciiTheme="majorBidi" w:hAnsiTheme="majorBidi" w:cstheme="majorBidi"/>
            <w:noProof/>
            <w:sz w:val="20"/>
            <w:szCs w:val="20"/>
          </w:rPr>
          <w:t>Fig. 6:Fenugrec : aspect de la plante entière, fleurs et graines</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_Toc252194943 \h </w:instrText>
        </w:r>
        <w:r w:rsidRPr="00B612CD">
          <w:rPr>
            <w:noProof/>
            <w:webHidden/>
            <w:sz w:val="20"/>
            <w:szCs w:val="20"/>
          </w:rPr>
        </w:r>
        <w:r w:rsidRPr="00B612CD">
          <w:rPr>
            <w:noProof/>
            <w:webHidden/>
            <w:sz w:val="20"/>
            <w:szCs w:val="20"/>
          </w:rPr>
          <w:fldChar w:fldCharType="separate"/>
        </w:r>
        <w:r w:rsidR="00A860F6">
          <w:rPr>
            <w:noProof/>
            <w:webHidden/>
            <w:sz w:val="20"/>
            <w:szCs w:val="20"/>
          </w:rPr>
          <w:t>11</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44" w:history="1">
        <w:r w:rsidR="003F0C62" w:rsidRPr="00B612CD">
          <w:rPr>
            <w:rStyle w:val="Lienhypertexte"/>
            <w:rFonts w:asciiTheme="majorBidi" w:hAnsiTheme="majorBidi" w:cstheme="majorBidi"/>
            <w:noProof/>
            <w:sz w:val="20"/>
            <w:szCs w:val="20"/>
          </w:rPr>
          <w:t>Fig. 7:Carthame : aspect de la plante entière au stade floraison, graines et capitule fleuri</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_Toc252194944 \h </w:instrText>
        </w:r>
        <w:r w:rsidRPr="00B612CD">
          <w:rPr>
            <w:noProof/>
            <w:webHidden/>
            <w:sz w:val="20"/>
            <w:szCs w:val="20"/>
          </w:rPr>
        </w:r>
        <w:r w:rsidRPr="00B612CD">
          <w:rPr>
            <w:noProof/>
            <w:webHidden/>
            <w:sz w:val="20"/>
            <w:szCs w:val="20"/>
          </w:rPr>
          <w:fldChar w:fldCharType="separate"/>
        </w:r>
        <w:r w:rsidR="00A860F6">
          <w:rPr>
            <w:noProof/>
            <w:webHidden/>
            <w:sz w:val="20"/>
            <w:szCs w:val="20"/>
          </w:rPr>
          <w:t>14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45" w:history="1">
        <w:r w:rsidR="003F0C62" w:rsidRPr="00B612CD">
          <w:rPr>
            <w:rStyle w:val="Lienhypertexte"/>
            <w:rFonts w:asciiTheme="majorBidi" w:hAnsiTheme="majorBidi" w:cstheme="majorBidi"/>
            <w:noProof/>
            <w:sz w:val="20"/>
            <w:szCs w:val="20"/>
          </w:rPr>
          <w:t>Fig. 8:La nigelle : fleurs, capsule et graines.</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_Toc252194945 \h </w:instrText>
        </w:r>
        <w:r w:rsidRPr="00B612CD">
          <w:rPr>
            <w:noProof/>
            <w:webHidden/>
            <w:sz w:val="20"/>
            <w:szCs w:val="20"/>
          </w:rPr>
        </w:r>
        <w:r w:rsidRPr="00B612CD">
          <w:rPr>
            <w:noProof/>
            <w:webHidden/>
            <w:sz w:val="20"/>
            <w:szCs w:val="20"/>
          </w:rPr>
          <w:fldChar w:fldCharType="separate"/>
        </w:r>
        <w:r w:rsidR="00A860F6">
          <w:rPr>
            <w:noProof/>
            <w:webHidden/>
            <w:sz w:val="20"/>
            <w:szCs w:val="20"/>
          </w:rPr>
          <w:t>17</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46" w:history="1">
        <w:r w:rsidR="003F0C62" w:rsidRPr="00B612CD">
          <w:rPr>
            <w:rStyle w:val="Lienhypertexte"/>
            <w:rFonts w:asciiTheme="majorBidi" w:hAnsiTheme="majorBidi" w:cstheme="majorBidi"/>
            <w:noProof/>
            <w:sz w:val="20"/>
            <w:szCs w:val="20"/>
          </w:rPr>
          <w:t>Fig. 9:Situation géographique de la région d’ElOutaya.</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_Toc252194946 \h </w:instrText>
        </w:r>
        <w:r w:rsidRPr="00B612CD">
          <w:rPr>
            <w:noProof/>
            <w:webHidden/>
            <w:sz w:val="20"/>
            <w:szCs w:val="20"/>
          </w:rPr>
        </w:r>
        <w:r w:rsidRPr="00B612CD">
          <w:rPr>
            <w:noProof/>
            <w:webHidden/>
            <w:sz w:val="20"/>
            <w:szCs w:val="20"/>
          </w:rPr>
          <w:fldChar w:fldCharType="separate"/>
        </w:r>
        <w:r w:rsidR="00A860F6">
          <w:rPr>
            <w:noProof/>
            <w:webHidden/>
            <w:sz w:val="20"/>
            <w:szCs w:val="20"/>
          </w:rPr>
          <w:t>20</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47" w:history="1">
        <w:r w:rsidR="003F0C62" w:rsidRPr="00B612CD">
          <w:rPr>
            <w:rStyle w:val="Lienhypertexte"/>
            <w:rFonts w:asciiTheme="majorBidi" w:hAnsiTheme="majorBidi" w:cstheme="majorBidi"/>
            <w:noProof/>
            <w:sz w:val="20"/>
            <w:szCs w:val="20"/>
          </w:rPr>
          <w:t>Fig. 10:Evolution des moyennes mensuelles des températures de l’air</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_Toc252194947 \h </w:instrText>
        </w:r>
        <w:r w:rsidRPr="00B612CD">
          <w:rPr>
            <w:noProof/>
            <w:webHidden/>
            <w:sz w:val="20"/>
            <w:szCs w:val="20"/>
          </w:rPr>
        </w:r>
        <w:r w:rsidRPr="00B612CD">
          <w:rPr>
            <w:noProof/>
            <w:webHidden/>
            <w:sz w:val="20"/>
            <w:szCs w:val="20"/>
          </w:rPr>
          <w:fldChar w:fldCharType="separate"/>
        </w:r>
        <w:r w:rsidR="00A860F6">
          <w:rPr>
            <w:noProof/>
            <w:webHidden/>
            <w:sz w:val="20"/>
            <w:szCs w:val="20"/>
          </w:rPr>
          <w:t>21</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48" w:history="1">
        <w:r w:rsidR="003F0C62" w:rsidRPr="00B612CD">
          <w:rPr>
            <w:rStyle w:val="Lienhypertexte"/>
            <w:rFonts w:asciiTheme="majorBidi" w:hAnsiTheme="majorBidi" w:cstheme="majorBidi"/>
            <w:noProof/>
            <w:sz w:val="20"/>
            <w:szCs w:val="20"/>
          </w:rPr>
          <w:t>Fig. 11:Evolution des moyennes mensuelles des températures du sol .</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_Toc252194948 \h </w:instrText>
        </w:r>
        <w:r w:rsidRPr="00B612CD">
          <w:rPr>
            <w:noProof/>
            <w:webHidden/>
            <w:sz w:val="20"/>
            <w:szCs w:val="20"/>
          </w:rPr>
        </w:r>
        <w:r w:rsidRPr="00B612CD">
          <w:rPr>
            <w:noProof/>
            <w:webHidden/>
            <w:sz w:val="20"/>
            <w:szCs w:val="20"/>
          </w:rPr>
          <w:fldChar w:fldCharType="separate"/>
        </w:r>
        <w:r w:rsidR="00A860F6">
          <w:rPr>
            <w:noProof/>
            <w:webHidden/>
            <w:sz w:val="20"/>
            <w:szCs w:val="20"/>
          </w:rPr>
          <w:t>22</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49" w:history="1">
        <w:r w:rsidR="003F0C62" w:rsidRPr="00B612CD">
          <w:rPr>
            <w:rStyle w:val="Lienhypertexte"/>
            <w:rFonts w:asciiTheme="majorBidi" w:hAnsiTheme="majorBidi" w:cstheme="majorBidi"/>
            <w:noProof/>
            <w:sz w:val="20"/>
            <w:szCs w:val="20"/>
          </w:rPr>
          <w:t>Fig. 12:Evolution des précipitations mensuelles.</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_Toc252194949 \h </w:instrText>
        </w:r>
        <w:r w:rsidRPr="00B612CD">
          <w:rPr>
            <w:noProof/>
            <w:webHidden/>
            <w:sz w:val="20"/>
            <w:szCs w:val="20"/>
          </w:rPr>
        </w:r>
        <w:r w:rsidRPr="00B612CD">
          <w:rPr>
            <w:noProof/>
            <w:webHidden/>
            <w:sz w:val="20"/>
            <w:szCs w:val="20"/>
          </w:rPr>
          <w:fldChar w:fldCharType="separate"/>
        </w:r>
        <w:r w:rsidR="00A860F6">
          <w:rPr>
            <w:noProof/>
            <w:webHidden/>
            <w:sz w:val="20"/>
            <w:szCs w:val="20"/>
          </w:rPr>
          <w:t>22</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50" w:history="1">
        <w:r w:rsidR="003F0C62" w:rsidRPr="00B612CD">
          <w:rPr>
            <w:rStyle w:val="Lienhypertexte"/>
            <w:rFonts w:asciiTheme="majorBidi" w:hAnsiTheme="majorBidi" w:cstheme="majorBidi"/>
            <w:noProof/>
            <w:sz w:val="20"/>
            <w:szCs w:val="20"/>
          </w:rPr>
          <w:t>Fig. 13:Evolution des moyennes mensuelles de l’humidité relative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_Toc252194950 \h </w:instrText>
        </w:r>
        <w:r w:rsidRPr="00B612CD">
          <w:rPr>
            <w:noProof/>
            <w:webHidden/>
            <w:sz w:val="20"/>
            <w:szCs w:val="20"/>
          </w:rPr>
        </w:r>
        <w:r w:rsidRPr="00B612CD">
          <w:rPr>
            <w:noProof/>
            <w:webHidden/>
            <w:sz w:val="20"/>
            <w:szCs w:val="20"/>
          </w:rPr>
          <w:fldChar w:fldCharType="separate"/>
        </w:r>
        <w:r w:rsidR="00A860F6">
          <w:rPr>
            <w:noProof/>
            <w:webHidden/>
            <w:sz w:val="20"/>
            <w:szCs w:val="20"/>
          </w:rPr>
          <w:t>23</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51" w:history="1">
        <w:r w:rsidR="003F0C62" w:rsidRPr="00B612CD">
          <w:rPr>
            <w:rStyle w:val="Lienhypertexte"/>
            <w:rFonts w:asciiTheme="majorBidi" w:hAnsiTheme="majorBidi" w:cstheme="majorBidi"/>
            <w:noProof/>
            <w:sz w:val="20"/>
            <w:szCs w:val="20"/>
          </w:rPr>
          <w:t>Fig. 14:Schéma du dispositif expérimental de l’essai.</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_Toc252194951 \h </w:instrText>
        </w:r>
        <w:r w:rsidRPr="00B612CD">
          <w:rPr>
            <w:noProof/>
            <w:webHidden/>
            <w:sz w:val="20"/>
            <w:szCs w:val="20"/>
          </w:rPr>
        </w:r>
        <w:r w:rsidRPr="00B612CD">
          <w:rPr>
            <w:noProof/>
            <w:webHidden/>
            <w:sz w:val="20"/>
            <w:szCs w:val="20"/>
          </w:rPr>
          <w:fldChar w:fldCharType="separate"/>
        </w:r>
        <w:r w:rsidR="00A860F6">
          <w:rPr>
            <w:noProof/>
            <w:webHidden/>
            <w:sz w:val="20"/>
            <w:szCs w:val="20"/>
          </w:rPr>
          <w:t>27</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52" w:history="1">
        <w:r w:rsidR="003F0C62" w:rsidRPr="00B612CD">
          <w:rPr>
            <w:rStyle w:val="Lienhypertexte"/>
            <w:rFonts w:asciiTheme="majorBidi" w:hAnsiTheme="majorBidi" w:cstheme="majorBidi"/>
            <w:noProof/>
            <w:sz w:val="20"/>
            <w:szCs w:val="20"/>
          </w:rPr>
          <w:t>Fig. 15:Vue générale de la parcelle expérimentale.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_Toc252194952 \h </w:instrText>
        </w:r>
        <w:r w:rsidRPr="00B612CD">
          <w:rPr>
            <w:noProof/>
            <w:webHidden/>
            <w:sz w:val="20"/>
            <w:szCs w:val="20"/>
          </w:rPr>
        </w:r>
        <w:r w:rsidRPr="00B612CD">
          <w:rPr>
            <w:noProof/>
            <w:webHidden/>
            <w:sz w:val="20"/>
            <w:szCs w:val="20"/>
          </w:rPr>
          <w:fldChar w:fldCharType="separate"/>
        </w:r>
        <w:r w:rsidR="00A860F6">
          <w:rPr>
            <w:noProof/>
            <w:webHidden/>
            <w:sz w:val="20"/>
            <w:szCs w:val="20"/>
          </w:rPr>
          <w:t>27</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53" w:history="1">
        <w:r w:rsidR="003F0C62" w:rsidRPr="00B612CD">
          <w:rPr>
            <w:rStyle w:val="Lienhypertexte"/>
            <w:rFonts w:asciiTheme="majorBidi" w:hAnsiTheme="majorBidi" w:cstheme="majorBidi"/>
            <w:noProof/>
            <w:sz w:val="20"/>
            <w:szCs w:val="20"/>
          </w:rPr>
          <w:t xml:space="preserve">Fig. 16:Larve de </w:t>
        </w:r>
        <w:r w:rsidR="003F0C62" w:rsidRPr="00B612CD">
          <w:rPr>
            <w:rStyle w:val="Lienhypertexte"/>
            <w:rFonts w:asciiTheme="majorBidi" w:hAnsiTheme="majorBidi" w:cstheme="majorBidi"/>
            <w:i/>
            <w:iCs/>
            <w:noProof/>
            <w:sz w:val="20"/>
            <w:szCs w:val="20"/>
          </w:rPr>
          <w:t>Lygus bugs</w:t>
        </w:r>
        <w:r w:rsidR="007C2ED8" w:rsidRPr="00B612CD">
          <w:rPr>
            <w:rStyle w:val="Lienhypertexte"/>
            <w:rFonts w:asciiTheme="majorBidi" w:hAnsiTheme="majorBidi" w:cstheme="majorBidi"/>
            <w:noProof/>
            <w:sz w:val="20"/>
            <w:szCs w:val="20"/>
          </w:rPr>
          <w:t xml:space="preserve"> </w:t>
        </w:r>
        <w:r w:rsidR="003F0C62" w:rsidRPr="00B612CD">
          <w:rPr>
            <w:rStyle w:val="Lienhypertexte"/>
            <w:rFonts w:asciiTheme="majorBidi" w:hAnsiTheme="majorBidi" w:cstheme="majorBidi"/>
            <w:noProof/>
            <w:sz w:val="20"/>
            <w:szCs w:val="20"/>
          </w:rPr>
          <w:t xml:space="preserve"> ; Larve de Cutworm occidental pâle (</w:t>
        </w:r>
        <w:r w:rsidR="003F0C62" w:rsidRPr="00B612CD">
          <w:rPr>
            <w:rStyle w:val="Lienhypertexte"/>
            <w:rFonts w:asciiTheme="majorBidi" w:hAnsiTheme="majorBidi" w:cstheme="majorBidi"/>
            <w:i/>
            <w:iCs/>
            <w:noProof/>
            <w:sz w:val="20"/>
            <w:szCs w:val="20"/>
          </w:rPr>
          <w:t>Agrotis orthogonia</w:t>
        </w:r>
        <w:r w:rsidR="007C2ED8" w:rsidRPr="00B612CD">
          <w:rPr>
            <w:rStyle w:val="Lienhypertexte"/>
            <w:rFonts w:asciiTheme="majorBidi" w:hAnsiTheme="majorBidi" w:cstheme="majorBidi"/>
            <w:noProof/>
            <w:sz w:val="20"/>
            <w:szCs w:val="20"/>
          </w:rPr>
          <w:t xml:space="preserve">)  </w:t>
        </w:r>
        <w:r w:rsidR="003F0C62" w:rsidRPr="00B612CD">
          <w:rPr>
            <w:rStyle w:val="Lienhypertexte"/>
            <w:rFonts w:asciiTheme="majorBidi" w:hAnsiTheme="majorBidi" w:cstheme="majorBidi"/>
            <w:noProof/>
            <w:sz w:val="20"/>
            <w:szCs w:val="20"/>
          </w:rPr>
          <w:t>.</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_Toc252194953 \h </w:instrText>
        </w:r>
        <w:r w:rsidRPr="00B612CD">
          <w:rPr>
            <w:noProof/>
            <w:webHidden/>
            <w:sz w:val="20"/>
            <w:szCs w:val="20"/>
          </w:rPr>
        </w:r>
        <w:r w:rsidRPr="00B612CD">
          <w:rPr>
            <w:noProof/>
            <w:webHidden/>
            <w:sz w:val="20"/>
            <w:szCs w:val="20"/>
          </w:rPr>
          <w:fldChar w:fldCharType="separate"/>
        </w:r>
        <w:r w:rsidR="00A860F6">
          <w:rPr>
            <w:noProof/>
            <w:webHidden/>
            <w:sz w:val="20"/>
            <w:szCs w:val="20"/>
          </w:rPr>
          <w:t>29</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54" w:history="1">
        <w:r w:rsidR="003F0C62" w:rsidRPr="00B612CD">
          <w:rPr>
            <w:rStyle w:val="Lienhypertexte"/>
            <w:rFonts w:asciiTheme="majorBidi" w:hAnsiTheme="majorBidi" w:cstheme="majorBidi"/>
            <w:noProof/>
            <w:sz w:val="20"/>
            <w:szCs w:val="20"/>
          </w:rPr>
          <w:t>Fig. 17:Mesure de la longu</w:t>
        </w:r>
        <w:r w:rsidR="007C2ED8" w:rsidRPr="00B612CD">
          <w:rPr>
            <w:rStyle w:val="Lienhypertexte"/>
            <w:rFonts w:asciiTheme="majorBidi" w:hAnsiTheme="majorBidi" w:cstheme="majorBidi"/>
            <w:noProof/>
            <w:sz w:val="20"/>
            <w:szCs w:val="20"/>
          </w:rPr>
          <w:t xml:space="preserve">eur et du diamètre du fruit </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_Toc252194954 \h </w:instrText>
        </w:r>
        <w:r w:rsidRPr="00B612CD">
          <w:rPr>
            <w:noProof/>
            <w:webHidden/>
            <w:sz w:val="20"/>
            <w:szCs w:val="20"/>
          </w:rPr>
        </w:r>
        <w:r w:rsidRPr="00B612CD">
          <w:rPr>
            <w:noProof/>
            <w:webHidden/>
            <w:sz w:val="20"/>
            <w:szCs w:val="20"/>
          </w:rPr>
          <w:fldChar w:fldCharType="separate"/>
        </w:r>
        <w:r w:rsidR="00A860F6">
          <w:rPr>
            <w:noProof/>
            <w:webHidden/>
            <w:sz w:val="20"/>
            <w:szCs w:val="20"/>
          </w:rPr>
          <w:t>32</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55" w:history="1">
        <w:r w:rsidR="003F0C62" w:rsidRPr="00B612CD">
          <w:rPr>
            <w:rStyle w:val="Lienhypertexte"/>
            <w:rFonts w:asciiTheme="majorBidi" w:hAnsiTheme="majorBidi" w:cstheme="majorBidi"/>
            <w:noProof/>
            <w:sz w:val="20"/>
            <w:szCs w:val="20"/>
          </w:rPr>
          <w:t>Fig. 18:Vitesse moyenne de germination journalière.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_Toc252194955 \h </w:instrText>
        </w:r>
        <w:r w:rsidRPr="00B612CD">
          <w:rPr>
            <w:noProof/>
            <w:webHidden/>
            <w:sz w:val="20"/>
            <w:szCs w:val="20"/>
          </w:rPr>
        </w:r>
        <w:r w:rsidRPr="00B612CD">
          <w:rPr>
            <w:noProof/>
            <w:webHidden/>
            <w:sz w:val="20"/>
            <w:szCs w:val="20"/>
          </w:rPr>
          <w:fldChar w:fldCharType="separate"/>
        </w:r>
        <w:r w:rsidR="00A860F6">
          <w:rPr>
            <w:noProof/>
            <w:webHidden/>
            <w:sz w:val="20"/>
            <w:szCs w:val="20"/>
          </w:rPr>
          <w:t>34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56" w:history="1">
        <w:r w:rsidR="003F0C62" w:rsidRPr="00B612CD">
          <w:rPr>
            <w:rStyle w:val="Lienhypertexte"/>
            <w:rFonts w:asciiTheme="majorBidi" w:hAnsiTheme="majorBidi" w:cstheme="majorBidi"/>
            <w:noProof/>
            <w:sz w:val="20"/>
            <w:szCs w:val="20"/>
          </w:rPr>
          <w:t>Fig. 19:Capacité moyenne de germination en (%).</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_Toc252194956 \h </w:instrText>
        </w:r>
        <w:r w:rsidRPr="00B612CD">
          <w:rPr>
            <w:noProof/>
            <w:webHidden/>
            <w:sz w:val="20"/>
            <w:szCs w:val="20"/>
          </w:rPr>
        </w:r>
        <w:r w:rsidRPr="00B612CD">
          <w:rPr>
            <w:noProof/>
            <w:webHidden/>
            <w:sz w:val="20"/>
            <w:szCs w:val="20"/>
          </w:rPr>
          <w:fldChar w:fldCharType="separate"/>
        </w:r>
        <w:r w:rsidR="00A860F6">
          <w:rPr>
            <w:noProof/>
            <w:webHidden/>
            <w:sz w:val="20"/>
            <w:szCs w:val="20"/>
          </w:rPr>
          <w:t>34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57" w:history="1">
        <w:r w:rsidR="003F0C62" w:rsidRPr="00B612CD">
          <w:rPr>
            <w:rStyle w:val="Lienhypertexte"/>
            <w:rFonts w:asciiTheme="majorBidi" w:hAnsiTheme="majorBidi" w:cstheme="majorBidi"/>
            <w:noProof/>
            <w:sz w:val="20"/>
            <w:szCs w:val="20"/>
          </w:rPr>
          <w:t>Fig. 20:Valeur germinative moyenne.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_Toc252194957 \h </w:instrText>
        </w:r>
        <w:r w:rsidRPr="00B612CD">
          <w:rPr>
            <w:noProof/>
            <w:webHidden/>
            <w:sz w:val="20"/>
            <w:szCs w:val="20"/>
          </w:rPr>
        </w:r>
        <w:r w:rsidRPr="00B612CD">
          <w:rPr>
            <w:noProof/>
            <w:webHidden/>
            <w:sz w:val="20"/>
            <w:szCs w:val="20"/>
          </w:rPr>
          <w:fldChar w:fldCharType="separate"/>
        </w:r>
        <w:r w:rsidR="00A860F6">
          <w:rPr>
            <w:noProof/>
            <w:webHidden/>
            <w:sz w:val="20"/>
            <w:szCs w:val="20"/>
          </w:rPr>
          <w:t>34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58" w:history="1">
        <w:r w:rsidR="003F0C62" w:rsidRPr="00B612CD">
          <w:rPr>
            <w:rStyle w:val="Lienhypertexte"/>
            <w:rFonts w:asciiTheme="majorBidi" w:hAnsiTheme="majorBidi" w:cstheme="majorBidi"/>
            <w:noProof/>
            <w:sz w:val="20"/>
            <w:szCs w:val="20"/>
          </w:rPr>
          <w:t>Fig. 21:Nombre moyen de jours entre le semis et la levée et la pleine levée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_Toc252194958 \h </w:instrText>
        </w:r>
        <w:r w:rsidRPr="00B612CD">
          <w:rPr>
            <w:noProof/>
            <w:webHidden/>
            <w:sz w:val="20"/>
            <w:szCs w:val="20"/>
          </w:rPr>
        </w:r>
        <w:r w:rsidRPr="00B612CD">
          <w:rPr>
            <w:noProof/>
            <w:webHidden/>
            <w:sz w:val="20"/>
            <w:szCs w:val="20"/>
          </w:rPr>
          <w:fldChar w:fldCharType="separate"/>
        </w:r>
        <w:r w:rsidR="00A860F6">
          <w:rPr>
            <w:noProof/>
            <w:webHidden/>
            <w:sz w:val="20"/>
            <w:szCs w:val="20"/>
          </w:rPr>
          <w:t>36</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59" w:history="1">
        <w:r w:rsidR="003F0C62" w:rsidRPr="00B612CD">
          <w:rPr>
            <w:rStyle w:val="Lienhypertexte"/>
            <w:rFonts w:asciiTheme="majorBidi" w:hAnsiTheme="majorBidi" w:cstheme="majorBidi"/>
            <w:noProof/>
            <w:sz w:val="20"/>
            <w:szCs w:val="20"/>
          </w:rPr>
          <w:t>Fig. 22:Pourcentage moyen de levée en (%).</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_Toc252194959 \h </w:instrText>
        </w:r>
        <w:r w:rsidRPr="00B612CD">
          <w:rPr>
            <w:noProof/>
            <w:webHidden/>
            <w:sz w:val="20"/>
            <w:szCs w:val="20"/>
          </w:rPr>
        </w:r>
        <w:r w:rsidRPr="00B612CD">
          <w:rPr>
            <w:noProof/>
            <w:webHidden/>
            <w:sz w:val="20"/>
            <w:szCs w:val="20"/>
          </w:rPr>
          <w:fldChar w:fldCharType="separate"/>
        </w:r>
        <w:r w:rsidR="00A860F6">
          <w:rPr>
            <w:noProof/>
            <w:webHidden/>
            <w:sz w:val="20"/>
            <w:szCs w:val="20"/>
          </w:rPr>
          <w:t>36</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60" w:history="1">
        <w:r w:rsidR="003F0C62" w:rsidRPr="00B612CD">
          <w:rPr>
            <w:rStyle w:val="Lienhypertexte"/>
            <w:rFonts w:asciiTheme="majorBidi" w:hAnsiTheme="majorBidi" w:cstheme="majorBidi"/>
            <w:noProof/>
            <w:sz w:val="20"/>
            <w:szCs w:val="20"/>
          </w:rPr>
          <w:t>Fig. 23:Nombre moyen de jours entre le semis et le stade début floraison, pleine et fin f</w:t>
        </w:r>
        <w:r w:rsidR="00D22555" w:rsidRPr="00B612CD">
          <w:rPr>
            <w:rStyle w:val="Lienhypertexte"/>
            <w:rFonts w:asciiTheme="majorBidi" w:hAnsiTheme="majorBidi" w:cstheme="majorBidi"/>
            <w:noProof/>
            <w:sz w:val="20"/>
            <w:szCs w:val="20"/>
          </w:rPr>
          <w:t>loraison</w:t>
        </w:r>
        <w:r w:rsidR="003F0C62" w:rsidRPr="00B612CD">
          <w:rPr>
            <w:rStyle w:val="Lienhypertexte"/>
            <w:rFonts w:asciiTheme="majorBidi" w:hAnsiTheme="majorBidi" w:cstheme="majorBidi"/>
            <w:noProof/>
            <w:sz w:val="20"/>
            <w:szCs w:val="20"/>
          </w:rPr>
          <w:t>.</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_Toc252194960 \h </w:instrText>
        </w:r>
        <w:r w:rsidRPr="00B612CD">
          <w:rPr>
            <w:noProof/>
            <w:webHidden/>
            <w:sz w:val="20"/>
            <w:szCs w:val="20"/>
          </w:rPr>
        </w:r>
        <w:r w:rsidRPr="00B612CD">
          <w:rPr>
            <w:noProof/>
            <w:webHidden/>
            <w:sz w:val="20"/>
            <w:szCs w:val="20"/>
          </w:rPr>
          <w:fldChar w:fldCharType="separate"/>
        </w:r>
        <w:r w:rsidR="00A860F6">
          <w:rPr>
            <w:noProof/>
            <w:webHidden/>
            <w:sz w:val="20"/>
            <w:szCs w:val="20"/>
          </w:rPr>
          <w:t>36</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61" w:history="1">
        <w:r w:rsidR="003F0C62" w:rsidRPr="00B612CD">
          <w:rPr>
            <w:rStyle w:val="Lienhypertexte"/>
            <w:rFonts w:asciiTheme="majorBidi" w:hAnsiTheme="majorBidi" w:cstheme="majorBidi"/>
            <w:noProof/>
            <w:sz w:val="20"/>
            <w:szCs w:val="20"/>
          </w:rPr>
          <w:t>Fig. 24:La durée moyenne de floraison.</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_Toc252194961 \h </w:instrText>
        </w:r>
        <w:r w:rsidRPr="00B612CD">
          <w:rPr>
            <w:noProof/>
            <w:webHidden/>
            <w:sz w:val="20"/>
            <w:szCs w:val="20"/>
          </w:rPr>
        </w:r>
        <w:r w:rsidRPr="00B612CD">
          <w:rPr>
            <w:noProof/>
            <w:webHidden/>
            <w:sz w:val="20"/>
            <w:szCs w:val="20"/>
          </w:rPr>
          <w:fldChar w:fldCharType="separate"/>
        </w:r>
        <w:r w:rsidR="00A860F6">
          <w:rPr>
            <w:noProof/>
            <w:webHidden/>
            <w:sz w:val="20"/>
            <w:szCs w:val="20"/>
          </w:rPr>
          <w:t>38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62" w:history="1">
        <w:r w:rsidR="003F0C62" w:rsidRPr="00B612CD">
          <w:rPr>
            <w:rStyle w:val="Lienhypertexte"/>
            <w:rFonts w:asciiTheme="majorBidi" w:hAnsiTheme="majorBidi" w:cstheme="majorBidi"/>
            <w:noProof/>
            <w:sz w:val="20"/>
            <w:szCs w:val="20"/>
          </w:rPr>
          <w:t>Fig. 25:Nombre moyen de jours entre le semis et la nouaison.</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_Toc252194962 \h </w:instrText>
        </w:r>
        <w:r w:rsidRPr="00B612CD">
          <w:rPr>
            <w:noProof/>
            <w:webHidden/>
            <w:sz w:val="20"/>
            <w:szCs w:val="20"/>
          </w:rPr>
        </w:r>
        <w:r w:rsidRPr="00B612CD">
          <w:rPr>
            <w:noProof/>
            <w:webHidden/>
            <w:sz w:val="20"/>
            <w:szCs w:val="20"/>
          </w:rPr>
          <w:fldChar w:fldCharType="separate"/>
        </w:r>
        <w:r w:rsidR="00A860F6">
          <w:rPr>
            <w:noProof/>
            <w:webHidden/>
            <w:sz w:val="20"/>
            <w:szCs w:val="20"/>
          </w:rPr>
          <w:t>38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63" w:history="1">
        <w:r w:rsidR="003F0C62" w:rsidRPr="00B612CD">
          <w:rPr>
            <w:rStyle w:val="Lienhypertexte"/>
            <w:rFonts w:asciiTheme="majorBidi" w:hAnsiTheme="majorBidi" w:cstheme="majorBidi"/>
            <w:noProof/>
            <w:sz w:val="20"/>
            <w:szCs w:val="20"/>
          </w:rPr>
          <w:t>Fig. 26:Nombre moyen de jours entre le semis et la formation des gousses.</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_Toc252194963 \h </w:instrText>
        </w:r>
        <w:r w:rsidRPr="00B612CD">
          <w:rPr>
            <w:noProof/>
            <w:webHidden/>
            <w:sz w:val="20"/>
            <w:szCs w:val="20"/>
          </w:rPr>
        </w:r>
        <w:r w:rsidRPr="00B612CD">
          <w:rPr>
            <w:noProof/>
            <w:webHidden/>
            <w:sz w:val="20"/>
            <w:szCs w:val="20"/>
          </w:rPr>
          <w:fldChar w:fldCharType="separate"/>
        </w:r>
        <w:r w:rsidR="00A860F6">
          <w:rPr>
            <w:noProof/>
            <w:webHidden/>
            <w:sz w:val="20"/>
            <w:szCs w:val="20"/>
          </w:rPr>
          <w:t>38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64" w:history="1">
        <w:r w:rsidR="003F0C62" w:rsidRPr="00B612CD">
          <w:rPr>
            <w:rStyle w:val="Lienhypertexte"/>
            <w:rFonts w:asciiTheme="majorBidi" w:hAnsiTheme="majorBidi" w:cstheme="majorBidi"/>
            <w:noProof/>
            <w:sz w:val="20"/>
            <w:szCs w:val="20"/>
          </w:rPr>
          <w:t>Fig. 27:Nombre moyen de jours entre le semis et la maturité des gousses.</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_Toc252194964 \h </w:instrText>
        </w:r>
        <w:r w:rsidRPr="00B612CD">
          <w:rPr>
            <w:noProof/>
            <w:webHidden/>
            <w:sz w:val="20"/>
            <w:szCs w:val="20"/>
          </w:rPr>
        </w:r>
        <w:r w:rsidRPr="00B612CD">
          <w:rPr>
            <w:noProof/>
            <w:webHidden/>
            <w:sz w:val="20"/>
            <w:szCs w:val="20"/>
          </w:rPr>
          <w:fldChar w:fldCharType="separate"/>
        </w:r>
        <w:r w:rsidR="00A860F6">
          <w:rPr>
            <w:noProof/>
            <w:webHidden/>
            <w:sz w:val="20"/>
            <w:szCs w:val="20"/>
          </w:rPr>
          <w:t>40</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65" w:history="1">
        <w:r w:rsidR="003F0C62" w:rsidRPr="00B612CD">
          <w:rPr>
            <w:rStyle w:val="Lienhypertexte"/>
            <w:rFonts w:asciiTheme="majorBidi" w:hAnsiTheme="majorBidi" w:cstheme="majorBidi"/>
            <w:noProof/>
            <w:sz w:val="20"/>
            <w:szCs w:val="20"/>
          </w:rPr>
          <w:t>Fig. 28:Les cinq hauteurs moyennes des plants en (cm).</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_Toc252194965 \h </w:instrText>
        </w:r>
        <w:r w:rsidRPr="00B612CD">
          <w:rPr>
            <w:noProof/>
            <w:webHidden/>
            <w:sz w:val="20"/>
            <w:szCs w:val="20"/>
          </w:rPr>
        </w:r>
        <w:r w:rsidRPr="00B612CD">
          <w:rPr>
            <w:noProof/>
            <w:webHidden/>
            <w:sz w:val="20"/>
            <w:szCs w:val="20"/>
          </w:rPr>
          <w:fldChar w:fldCharType="separate"/>
        </w:r>
        <w:r w:rsidR="00A860F6">
          <w:rPr>
            <w:noProof/>
            <w:webHidden/>
            <w:sz w:val="20"/>
            <w:szCs w:val="20"/>
          </w:rPr>
          <w:t>40</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66" w:history="1">
        <w:r w:rsidR="003F0C62" w:rsidRPr="00B612CD">
          <w:rPr>
            <w:rStyle w:val="Lienhypertexte"/>
            <w:rFonts w:asciiTheme="majorBidi" w:hAnsiTheme="majorBidi" w:cstheme="majorBidi"/>
            <w:noProof/>
            <w:sz w:val="20"/>
            <w:szCs w:val="20"/>
          </w:rPr>
          <w:t>Fig. 29:Vitesse moyenne de croissance (en cm/j).</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_Toc252194966 \h </w:instrText>
        </w:r>
        <w:r w:rsidRPr="00B612CD">
          <w:rPr>
            <w:noProof/>
            <w:webHidden/>
            <w:sz w:val="20"/>
            <w:szCs w:val="20"/>
          </w:rPr>
        </w:r>
        <w:r w:rsidRPr="00B612CD">
          <w:rPr>
            <w:noProof/>
            <w:webHidden/>
            <w:sz w:val="20"/>
            <w:szCs w:val="20"/>
          </w:rPr>
          <w:fldChar w:fldCharType="separate"/>
        </w:r>
        <w:r w:rsidR="00A860F6">
          <w:rPr>
            <w:noProof/>
            <w:webHidden/>
            <w:sz w:val="20"/>
            <w:szCs w:val="20"/>
          </w:rPr>
          <w:t>40</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67" w:history="1">
        <w:r w:rsidR="003F0C62" w:rsidRPr="00B612CD">
          <w:rPr>
            <w:rStyle w:val="Lienhypertexte"/>
            <w:rFonts w:asciiTheme="majorBidi" w:hAnsiTheme="majorBidi" w:cstheme="majorBidi"/>
            <w:noProof/>
            <w:sz w:val="20"/>
            <w:szCs w:val="20"/>
          </w:rPr>
          <w:t>Fig. 30:Nombre moyen de ramifications primaires, secondaires et totales.</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_Toc252194967 \h </w:instrText>
        </w:r>
        <w:r w:rsidRPr="00B612CD">
          <w:rPr>
            <w:noProof/>
            <w:webHidden/>
            <w:sz w:val="20"/>
            <w:szCs w:val="20"/>
          </w:rPr>
        </w:r>
        <w:r w:rsidRPr="00B612CD">
          <w:rPr>
            <w:noProof/>
            <w:webHidden/>
            <w:sz w:val="20"/>
            <w:szCs w:val="20"/>
          </w:rPr>
          <w:fldChar w:fldCharType="separate"/>
        </w:r>
        <w:r w:rsidR="00A860F6">
          <w:rPr>
            <w:noProof/>
            <w:webHidden/>
            <w:sz w:val="20"/>
            <w:szCs w:val="20"/>
          </w:rPr>
          <w:t>42</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68" w:history="1">
        <w:r w:rsidR="003F0C62" w:rsidRPr="00B612CD">
          <w:rPr>
            <w:rStyle w:val="Lienhypertexte"/>
            <w:rFonts w:asciiTheme="majorBidi" w:hAnsiTheme="majorBidi" w:cstheme="majorBidi"/>
            <w:noProof/>
            <w:sz w:val="20"/>
            <w:szCs w:val="20"/>
          </w:rPr>
          <w:t>Fig. 31:Nombre moyen total des gousses sur l’axe principale (NGAP), les ramifications primaires  (NGR1), les ramifications secondaires (NGR2) et le nombre total par plant (NGT).</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_Toc252194968 \h </w:instrText>
        </w:r>
        <w:r w:rsidRPr="00B612CD">
          <w:rPr>
            <w:noProof/>
            <w:webHidden/>
            <w:sz w:val="20"/>
            <w:szCs w:val="20"/>
          </w:rPr>
        </w:r>
        <w:r w:rsidRPr="00B612CD">
          <w:rPr>
            <w:noProof/>
            <w:webHidden/>
            <w:sz w:val="20"/>
            <w:szCs w:val="20"/>
          </w:rPr>
          <w:fldChar w:fldCharType="separate"/>
        </w:r>
        <w:r w:rsidR="00A860F6">
          <w:rPr>
            <w:noProof/>
            <w:webHidden/>
            <w:sz w:val="20"/>
            <w:szCs w:val="20"/>
          </w:rPr>
          <w:t>44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69" w:history="1">
        <w:r w:rsidR="003F0C62" w:rsidRPr="00B612CD">
          <w:rPr>
            <w:rStyle w:val="Lienhypertexte"/>
            <w:rFonts w:asciiTheme="majorBidi" w:hAnsiTheme="majorBidi" w:cstheme="majorBidi"/>
            <w:noProof/>
            <w:sz w:val="20"/>
            <w:szCs w:val="20"/>
          </w:rPr>
          <w:t xml:space="preserve">Fig. 32:Poids </w:t>
        </w:r>
        <w:r w:rsidR="00D92207">
          <w:rPr>
            <w:rStyle w:val="Lienhypertexte"/>
            <w:rFonts w:asciiTheme="majorBidi" w:hAnsiTheme="majorBidi" w:cstheme="majorBidi"/>
            <w:noProof/>
            <w:sz w:val="20"/>
            <w:szCs w:val="20"/>
          </w:rPr>
          <w:t>moyen de gousses par plant en (</w:t>
        </w:r>
        <w:r w:rsidR="003F0C62" w:rsidRPr="00B612CD">
          <w:rPr>
            <w:rStyle w:val="Lienhypertexte"/>
            <w:rFonts w:asciiTheme="majorBidi" w:hAnsiTheme="majorBidi" w:cstheme="majorBidi"/>
            <w:noProof/>
            <w:sz w:val="20"/>
            <w:szCs w:val="20"/>
          </w:rPr>
          <w:t>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_Toc252194969 \h </w:instrText>
        </w:r>
        <w:r w:rsidRPr="00B612CD">
          <w:rPr>
            <w:noProof/>
            <w:webHidden/>
            <w:sz w:val="20"/>
            <w:szCs w:val="20"/>
          </w:rPr>
        </w:r>
        <w:r w:rsidRPr="00B612CD">
          <w:rPr>
            <w:noProof/>
            <w:webHidden/>
            <w:sz w:val="20"/>
            <w:szCs w:val="20"/>
          </w:rPr>
          <w:fldChar w:fldCharType="separate"/>
        </w:r>
        <w:r w:rsidR="00A860F6">
          <w:rPr>
            <w:noProof/>
            <w:webHidden/>
            <w:sz w:val="20"/>
            <w:szCs w:val="20"/>
          </w:rPr>
          <w:t>44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70" w:history="1">
        <w:r w:rsidR="003F0C62" w:rsidRPr="00B612CD">
          <w:rPr>
            <w:rStyle w:val="Lienhypertexte"/>
            <w:rFonts w:asciiTheme="majorBidi" w:hAnsiTheme="majorBidi" w:cstheme="majorBidi"/>
            <w:noProof/>
            <w:sz w:val="20"/>
            <w:szCs w:val="20"/>
          </w:rPr>
          <w:t>Fig. 33:Poids moyen d’une gousse (PG) et de graines</w:t>
        </w:r>
        <w:r w:rsidR="00794D9B">
          <w:rPr>
            <w:rStyle w:val="Lienhypertexte"/>
            <w:rFonts w:asciiTheme="majorBidi" w:hAnsiTheme="majorBidi" w:cstheme="majorBidi"/>
            <w:noProof/>
            <w:sz w:val="20"/>
            <w:szCs w:val="20"/>
          </w:rPr>
          <w:t xml:space="preserve"> saines par gousse (PGRSG) en (</w:t>
        </w:r>
        <w:r w:rsidR="003F0C62" w:rsidRPr="00B612CD">
          <w:rPr>
            <w:rStyle w:val="Lienhypertexte"/>
            <w:rFonts w:asciiTheme="majorBidi" w:hAnsiTheme="majorBidi" w:cstheme="majorBidi"/>
            <w:noProof/>
            <w:sz w:val="20"/>
            <w:szCs w:val="20"/>
          </w:rPr>
          <w:t>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_Toc252194970 \h </w:instrText>
        </w:r>
        <w:r w:rsidRPr="00B612CD">
          <w:rPr>
            <w:noProof/>
            <w:webHidden/>
            <w:sz w:val="20"/>
            <w:szCs w:val="20"/>
          </w:rPr>
        </w:r>
        <w:r w:rsidRPr="00B612CD">
          <w:rPr>
            <w:noProof/>
            <w:webHidden/>
            <w:sz w:val="20"/>
            <w:szCs w:val="20"/>
          </w:rPr>
          <w:fldChar w:fldCharType="separate"/>
        </w:r>
        <w:r w:rsidR="00A860F6">
          <w:rPr>
            <w:noProof/>
            <w:webHidden/>
            <w:sz w:val="20"/>
            <w:szCs w:val="20"/>
          </w:rPr>
          <w:t>46</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71" w:history="1">
        <w:r w:rsidR="003F0C62" w:rsidRPr="00B612CD">
          <w:rPr>
            <w:rStyle w:val="Lienhypertexte"/>
            <w:rFonts w:asciiTheme="majorBidi" w:hAnsiTheme="majorBidi" w:cstheme="majorBidi"/>
            <w:noProof/>
            <w:sz w:val="20"/>
            <w:szCs w:val="20"/>
          </w:rPr>
          <w:t>Fig. 34:Longueur moyenne de la gousse en cm.</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_Toc252194971 \h </w:instrText>
        </w:r>
        <w:r w:rsidRPr="00B612CD">
          <w:rPr>
            <w:noProof/>
            <w:webHidden/>
            <w:sz w:val="20"/>
            <w:szCs w:val="20"/>
          </w:rPr>
        </w:r>
        <w:r w:rsidRPr="00B612CD">
          <w:rPr>
            <w:noProof/>
            <w:webHidden/>
            <w:sz w:val="20"/>
            <w:szCs w:val="20"/>
          </w:rPr>
          <w:fldChar w:fldCharType="separate"/>
        </w:r>
        <w:r w:rsidR="00A860F6">
          <w:rPr>
            <w:noProof/>
            <w:webHidden/>
            <w:sz w:val="20"/>
            <w:szCs w:val="20"/>
          </w:rPr>
          <w:t>46</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72" w:history="1">
        <w:r w:rsidR="003F0C62" w:rsidRPr="00B612CD">
          <w:rPr>
            <w:rStyle w:val="Lienhypertexte"/>
            <w:rFonts w:asciiTheme="majorBidi" w:hAnsiTheme="majorBidi" w:cstheme="majorBidi"/>
            <w:noProof/>
            <w:sz w:val="20"/>
            <w:szCs w:val="20"/>
          </w:rPr>
          <w:t>Fig. 35:Diamètre moyen de la gousse en (mm).</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_Toc252194972 \h </w:instrText>
        </w:r>
        <w:r w:rsidRPr="00B612CD">
          <w:rPr>
            <w:noProof/>
            <w:webHidden/>
            <w:sz w:val="20"/>
            <w:szCs w:val="20"/>
          </w:rPr>
        </w:r>
        <w:r w:rsidRPr="00B612CD">
          <w:rPr>
            <w:noProof/>
            <w:webHidden/>
            <w:sz w:val="20"/>
            <w:szCs w:val="20"/>
          </w:rPr>
          <w:fldChar w:fldCharType="separate"/>
        </w:r>
        <w:r w:rsidR="00A860F6">
          <w:rPr>
            <w:noProof/>
            <w:webHidden/>
            <w:sz w:val="20"/>
            <w:szCs w:val="20"/>
          </w:rPr>
          <w:t>46</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73" w:history="1">
        <w:r w:rsidR="003F0C62" w:rsidRPr="00B612CD">
          <w:rPr>
            <w:rStyle w:val="Lienhypertexte"/>
            <w:rFonts w:asciiTheme="majorBidi" w:hAnsiTheme="majorBidi" w:cstheme="majorBidi"/>
            <w:noProof/>
            <w:sz w:val="20"/>
            <w:szCs w:val="20"/>
          </w:rPr>
          <w:t>Fig. 36:Nombre moyen de graines (total, saines, avortées et échaudées) par gousse.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_Toc252194973 \h </w:instrText>
        </w:r>
        <w:r w:rsidRPr="00B612CD">
          <w:rPr>
            <w:noProof/>
            <w:webHidden/>
            <w:sz w:val="20"/>
            <w:szCs w:val="20"/>
          </w:rPr>
        </w:r>
        <w:r w:rsidRPr="00B612CD">
          <w:rPr>
            <w:noProof/>
            <w:webHidden/>
            <w:sz w:val="20"/>
            <w:szCs w:val="20"/>
          </w:rPr>
          <w:fldChar w:fldCharType="separate"/>
        </w:r>
        <w:r w:rsidR="00A860F6">
          <w:rPr>
            <w:noProof/>
            <w:webHidden/>
            <w:sz w:val="20"/>
            <w:szCs w:val="20"/>
          </w:rPr>
          <w:t>48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74" w:history="1">
        <w:r w:rsidR="003F0C62" w:rsidRPr="00B612CD">
          <w:rPr>
            <w:rStyle w:val="Lienhypertexte"/>
            <w:rFonts w:asciiTheme="majorBidi" w:hAnsiTheme="majorBidi" w:cstheme="majorBidi"/>
            <w:noProof/>
            <w:sz w:val="20"/>
            <w:szCs w:val="20"/>
          </w:rPr>
          <w:t>Fig. 37:P</w:t>
        </w:r>
        <w:r w:rsidR="00794D9B">
          <w:rPr>
            <w:rStyle w:val="Lienhypertexte"/>
            <w:rFonts w:asciiTheme="majorBidi" w:hAnsiTheme="majorBidi" w:cstheme="majorBidi"/>
            <w:noProof/>
            <w:sz w:val="20"/>
            <w:szCs w:val="20"/>
          </w:rPr>
          <w:t>oids moyen de 1000 graines en (</w:t>
        </w:r>
        <w:r w:rsidR="003F0C62" w:rsidRPr="00B612CD">
          <w:rPr>
            <w:rStyle w:val="Lienhypertexte"/>
            <w:rFonts w:asciiTheme="majorBidi" w:hAnsiTheme="majorBidi" w:cstheme="majorBidi"/>
            <w:noProof/>
            <w:sz w:val="20"/>
            <w:szCs w:val="20"/>
          </w:rPr>
          <w:t>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_Toc252194974 \h </w:instrText>
        </w:r>
        <w:r w:rsidRPr="00B612CD">
          <w:rPr>
            <w:noProof/>
            <w:webHidden/>
            <w:sz w:val="20"/>
            <w:szCs w:val="20"/>
          </w:rPr>
        </w:r>
        <w:r w:rsidRPr="00B612CD">
          <w:rPr>
            <w:noProof/>
            <w:webHidden/>
            <w:sz w:val="20"/>
            <w:szCs w:val="20"/>
          </w:rPr>
          <w:fldChar w:fldCharType="separate"/>
        </w:r>
        <w:r w:rsidR="00A860F6">
          <w:rPr>
            <w:noProof/>
            <w:webHidden/>
            <w:sz w:val="20"/>
            <w:szCs w:val="20"/>
          </w:rPr>
          <w:t>48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75" w:history="1">
        <w:r w:rsidR="003F0C62" w:rsidRPr="00B612CD">
          <w:rPr>
            <w:rStyle w:val="Lienhypertexte"/>
            <w:rFonts w:asciiTheme="majorBidi" w:hAnsiTheme="majorBidi" w:cstheme="majorBidi"/>
            <w:noProof/>
            <w:sz w:val="20"/>
            <w:szCs w:val="20"/>
          </w:rPr>
          <w:t>Fig. 38:Rendement moyen en graines estimé par parcelle en (kg).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_Toc252194975 \h </w:instrText>
        </w:r>
        <w:r w:rsidRPr="00B612CD">
          <w:rPr>
            <w:noProof/>
            <w:webHidden/>
            <w:sz w:val="20"/>
            <w:szCs w:val="20"/>
          </w:rPr>
        </w:r>
        <w:r w:rsidRPr="00B612CD">
          <w:rPr>
            <w:noProof/>
            <w:webHidden/>
            <w:sz w:val="20"/>
            <w:szCs w:val="20"/>
          </w:rPr>
          <w:fldChar w:fldCharType="separate"/>
        </w:r>
        <w:r w:rsidR="00A860F6">
          <w:rPr>
            <w:noProof/>
            <w:webHidden/>
            <w:sz w:val="20"/>
            <w:szCs w:val="20"/>
          </w:rPr>
          <w:t>48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76" w:history="1">
        <w:r w:rsidR="003F0C62" w:rsidRPr="00B612CD">
          <w:rPr>
            <w:rStyle w:val="Lienhypertexte"/>
            <w:rFonts w:asciiTheme="majorBidi" w:hAnsiTheme="majorBidi" w:cstheme="majorBidi"/>
            <w:noProof/>
            <w:sz w:val="20"/>
            <w:szCs w:val="20"/>
          </w:rPr>
          <w:t>Fig. 39:Analyse en composante principale : projection des variables sur le plan factoriel (1*2) (</w:t>
        </w:r>
        <w:r w:rsidR="003F0C62" w:rsidRPr="00B612CD">
          <w:rPr>
            <w:rStyle w:val="Lienhypertexte"/>
            <w:rFonts w:asciiTheme="majorBidi" w:hAnsiTheme="majorBidi" w:cstheme="majorBidi"/>
            <w:i/>
            <w:iCs/>
            <w:noProof/>
            <w:sz w:val="20"/>
            <w:szCs w:val="20"/>
          </w:rPr>
          <w:t>Trigonella foenum graecum</w:t>
        </w:r>
        <w:r w:rsidR="003F0C62" w:rsidRPr="00B612CD">
          <w:rPr>
            <w:rStyle w:val="Lienhypertexte"/>
            <w:rFonts w:asciiTheme="majorBidi" w:hAnsiTheme="majorBidi" w:cstheme="majorBidi"/>
            <w:noProof/>
            <w:sz w:val="20"/>
            <w:szCs w:val="20"/>
          </w:rPr>
          <w:t xml:space="preserve"> L.).</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_Toc252194976 \h </w:instrText>
        </w:r>
        <w:r w:rsidRPr="00B612CD">
          <w:rPr>
            <w:noProof/>
            <w:webHidden/>
            <w:sz w:val="20"/>
            <w:szCs w:val="20"/>
          </w:rPr>
        </w:r>
        <w:r w:rsidRPr="00B612CD">
          <w:rPr>
            <w:noProof/>
            <w:webHidden/>
            <w:sz w:val="20"/>
            <w:szCs w:val="20"/>
          </w:rPr>
          <w:fldChar w:fldCharType="separate"/>
        </w:r>
        <w:r w:rsidR="00A860F6">
          <w:rPr>
            <w:noProof/>
            <w:webHidden/>
            <w:sz w:val="20"/>
            <w:szCs w:val="20"/>
          </w:rPr>
          <w:t>53</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77" w:history="1">
        <w:r w:rsidR="003F0C62" w:rsidRPr="00B612CD">
          <w:rPr>
            <w:rStyle w:val="Lienhypertexte"/>
            <w:rFonts w:asciiTheme="majorBidi" w:hAnsiTheme="majorBidi" w:cstheme="majorBidi"/>
            <w:noProof/>
            <w:sz w:val="20"/>
            <w:szCs w:val="20"/>
          </w:rPr>
          <w:t>Fig. 40:Analyse en composante principale : projection des variables sur le plan factoriel (1*2) (</w:t>
        </w:r>
        <w:r w:rsidR="003F0C62" w:rsidRPr="00B612CD">
          <w:rPr>
            <w:rStyle w:val="Lienhypertexte"/>
            <w:rFonts w:asciiTheme="majorBidi" w:hAnsiTheme="majorBidi" w:cstheme="majorBidi"/>
            <w:i/>
            <w:iCs/>
            <w:noProof/>
            <w:sz w:val="20"/>
            <w:szCs w:val="20"/>
          </w:rPr>
          <w:t>Trigonella foenum graecum</w:t>
        </w:r>
        <w:r w:rsidR="003F0C62" w:rsidRPr="00B612CD">
          <w:rPr>
            <w:rStyle w:val="Lienhypertexte"/>
            <w:rFonts w:asciiTheme="majorBidi" w:hAnsiTheme="majorBidi" w:cstheme="majorBidi"/>
            <w:noProof/>
            <w:sz w:val="20"/>
            <w:szCs w:val="20"/>
          </w:rPr>
          <w:t xml:space="preserve"> L.).</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_Toc252194977 \h </w:instrText>
        </w:r>
        <w:r w:rsidRPr="00B612CD">
          <w:rPr>
            <w:noProof/>
            <w:webHidden/>
            <w:sz w:val="20"/>
            <w:szCs w:val="20"/>
          </w:rPr>
        </w:r>
        <w:r w:rsidRPr="00B612CD">
          <w:rPr>
            <w:noProof/>
            <w:webHidden/>
            <w:sz w:val="20"/>
            <w:szCs w:val="20"/>
          </w:rPr>
          <w:fldChar w:fldCharType="separate"/>
        </w:r>
        <w:r w:rsidR="00A860F6">
          <w:rPr>
            <w:noProof/>
            <w:webHidden/>
            <w:sz w:val="20"/>
            <w:szCs w:val="20"/>
          </w:rPr>
          <w:t>54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78" w:history="1">
        <w:r w:rsidR="003F0C62" w:rsidRPr="00B612CD">
          <w:rPr>
            <w:rStyle w:val="Lienhypertexte"/>
            <w:rFonts w:asciiTheme="majorBidi" w:hAnsiTheme="majorBidi" w:cstheme="majorBidi"/>
            <w:noProof/>
            <w:sz w:val="20"/>
            <w:szCs w:val="20"/>
          </w:rPr>
          <w:t>Fig. 41:Vitesse moyenne de germination journalière (Nombre de graines germées/jours).</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_Toc252194978 \h </w:instrText>
        </w:r>
        <w:r w:rsidRPr="00B612CD">
          <w:rPr>
            <w:noProof/>
            <w:webHidden/>
            <w:sz w:val="20"/>
            <w:szCs w:val="20"/>
          </w:rPr>
        </w:r>
        <w:r w:rsidRPr="00B612CD">
          <w:rPr>
            <w:noProof/>
            <w:webHidden/>
            <w:sz w:val="20"/>
            <w:szCs w:val="20"/>
          </w:rPr>
          <w:fldChar w:fldCharType="separate"/>
        </w:r>
        <w:r w:rsidR="00A860F6">
          <w:rPr>
            <w:noProof/>
            <w:webHidden/>
            <w:sz w:val="20"/>
            <w:szCs w:val="20"/>
          </w:rPr>
          <w:t>56</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79" w:history="1">
        <w:r w:rsidR="003F0C62" w:rsidRPr="00B612CD">
          <w:rPr>
            <w:rStyle w:val="Lienhypertexte"/>
            <w:rFonts w:asciiTheme="majorBidi" w:hAnsiTheme="majorBidi" w:cstheme="majorBidi"/>
            <w:noProof/>
            <w:sz w:val="20"/>
            <w:szCs w:val="20"/>
          </w:rPr>
          <w:t>Fig. 42:Capacité moyenne de germination en (%).</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_Toc252194979 \h </w:instrText>
        </w:r>
        <w:r w:rsidRPr="00B612CD">
          <w:rPr>
            <w:noProof/>
            <w:webHidden/>
            <w:sz w:val="20"/>
            <w:szCs w:val="20"/>
          </w:rPr>
        </w:r>
        <w:r w:rsidRPr="00B612CD">
          <w:rPr>
            <w:noProof/>
            <w:webHidden/>
            <w:sz w:val="20"/>
            <w:szCs w:val="20"/>
          </w:rPr>
          <w:fldChar w:fldCharType="separate"/>
        </w:r>
        <w:r w:rsidR="00A860F6">
          <w:rPr>
            <w:noProof/>
            <w:webHidden/>
            <w:sz w:val="20"/>
            <w:szCs w:val="20"/>
          </w:rPr>
          <w:t>56</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80" w:history="1">
        <w:r w:rsidR="003F0C62" w:rsidRPr="00B612CD">
          <w:rPr>
            <w:rStyle w:val="Lienhypertexte"/>
            <w:rFonts w:asciiTheme="majorBidi" w:hAnsiTheme="majorBidi" w:cstheme="majorBidi"/>
            <w:noProof/>
            <w:sz w:val="20"/>
            <w:szCs w:val="20"/>
          </w:rPr>
          <w:t>Fig. 43:Valeur germinative moyenne.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_Toc252194980 \h </w:instrText>
        </w:r>
        <w:r w:rsidRPr="00B612CD">
          <w:rPr>
            <w:noProof/>
            <w:webHidden/>
            <w:sz w:val="20"/>
            <w:szCs w:val="20"/>
          </w:rPr>
        </w:r>
        <w:r w:rsidRPr="00B612CD">
          <w:rPr>
            <w:noProof/>
            <w:webHidden/>
            <w:sz w:val="20"/>
            <w:szCs w:val="20"/>
          </w:rPr>
          <w:fldChar w:fldCharType="separate"/>
        </w:r>
        <w:r w:rsidR="00A860F6">
          <w:rPr>
            <w:noProof/>
            <w:webHidden/>
            <w:sz w:val="20"/>
            <w:szCs w:val="20"/>
          </w:rPr>
          <w:t>56</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81" w:history="1">
        <w:r w:rsidR="003F0C62" w:rsidRPr="00B612CD">
          <w:rPr>
            <w:rStyle w:val="Lienhypertexte"/>
            <w:rFonts w:asciiTheme="majorBidi" w:hAnsiTheme="majorBidi" w:cstheme="majorBidi"/>
            <w:noProof/>
            <w:sz w:val="20"/>
            <w:szCs w:val="20"/>
          </w:rPr>
          <w:t>Fig. 44:Nombre moyen de jours entre le semis et la levée (L) et la pleine levée (PL).</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_Toc252194981 \h </w:instrText>
        </w:r>
        <w:r w:rsidRPr="00B612CD">
          <w:rPr>
            <w:noProof/>
            <w:webHidden/>
            <w:sz w:val="20"/>
            <w:szCs w:val="20"/>
          </w:rPr>
        </w:r>
        <w:r w:rsidRPr="00B612CD">
          <w:rPr>
            <w:noProof/>
            <w:webHidden/>
            <w:sz w:val="20"/>
            <w:szCs w:val="20"/>
          </w:rPr>
          <w:fldChar w:fldCharType="separate"/>
        </w:r>
        <w:r w:rsidR="00A860F6">
          <w:rPr>
            <w:noProof/>
            <w:webHidden/>
            <w:sz w:val="20"/>
            <w:szCs w:val="20"/>
          </w:rPr>
          <w:t>58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82" w:history="1">
        <w:r w:rsidR="003F0C62" w:rsidRPr="00B612CD">
          <w:rPr>
            <w:rStyle w:val="Lienhypertexte"/>
            <w:rFonts w:asciiTheme="majorBidi" w:hAnsiTheme="majorBidi" w:cstheme="majorBidi"/>
            <w:noProof/>
            <w:sz w:val="20"/>
            <w:szCs w:val="20"/>
          </w:rPr>
          <w:t>Fig. 45:Pourcentage moyen de levée en (%).</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_Toc252194982 \h </w:instrText>
        </w:r>
        <w:r w:rsidRPr="00B612CD">
          <w:rPr>
            <w:noProof/>
            <w:webHidden/>
            <w:sz w:val="20"/>
            <w:szCs w:val="20"/>
          </w:rPr>
        </w:r>
        <w:r w:rsidRPr="00B612CD">
          <w:rPr>
            <w:noProof/>
            <w:webHidden/>
            <w:sz w:val="20"/>
            <w:szCs w:val="20"/>
          </w:rPr>
          <w:fldChar w:fldCharType="separate"/>
        </w:r>
        <w:r w:rsidR="00A860F6">
          <w:rPr>
            <w:noProof/>
            <w:webHidden/>
            <w:sz w:val="20"/>
            <w:szCs w:val="20"/>
          </w:rPr>
          <w:t>58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83" w:history="1">
        <w:r w:rsidR="003F0C62" w:rsidRPr="00B612CD">
          <w:rPr>
            <w:rStyle w:val="Lienhypertexte"/>
            <w:rFonts w:asciiTheme="majorBidi" w:hAnsiTheme="majorBidi" w:cstheme="majorBidi"/>
            <w:noProof/>
            <w:sz w:val="20"/>
            <w:szCs w:val="20"/>
          </w:rPr>
          <w:t>Fig. 46:Nombre moyen de jours entre le semis, le stade rosette (R) et le stade formation de branches (FB).</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_Toc252194983 \h </w:instrText>
        </w:r>
        <w:r w:rsidRPr="00B612CD">
          <w:rPr>
            <w:noProof/>
            <w:webHidden/>
            <w:sz w:val="20"/>
            <w:szCs w:val="20"/>
          </w:rPr>
        </w:r>
        <w:r w:rsidRPr="00B612CD">
          <w:rPr>
            <w:noProof/>
            <w:webHidden/>
            <w:sz w:val="20"/>
            <w:szCs w:val="20"/>
          </w:rPr>
          <w:fldChar w:fldCharType="separate"/>
        </w:r>
        <w:r w:rsidR="00A860F6">
          <w:rPr>
            <w:noProof/>
            <w:webHidden/>
            <w:sz w:val="20"/>
            <w:szCs w:val="20"/>
          </w:rPr>
          <w:t>58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84" w:history="1">
        <w:r w:rsidR="003F0C62" w:rsidRPr="00B612CD">
          <w:rPr>
            <w:rStyle w:val="Lienhypertexte"/>
            <w:rFonts w:asciiTheme="majorBidi" w:hAnsiTheme="majorBidi" w:cstheme="majorBidi"/>
            <w:noProof/>
            <w:sz w:val="20"/>
            <w:szCs w:val="20"/>
          </w:rPr>
          <w:t xml:space="preserve">Fig. 47:Nombre </w:t>
        </w:r>
        <w:r w:rsidR="00165413" w:rsidRPr="00B612CD">
          <w:rPr>
            <w:rStyle w:val="Lienhypertexte"/>
            <w:rFonts w:asciiTheme="majorBidi" w:hAnsiTheme="majorBidi" w:cstheme="majorBidi"/>
            <w:noProof/>
            <w:sz w:val="20"/>
            <w:szCs w:val="20"/>
          </w:rPr>
          <w:t xml:space="preserve">moyen de jours </w:t>
        </w:r>
        <w:r w:rsidR="003F0C62" w:rsidRPr="00B612CD">
          <w:rPr>
            <w:rStyle w:val="Lienhypertexte"/>
            <w:rFonts w:asciiTheme="majorBidi" w:hAnsiTheme="majorBidi" w:cstheme="majorBidi"/>
            <w:noProof/>
            <w:sz w:val="20"/>
            <w:szCs w:val="20"/>
          </w:rPr>
          <w:t xml:space="preserve"> entre le semis et le stade bouton floral (BF), début floraison (DF), pleine floraison (PF) et fin floraison (FF).</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_Toc252194984 \h </w:instrText>
        </w:r>
        <w:r w:rsidRPr="00B612CD">
          <w:rPr>
            <w:noProof/>
            <w:webHidden/>
            <w:sz w:val="20"/>
            <w:szCs w:val="20"/>
          </w:rPr>
        </w:r>
        <w:r w:rsidRPr="00B612CD">
          <w:rPr>
            <w:noProof/>
            <w:webHidden/>
            <w:sz w:val="20"/>
            <w:szCs w:val="20"/>
          </w:rPr>
          <w:fldChar w:fldCharType="separate"/>
        </w:r>
        <w:r w:rsidR="00A860F6">
          <w:rPr>
            <w:noProof/>
            <w:webHidden/>
            <w:sz w:val="20"/>
            <w:szCs w:val="20"/>
          </w:rPr>
          <w:t>60</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85" w:history="1">
        <w:r w:rsidR="003F0C62" w:rsidRPr="00B612CD">
          <w:rPr>
            <w:rStyle w:val="Lienhypertexte"/>
            <w:rFonts w:asciiTheme="majorBidi" w:hAnsiTheme="majorBidi" w:cstheme="majorBidi"/>
            <w:noProof/>
            <w:sz w:val="20"/>
            <w:szCs w:val="20"/>
          </w:rPr>
          <w:t>Fig. 48:La durée moyenne de floraison (étalement).</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_Toc252194985 \h </w:instrText>
        </w:r>
        <w:r w:rsidRPr="00B612CD">
          <w:rPr>
            <w:noProof/>
            <w:webHidden/>
            <w:sz w:val="20"/>
            <w:szCs w:val="20"/>
          </w:rPr>
        </w:r>
        <w:r w:rsidRPr="00B612CD">
          <w:rPr>
            <w:noProof/>
            <w:webHidden/>
            <w:sz w:val="20"/>
            <w:szCs w:val="20"/>
          </w:rPr>
          <w:fldChar w:fldCharType="separate"/>
        </w:r>
        <w:r w:rsidR="00A860F6">
          <w:rPr>
            <w:noProof/>
            <w:webHidden/>
            <w:sz w:val="20"/>
            <w:szCs w:val="20"/>
          </w:rPr>
          <w:t>60</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86" w:history="1">
        <w:r w:rsidR="003F0C62" w:rsidRPr="00B612CD">
          <w:rPr>
            <w:rStyle w:val="Lienhypertexte"/>
            <w:rFonts w:asciiTheme="majorBidi" w:hAnsiTheme="majorBidi" w:cstheme="majorBidi"/>
            <w:noProof/>
            <w:sz w:val="20"/>
            <w:szCs w:val="20"/>
          </w:rPr>
          <w:t xml:space="preserve">Fig. 49:Nombre </w:t>
        </w:r>
        <w:r w:rsidR="00165413" w:rsidRPr="00B612CD">
          <w:rPr>
            <w:rStyle w:val="Lienhypertexte"/>
            <w:rFonts w:asciiTheme="majorBidi" w:hAnsiTheme="majorBidi" w:cstheme="majorBidi"/>
            <w:noProof/>
            <w:sz w:val="20"/>
            <w:szCs w:val="20"/>
          </w:rPr>
          <w:t xml:space="preserve">moyen </w:t>
        </w:r>
        <w:r w:rsidR="003F0C62" w:rsidRPr="00B612CD">
          <w:rPr>
            <w:rStyle w:val="Lienhypertexte"/>
            <w:rFonts w:asciiTheme="majorBidi" w:hAnsiTheme="majorBidi" w:cstheme="majorBidi"/>
            <w:noProof/>
            <w:sz w:val="20"/>
            <w:szCs w:val="20"/>
          </w:rPr>
          <w:t>de jours entre le semis et le stade maturité des capitules.</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_Toc252194986 \h </w:instrText>
        </w:r>
        <w:r w:rsidRPr="00B612CD">
          <w:rPr>
            <w:noProof/>
            <w:webHidden/>
            <w:sz w:val="20"/>
            <w:szCs w:val="20"/>
          </w:rPr>
        </w:r>
        <w:r w:rsidRPr="00B612CD">
          <w:rPr>
            <w:noProof/>
            <w:webHidden/>
            <w:sz w:val="20"/>
            <w:szCs w:val="20"/>
          </w:rPr>
          <w:fldChar w:fldCharType="separate"/>
        </w:r>
        <w:r w:rsidR="00A860F6">
          <w:rPr>
            <w:noProof/>
            <w:webHidden/>
            <w:sz w:val="20"/>
            <w:szCs w:val="20"/>
          </w:rPr>
          <w:t>60</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87" w:history="1">
        <w:r w:rsidR="003F0C62" w:rsidRPr="00B612CD">
          <w:rPr>
            <w:rStyle w:val="Lienhypertexte"/>
            <w:rFonts w:asciiTheme="majorBidi" w:hAnsiTheme="majorBidi" w:cstheme="majorBidi"/>
            <w:noProof/>
            <w:sz w:val="20"/>
            <w:szCs w:val="20"/>
          </w:rPr>
          <w:t>Fig. 50:Les cinq hauteurs moyennes des plants en (cm).</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_Toc252194987 \h </w:instrText>
        </w:r>
        <w:r w:rsidRPr="00B612CD">
          <w:rPr>
            <w:noProof/>
            <w:webHidden/>
            <w:sz w:val="20"/>
            <w:szCs w:val="20"/>
          </w:rPr>
        </w:r>
        <w:r w:rsidRPr="00B612CD">
          <w:rPr>
            <w:noProof/>
            <w:webHidden/>
            <w:sz w:val="20"/>
            <w:szCs w:val="20"/>
          </w:rPr>
          <w:fldChar w:fldCharType="separate"/>
        </w:r>
        <w:r w:rsidR="00A860F6">
          <w:rPr>
            <w:noProof/>
            <w:webHidden/>
            <w:sz w:val="20"/>
            <w:szCs w:val="20"/>
          </w:rPr>
          <w:t>62</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88" w:history="1">
        <w:r w:rsidR="003F0C62" w:rsidRPr="00B612CD">
          <w:rPr>
            <w:rStyle w:val="Lienhypertexte"/>
            <w:rFonts w:asciiTheme="majorBidi" w:hAnsiTheme="majorBidi" w:cstheme="majorBidi"/>
            <w:noProof/>
            <w:sz w:val="20"/>
            <w:szCs w:val="20"/>
          </w:rPr>
          <w:t>Fig. 51:Vitesse moyenne de croissance en (cm/j).</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_Toc252194988 \h </w:instrText>
        </w:r>
        <w:r w:rsidRPr="00B612CD">
          <w:rPr>
            <w:noProof/>
            <w:webHidden/>
            <w:sz w:val="20"/>
            <w:szCs w:val="20"/>
          </w:rPr>
        </w:r>
        <w:r w:rsidRPr="00B612CD">
          <w:rPr>
            <w:noProof/>
            <w:webHidden/>
            <w:sz w:val="20"/>
            <w:szCs w:val="20"/>
          </w:rPr>
          <w:fldChar w:fldCharType="separate"/>
        </w:r>
        <w:r w:rsidR="00A860F6">
          <w:rPr>
            <w:noProof/>
            <w:webHidden/>
            <w:sz w:val="20"/>
            <w:szCs w:val="20"/>
          </w:rPr>
          <w:t>62</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89" w:history="1">
        <w:r w:rsidR="003F0C62" w:rsidRPr="00B612CD">
          <w:rPr>
            <w:rStyle w:val="Lienhypertexte"/>
            <w:rFonts w:asciiTheme="majorBidi" w:hAnsiTheme="majorBidi" w:cstheme="majorBidi"/>
            <w:noProof/>
            <w:sz w:val="20"/>
            <w:szCs w:val="20"/>
          </w:rPr>
          <w:t>Fig. 52:Nombre moyen de branches par plant.</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_Toc252194989 \h </w:instrText>
        </w:r>
        <w:r w:rsidRPr="00B612CD">
          <w:rPr>
            <w:noProof/>
            <w:webHidden/>
            <w:sz w:val="20"/>
            <w:szCs w:val="20"/>
          </w:rPr>
        </w:r>
        <w:r w:rsidRPr="00B612CD">
          <w:rPr>
            <w:noProof/>
            <w:webHidden/>
            <w:sz w:val="20"/>
            <w:szCs w:val="20"/>
          </w:rPr>
          <w:fldChar w:fldCharType="separate"/>
        </w:r>
        <w:r w:rsidR="00A860F6">
          <w:rPr>
            <w:noProof/>
            <w:webHidden/>
            <w:sz w:val="20"/>
            <w:szCs w:val="20"/>
          </w:rPr>
          <w:t>62</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90" w:history="1">
        <w:r w:rsidR="003F0C62" w:rsidRPr="00B612CD">
          <w:rPr>
            <w:rStyle w:val="Lienhypertexte"/>
            <w:rFonts w:asciiTheme="majorBidi" w:hAnsiTheme="majorBidi" w:cstheme="majorBidi"/>
            <w:noProof/>
            <w:sz w:val="20"/>
            <w:szCs w:val="20"/>
          </w:rPr>
          <w:t>Fig. 53:Nombre moyen de capitules par plant.</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_Toc252194990 \h </w:instrText>
        </w:r>
        <w:r w:rsidRPr="00B612CD">
          <w:rPr>
            <w:noProof/>
            <w:webHidden/>
            <w:sz w:val="20"/>
            <w:szCs w:val="20"/>
          </w:rPr>
        </w:r>
        <w:r w:rsidRPr="00B612CD">
          <w:rPr>
            <w:noProof/>
            <w:webHidden/>
            <w:sz w:val="20"/>
            <w:szCs w:val="20"/>
          </w:rPr>
          <w:fldChar w:fldCharType="separate"/>
        </w:r>
        <w:r w:rsidR="00A860F6">
          <w:rPr>
            <w:noProof/>
            <w:webHidden/>
            <w:sz w:val="20"/>
            <w:szCs w:val="20"/>
          </w:rPr>
          <w:t>64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91" w:history="1">
        <w:r w:rsidR="003F0C62" w:rsidRPr="00B612CD">
          <w:rPr>
            <w:rStyle w:val="Lienhypertexte"/>
            <w:rFonts w:asciiTheme="majorBidi" w:hAnsiTheme="majorBidi" w:cstheme="majorBidi"/>
            <w:noProof/>
            <w:sz w:val="20"/>
            <w:szCs w:val="20"/>
          </w:rPr>
          <w:t>Fig. 54:Nombre moyen de capitules par branche.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_Toc252194991 \h </w:instrText>
        </w:r>
        <w:r w:rsidRPr="00B612CD">
          <w:rPr>
            <w:noProof/>
            <w:webHidden/>
            <w:sz w:val="20"/>
            <w:szCs w:val="20"/>
          </w:rPr>
        </w:r>
        <w:r w:rsidRPr="00B612CD">
          <w:rPr>
            <w:noProof/>
            <w:webHidden/>
            <w:sz w:val="20"/>
            <w:szCs w:val="20"/>
          </w:rPr>
          <w:fldChar w:fldCharType="separate"/>
        </w:r>
        <w:r w:rsidR="00A860F6">
          <w:rPr>
            <w:noProof/>
            <w:webHidden/>
            <w:sz w:val="20"/>
            <w:szCs w:val="20"/>
          </w:rPr>
          <w:t>64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92" w:history="1">
        <w:r w:rsidR="003F0C62" w:rsidRPr="00B612CD">
          <w:rPr>
            <w:rStyle w:val="Lienhypertexte"/>
            <w:rFonts w:asciiTheme="majorBidi" w:hAnsiTheme="majorBidi" w:cstheme="majorBidi"/>
            <w:noProof/>
            <w:sz w:val="20"/>
            <w:szCs w:val="20"/>
          </w:rPr>
          <w:t>Fig. 55:Poids mo</w:t>
        </w:r>
        <w:r w:rsidR="00794D9B">
          <w:rPr>
            <w:rStyle w:val="Lienhypertexte"/>
            <w:rFonts w:asciiTheme="majorBidi" w:hAnsiTheme="majorBidi" w:cstheme="majorBidi"/>
            <w:noProof/>
            <w:sz w:val="20"/>
            <w:szCs w:val="20"/>
          </w:rPr>
          <w:t>yen de capitules par plant en (</w:t>
        </w:r>
        <w:r w:rsidR="003F0C62" w:rsidRPr="00B612CD">
          <w:rPr>
            <w:rStyle w:val="Lienhypertexte"/>
            <w:rFonts w:asciiTheme="majorBidi" w:hAnsiTheme="majorBidi" w:cstheme="majorBidi"/>
            <w:noProof/>
            <w:sz w:val="20"/>
            <w:szCs w:val="20"/>
          </w:rPr>
          <w:t>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_Toc252194992 \h </w:instrText>
        </w:r>
        <w:r w:rsidRPr="00B612CD">
          <w:rPr>
            <w:noProof/>
            <w:webHidden/>
            <w:sz w:val="20"/>
            <w:szCs w:val="20"/>
          </w:rPr>
        </w:r>
        <w:r w:rsidRPr="00B612CD">
          <w:rPr>
            <w:noProof/>
            <w:webHidden/>
            <w:sz w:val="20"/>
            <w:szCs w:val="20"/>
          </w:rPr>
          <w:fldChar w:fldCharType="separate"/>
        </w:r>
        <w:r w:rsidR="00A860F6">
          <w:rPr>
            <w:noProof/>
            <w:webHidden/>
            <w:sz w:val="20"/>
            <w:szCs w:val="20"/>
          </w:rPr>
          <w:t>64</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93" w:history="1">
        <w:r w:rsidR="003F0C62" w:rsidRPr="00B612CD">
          <w:rPr>
            <w:rStyle w:val="Lienhypertexte"/>
            <w:rFonts w:asciiTheme="majorBidi" w:hAnsiTheme="majorBidi" w:cstheme="majorBidi"/>
            <w:noProof/>
            <w:sz w:val="20"/>
            <w:szCs w:val="20"/>
          </w:rPr>
          <w:t xml:space="preserve">Fig. 56:Poids </w:t>
        </w:r>
        <w:r w:rsidR="00794D9B">
          <w:rPr>
            <w:rStyle w:val="Lienhypertexte"/>
            <w:rFonts w:asciiTheme="majorBidi" w:hAnsiTheme="majorBidi" w:cstheme="majorBidi"/>
            <w:noProof/>
            <w:sz w:val="20"/>
            <w:szCs w:val="20"/>
          </w:rPr>
          <w:t>moyen de fleurs par plant  en (</w:t>
        </w:r>
        <w:r w:rsidR="003F0C62" w:rsidRPr="00B612CD">
          <w:rPr>
            <w:rStyle w:val="Lienhypertexte"/>
            <w:rFonts w:asciiTheme="majorBidi" w:hAnsiTheme="majorBidi" w:cstheme="majorBidi"/>
            <w:noProof/>
            <w:sz w:val="20"/>
            <w:szCs w:val="20"/>
          </w:rPr>
          <w:t>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_Toc252194993 \h </w:instrText>
        </w:r>
        <w:r w:rsidRPr="00B612CD">
          <w:rPr>
            <w:noProof/>
            <w:webHidden/>
            <w:sz w:val="20"/>
            <w:szCs w:val="20"/>
          </w:rPr>
        </w:r>
        <w:r w:rsidRPr="00B612CD">
          <w:rPr>
            <w:noProof/>
            <w:webHidden/>
            <w:sz w:val="20"/>
            <w:szCs w:val="20"/>
          </w:rPr>
          <w:fldChar w:fldCharType="separate"/>
        </w:r>
        <w:r w:rsidR="00A860F6">
          <w:rPr>
            <w:noProof/>
            <w:webHidden/>
            <w:sz w:val="20"/>
            <w:szCs w:val="20"/>
          </w:rPr>
          <w:t>66</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94" w:history="1">
        <w:r w:rsidR="003F0C62" w:rsidRPr="00B612CD">
          <w:rPr>
            <w:rStyle w:val="Lienhypertexte"/>
            <w:rFonts w:asciiTheme="majorBidi" w:hAnsiTheme="majorBidi" w:cstheme="majorBidi"/>
            <w:noProof/>
            <w:sz w:val="20"/>
            <w:szCs w:val="20"/>
          </w:rPr>
          <w:t>Fig. 57:Longueur (LC) et diamètre (DC) moyens d’un capitule en (mm).</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_Toc252194994 \h </w:instrText>
        </w:r>
        <w:r w:rsidRPr="00B612CD">
          <w:rPr>
            <w:noProof/>
            <w:webHidden/>
            <w:sz w:val="20"/>
            <w:szCs w:val="20"/>
          </w:rPr>
        </w:r>
        <w:r w:rsidRPr="00B612CD">
          <w:rPr>
            <w:noProof/>
            <w:webHidden/>
            <w:sz w:val="20"/>
            <w:szCs w:val="20"/>
          </w:rPr>
          <w:fldChar w:fldCharType="separate"/>
        </w:r>
        <w:r w:rsidR="00A860F6">
          <w:rPr>
            <w:noProof/>
            <w:webHidden/>
            <w:sz w:val="20"/>
            <w:szCs w:val="20"/>
          </w:rPr>
          <w:t>66</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95" w:history="1">
        <w:r w:rsidR="003F0C62" w:rsidRPr="00B612CD">
          <w:rPr>
            <w:rStyle w:val="Lienhypertexte"/>
            <w:rFonts w:asciiTheme="majorBidi" w:hAnsiTheme="majorBidi" w:cstheme="majorBidi"/>
            <w:noProof/>
            <w:sz w:val="20"/>
            <w:szCs w:val="20"/>
          </w:rPr>
          <w:t>Fig. 58:Nombre moyen de graines saines (NGRSC), malades (NGRIC), échaudées (NGREC) et totales (NTGRC) par capitule.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_Toc252194995 \h </w:instrText>
        </w:r>
        <w:r w:rsidRPr="00B612CD">
          <w:rPr>
            <w:noProof/>
            <w:webHidden/>
            <w:sz w:val="20"/>
            <w:szCs w:val="20"/>
          </w:rPr>
        </w:r>
        <w:r w:rsidRPr="00B612CD">
          <w:rPr>
            <w:noProof/>
            <w:webHidden/>
            <w:sz w:val="20"/>
            <w:szCs w:val="20"/>
          </w:rPr>
          <w:fldChar w:fldCharType="separate"/>
        </w:r>
        <w:r w:rsidR="00A860F6">
          <w:rPr>
            <w:noProof/>
            <w:webHidden/>
            <w:sz w:val="20"/>
            <w:szCs w:val="20"/>
          </w:rPr>
          <w:t>68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96" w:history="1">
        <w:r w:rsidR="003F0C62" w:rsidRPr="00B612CD">
          <w:rPr>
            <w:rStyle w:val="Lienhypertexte"/>
            <w:rFonts w:asciiTheme="majorBidi" w:hAnsiTheme="majorBidi" w:cstheme="majorBidi"/>
            <w:noProof/>
            <w:sz w:val="20"/>
            <w:szCs w:val="20"/>
          </w:rPr>
          <w:t>Fig. 59:Poids</w:t>
        </w:r>
        <w:r w:rsidR="00165413" w:rsidRPr="00B612CD">
          <w:rPr>
            <w:rStyle w:val="Lienhypertexte"/>
            <w:rFonts w:asciiTheme="majorBidi" w:hAnsiTheme="majorBidi" w:cstheme="majorBidi"/>
            <w:noProof/>
            <w:sz w:val="20"/>
            <w:szCs w:val="20"/>
          </w:rPr>
          <w:t xml:space="preserve"> moyen d’un capitule (PC) et de</w:t>
        </w:r>
        <w:r w:rsidR="00794D9B">
          <w:rPr>
            <w:rStyle w:val="Lienhypertexte"/>
            <w:rFonts w:asciiTheme="majorBidi" w:hAnsiTheme="majorBidi" w:cstheme="majorBidi"/>
            <w:noProof/>
            <w:sz w:val="20"/>
            <w:szCs w:val="20"/>
          </w:rPr>
          <w:t xml:space="preserve"> graines saines (PGRS) en (</w:t>
        </w:r>
        <w:r w:rsidR="003F0C62" w:rsidRPr="00B612CD">
          <w:rPr>
            <w:rStyle w:val="Lienhypertexte"/>
            <w:rFonts w:asciiTheme="majorBidi" w:hAnsiTheme="majorBidi" w:cstheme="majorBidi"/>
            <w:noProof/>
            <w:sz w:val="20"/>
            <w:szCs w:val="20"/>
          </w:rPr>
          <w:t>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_Toc252194996 \h </w:instrText>
        </w:r>
        <w:r w:rsidRPr="00B612CD">
          <w:rPr>
            <w:noProof/>
            <w:webHidden/>
            <w:sz w:val="20"/>
            <w:szCs w:val="20"/>
          </w:rPr>
        </w:r>
        <w:r w:rsidRPr="00B612CD">
          <w:rPr>
            <w:noProof/>
            <w:webHidden/>
            <w:sz w:val="20"/>
            <w:szCs w:val="20"/>
          </w:rPr>
          <w:fldChar w:fldCharType="separate"/>
        </w:r>
        <w:r w:rsidR="00A860F6">
          <w:rPr>
            <w:noProof/>
            <w:webHidden/>
            <w:sz w:val="20"/>
            <w:szCs w:val="20"/>
          </w:rPr>
          <w:t>70</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97" w:history="1">
        <w:r w:rsidR="003F0C62" w:rsidRPr="00B612CD">
          <w:rPr>
            <w:rStyle w:val="Lienhypertexte"/>
            <w:rFonts w:asciiTheme="majorBidi" w:hAnsiTheme="majorBidi" w:cstheme="majorBidi"/>
            <w:noProof/>
            <w:sz w:val="20"/>
            <w:szCs w:val="20"/>
          </w:rPr>
          <w:t>Fig. 60:P</w:t>
        </w:r>
        <w:r w:rsidR="00794D9B">
          <w:rPr>
            <w:rStyle w:val="Lienhypertexte"/>
            <w:rFonts w:asciiTheme="majorBidi" w:hAnsiTheme="majorBidi" w:cstheme="majorBidi"/>
            <w:noProof/>
            <w:sz w:val="20"/>
            <w:szCs w:val="20"/>
          </w:rPr>
          <w:t>oids moyen de 1000 graines en (</w:t>
        </w:r>
        <w:r w:rsidR="003F0C62" w:rsidRPr="00B612CD">
          <w:rPr>
            <w:rStyle w:val="Lienhypertexte"/>
            <w:rFonts w:asciiTheme="majorBidi" w:hAnsiTheme="majorBidi" w:cstheme="majorBidi"/>
            <w:noProof/>
            <w:sz w:val="20"/>
            <w:szCs w:val="20"/>
          </w:rPr>
          <w:t>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_Toc252194997 \h </w:instrText>
        </w:r>
        <w:r w:rsidRPr="00B612CD">
          <w:rPr>
            <w:noProof/>
            <w:webHidden/>
            <w:sz w:val="20"/>
            <w:szCs w:val="20"/>
          </w:rPr>
        </w:r>
        <w:r w:rsidRPr="00B612CD">
          <w:rPr>
            <w:noProof/>
            <w:webHidden/>
            <w:sz w:val="20"/>
            <w:szCs w:val="20"/>
          </w:rPr>
          <w:fldChar w:fldCharType="separate"/>
        </w:r>
        <w:r w:rsidR="00A860F6">
          <w:rPr>
            <w:noProof/>
            <w:webHidden/>
            <w:sz w:val="20"/>
            <w:szCs w:val="20"/>
          </w:rPr>
          <w:t>70</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98" w:history="1">
        <w:r w:rsidR="003F0C62" w:rsidRPr="00B612CD">
          <w:rPr>
            <w:rStyle w:val="Lienhypertexte"/>
            <w:rFonts w:asciiTheme="majorBidi" w:hAnsiTheme="majorBidi" w:cstheme="majorBidi"/>
            <w:noProof/>
            <w:sz w:val="20"/>
            <w:szCs w:val="20"/>
          </w:rPr>
          <w:t>Fig. 61:Rendement moyen en fleurs estimé par parcelle  en (kg).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_Toc252194998 \h </w:instrText>
        </w:r>
        <w:r w:rsidRPr="00B612CD">
          <w:rPr>
            <w:noProof/>
            <w:webHidden/>
            <w:sz w:val="20"/>
            <w:szCs w:val="20"/>
          </w:rPr>
        </w:r>
        <w:r w:rsidRPr="00B612CD">
          <w:rPr>
            <w:noProof/>
            <w:webHidden/>
            <w:sz w:val="20"/>
            <w:szCs w:val="20"/>
          </w:rPr>
          <w:fldChar w:fldCharType="separate"/>
        </w:r>
        <w:r w:rsidR="00A860F6">
          <w:rPr>
            <w:noProof/>
            <w:webHidden/>
            <w:sz w:val="20"/>
            <w:szCs w:val="20"/>
          </w:rPr>
          <w:t>72</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4999" w:history="1">
        <w:r w:rsidR="003F0C62" w:rsidRPr="00B612CD">
          <w:rPr>
            <w:rStyle w:val="Lienhypertexte"/>
            <w:rFonts w:asciiTheme="majorBidi" w:hAnsiTheme="majorBidi" w:cstheme="majorBidi"/>
            <w:noProof/>
            <w:sz w:val="20"/>
            <w:szCs w:val="20"/>
          </w:rPr>
          <w:t>Fig. 62:Rendement moyen en</w:t>
        </w:r>
        <w:r w:rsidR="00165413" w:rsidRPr="00B612CD">
          <w:rPr>
            <w:rStyle w:val="Lienhypertexte"/>
            <w:rFonts w:asciiTheme="majorBidi" w:hAnsiTheme="majorBidi" w:cstheme="majorBidi"/>
            <w:noProof/>
            <w:sz w:val="20"/>
            <w:szCs w:val="20"/>
          </w:rPr>
          <w:t xml:space="preserve"> graines</w:t>
        </w:r>
        <w:r w:rsidR="003F0C62" w:rsidRPr="00B612CD">
          <w:rPr>
            <w:rStyle w:val="Lienhypertexte"/>
            <w:rFonts w:asciiTheme="majorBidi" w:hAnsiTheme="majorBidi" w:cstheme="majorBidi"/>
            <w:noProof/>
            <w:sz w:val="20"/>
            <w:szCs w:val="20"/>
          </w:rPr>
          <w:t xml:space="preserve"> estimé par parcelle  en (kg).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_Toc252194999 \h </w:instrText>
        </w:r>
        <w:r w:rsidRPr="00B612CD">
          <w:rPr>
            <w:noProof/>
            <w:webHidden/>
            <w:sz w:val="20"/>
            <w:szCs w:val="20"/>
          </w:rPr>
        </w:r>
        <w:r w:rsidRPr="00B612CD">
          <w:rPr>
            <w:noProof/>
            <w:webHidden/>
            <w:sz w:val="20"/>
            <w:szCs w:val="20"/>
          </w:rPr>
          <w:fldChar w:fldCharType="separate"/>
        </w:r>
        <w:r w:rsidR="00A860F6">
          <w:rPr>
            <w:noProof/>
            <w:webHidden/>
            <w:sz w:val="20"/>
            <w:szCs w:val="20"/>
          </w:rPr>
          <w:t>72</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00" w:history="1">
        <w:r w:rsidR="003F0C62" w:rsidRPr="00B612CD">
          <w:rPr>
            <w:rStyle w:val="Lienhypertexte"/>
            <w:rFonts w:asciiTheme="majorBidi" w:hAnsiTheme="majorBidi" w:cstheme="majorBidi"/>
            <w:noProof/>
            <w:sz w:val="20"/>
            <w:szCs w:val="20"/>
          </w:rPr>
          <w:t>Fig. 63:Analyse en composante principales projection des variables sur le plan factoriel (1*2) (</w:t>
        </w:r>
        <w:r w:rsidR="003F0C62" w:rsidRPr="00B612CD">
          <w:rPr>
            <w:rStyle w:val="Lienhypertexte"/>
            <w:rFonts w:asciiTheme="majorBidi" w:hAnsiTheme="majorBidi" w:cstheme="majorBidi"/>
            <w:i/>
            <w:iCs/>
            <w:noProof/>
            <w:sz w:val="20"/>
            <w:szCs w:val="20"/>
          </w:rPr>
          <w:t xml:space="preserve">Carthamus tinctorius </w:t>
        </w:r>
        <w:r w:rsidR="003F0C62" w:rsidRPr="00B612CD">
          <w:rPr>
            <w:rStyle w:val="Lienhypertexte"/>
            <w:rFonts w:asciiTheme="majorBidi" w:hAnsiTheme="majorBidi" w:cstheme="majorBidi"/>
            <w:noProof/>
            <w:sz w:val="20"/>
            <w:szCs w:val="20"/>
          </w:rPr>
          <w:t>L.).</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_Toc252195000 \h </w:instrText>
        </w:r>
        <w:r w:rsidRPr="00B612CD">
          <w:rPr>
            <w:noProof/>
            <w:webHidden/>
            <w:sz w:val="20"/>
            <w:szCs w:val="20"/>
          </w:rPr>
        </w:r>
        <w:r w:rsidRPr="00B612CD">
          <w:rPr>
            <w:noProof/>
            <w:webHidden/>
            <w:sz w:val="20"/>
            <w:szCs w:val="20"/>
          </w:rPr>
          <w:fldChar w:fldCharType="separate"/>
        </w:r>
        <w:r w:rsidR="00A860F6">
          <w:rPr>
            <w:noProof/>
            <w:webHidden/>
            <w:sz w:val="20"/>
            <w:szCs w:val="20"/>
          </w:rPr>
          <w:t>78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01" w:history="1">
        <w:r w:rsidR="003F0C62" w:rsidRPr="00B612CD">
          <w:rPr>
            <w:rStyle w:val="Lienhypertexte"/>
            <w:rFonts w:asciiTheme="majorBidi" w:hAnsiTheme="majorBidi" w:cstheme="majorBidi"/>
            <w:noProof/>
            <w:sz w:val="20"/>
            <w:szCs w:val="20"/>
          </w:rPr>
          <w:t>Fig. 64:Analyse en composante principales projection des individus sur  le plan factoriel (1*2) (</w:t>
        </w:r>
        <w:r w:rsidR="003F0C62" w:rsidRPr="00B612CD">
          <w:rPr>
            <w:rStyle w:val="Lienhypertexte"/>
            <w:rFonts w:asciiTheme="majorBidi" w:hAnsiTheme="majorBidi" w:cstheme="majorBidi"/>
            <w:i/>
            <w:iCs/>
            <w:noProof/>
            <w:sz w:val="20"/>
            <w:szCs w:val="20"/>
          </w:rPr>
          <w:t>Carthamus tinctorius</w:t>
        </w:r>
        <w:r w:rsidR="003F0C62" w:rsidRPr="00B612CD">
          <w:rPr>
            <w:rStyle w:val="Lienhypertexte"/>
            <w:rFonts w:asciiTheme="majorBidi" w:hAnsiTheme="majorBidi" w:cstheme="majorBidi"/>
            <w:noProof/>
            <w:sz w:val="20"/>
            <w:szCs w:val="20"/>
          </w:rPr>
          <w:t xml:space="preserve"> L.).</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_Toc252195001 \h </w:instrText>
        </w:r>
        <w:r w:rsidRPr="00B612CD">
          <w:rPr>
            <w:noProof/>
            <w:webHidden/>
            <w:sz w:val="20"/>
            <w:szCs w:val="20"/>
          </w:rPr>
        </w:r>
        <w:r w:rsidRPr="00B612CD">
          <w:rPr>
            <w:noProof/>
            <w:webHidden/>
            <w:sz w:val="20"/>
            <w:szCs w:val="20"/>
          </w:rPr>
          <w:fldChar w:fldCharType="separate"/>
        </w:r>
        <w:r w:rsidR="00A860F6">
          <w:rPr>
            <w:noProof/>
            <w:webHidden/>
            <w:sz w:val="20"/>
            <w:szCs w:val="20"/>
          </w:rPr>
          <w:t>79</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02" w:history="1">
        <w:r w:rsidR="003F0C62" w:rsidRPr="00B612CD">
          <w:rPr>
            <w:rStyle w:val="Lienhypertexte"/>
            <w:rFonts w:asciiTheme="majorBidi" w:hAnsiTheme="majorBidi" w:cstheme="majorBidi"/>
            <w:noProof/>
            <w:sz w:val="20"/>
            <w:szCs w:val="20"/>
          </w:rPr>
          <w:t>Fig. 65:Vitesse moyenne de germination journalière (nombre de graines germées / jours).</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_Toc252195002 \h </w:instrText>
        </w:r>
        <w:r w:rsidRPr="00B612CD">
          <w:rPr>
            <w:noProof/>
            <w:webHidden/>
            <w:sz w:val="20"/>
            <w:szCs w:val="20"/>
          </w:rPr>
        </w:r>
        <w:r w:rsidRPr="00B612CD">
          <w:rPr>
            <w:noProof/>
            <w:webHidden/>
            <w:sz w:val="20"/>
            <w:szCs w:val="20"/>
          </w:rPr>
          <w:fldChar w:fldCharType="separate"/>
        </w:r>
        <w:r w:rsidR="00A860F6">
          <w:rPr>
            <w:noProof/>
            <w:webHidden/>
            <w:sz w:val="20"/>
            <w:szCs w:val="20"/>
          </w:rPr>
          <w:t>81</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03" w:history="1">
        <w:r w:rsidR="003F0C62" w:rsidRPr="00B612CD">
          <w:rPr>
            <w:rStyle w:val="Lienhypertexte"/>
            <w:rFonts w:asciiTheme="majorBidi" w:hAnsiTheme="majorBidi" w:cstheme="majorBidi"/>
            <w:noProof/>
            <w:sz w:val="20"/>
            <w:szCs w:val="20"/>
          </w:rPr>
          <w:t>Fig. 66:Capacité moyenne de germination en (%).</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_Toc252195003 \h </w:instrText>
        </w:r>
        <w:r w:rsidRPr="00B612CD">
          <w:rPr>
            <w:noProof/>
            <w:webHidden/>
            <w:sz w:val="20"/>
            <w:szCs w:val="20"/>
          </w:rPr>
        </w:r>
        <w:r w:rsidRPr="00B612CD">
          <w:rPr>
            <w:noProof/>
            <w:webHidden/>
            <w:sz w:val="20"/>
            <w:szCs w:val="20"/>
          </w:rPr>
          <w:fldChar w:fldCharType="separate"/>
        </w:r>
        <w:r w:rsidR="00A860F6">
          <w:rPr>
            <w:noProof/>
            <w:webHidden/>
            <w:sz w:val="20"/>
            <w:szCs w:val="20"/>
          </w:rPr>
          <w:t>81</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04" w:history="1">
        <w:r w:rsidR="003F0C62" w:rsidRPr="00B612CD">
          <w:rPr>
            <w:rStyle w:val="Lienhypertexte"/>
            <w:rFonts w:asciiTheme="majorBidi" w:hAnsiTheme="majorBidi" w:cstheme="majorBidi"/>
            <w:noProof/>
            <w:sz w:val="20"/>
            <w:szCs w:val="20"/>
          </w:rPr>
          <w:t>Fig. 67:Valeur germinative moyenne.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_Toc252195004 \h </w:instrText>
        </w:r>
        <w:r w:rsidRPr="00B612CD">
          <w:rPr>
            <w:noProof/>
            <w:webHidden/>
            <w:sz w:val="20"/>
            <w:szCs w:val="20"/>
          </w:rPr>
        </w:r>
        <w:r w:rsidRPr="00B612CD">
          <w:rPr>
            <w:noProof/>
            <w:webHidden/>
            <w:sz w:val="20"/>
            <w:szCs w:val="20"/>
          </w:rPr>
          <w:fldChar w:fldCharType="separate"/>
        </w:r>
        <w:r w:rsidR="00A860F6">
          <w:rPr>
            <w:noProof/>
            <w:webHidden/>
            <w:sz w:val="20"/>
            <w:szCs w:val="20"/>
          </w:rPr>
          <w:t>81</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05" w:history="1">
        <w:r w:rsidR="003F0C62" w:rsidRPr="00B612CD">
          <w:rPr>
            <w:rStyle w:val="Lienhypertexte"/>
            <w:rFonts w:asciiTheme="majorBidi" w:hAnsiTheme="majorBidi" w:cstheme="majorBidi"/>
            <w:noProof/>
            <w:sz w:val="20"/>
            <w:szCs w:val="20"/>
          </w:rPr>
          <w:t>Fig. 68:Pourcentage moyen de levée.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_Toc252195005 \h </w:instrText>
        </w:r>
        <w:r w:rsidRPr="00B612CD">
          <w:rPr>
            <w:noProof/>
            <w:webHidden/>
            <w:sz w:val="20"/>
            <w:szCs w:val="20"/>
          </w:rPr>
        </w:r>
        <w:r w:rsidRPr="00B612CD">
          <w:rPr>
            <w:noProof/>
            <w:webHidden/>
            <w:sz w:val="20"/>
            <w:szCs w:val="20"/>
          </w:rPr>
          <w:fldChar w:fldCharType="separate"/>
        </w:r>
        <w:r w:rsidR="00A860F6">
          <w:rPr>
            <w:noProof/>
            <w:webHidden/>
            <w:sz w:val="20"/>
            <w:szCs w:val="20"/>
          </w:rPr>
          <w:t>83</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06" w:history="1">
        <w:r w:rsidR="003F0C62" w:rsidRPr="00B612CD">
          <w:rPr>
            <w:rStyle w:val="Lienhypertexte"/>
            <w:rFonts w:asciiTheme="majorBidi" w:hAnsiTheme="majorBidi" w:cstheme="majorBidi"/>
            <w:noProof/>
            <w:sz w:val="20"/>
            <w:szCs w:val="20"/>
          </w:rPr>
          <w:t>Fig. 69:Nombre moyen de jours entre le semis et le stade : bouton floral (BF), début floraison (DF), pleine floraison (PF) et fin floraison (FF).</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_Toc252195006 \h </w:instrText>
        </w:r>
        <w:r w:rsidRPr="00B612CD">
          <w:rPr>
            <w:noProof/>
            <w:webHidden/>
            <w:sz w:val="20"/>
            <w:szCs w:val="20"/>
          </w:rPr>
        </w:r>
        <w:r w:rsidRPr="00B612CD">
          <w:rPr>
            <w:noProof/>
            <w:webHidden/>
            <w:sz w:val="20"/>
            <w:szCs w:val="20"/>
          </w:rPr>
          <w:fldChar w:fldCharType="separate"/>
        </w:r>
        <w:r w:rsidR="00A860F6">
          <w:rPr>
            <w:noProof/>
            <w:webHidden/>
            <w:sz w:val="20"/>
            <w:szCs w:val="20"/>
          </w:rPr>
          <w:t>83</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07" w:history="1">
        <w:r w:rsidR="003F0C62" w:rsidRPr="00B612CD">
          <w:rPr>
            <w:rStyle w:val="Lienhypertexte"/>
            <w:rFonts w:asciiTheme="majorBidi" w:hAnsiTheme="majorBidi" w:cstheme="majorBidi"/>
            <w:noProof/>
            <w:sz w:val="20"/>
            <w:szCs w:val="20"/>
          </w:rPr>
          <w:t>Fig. 70:La durée moyenne de floraison (étalement).</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_Toc252195007 \h </w:instrText>
        </w:r>
        <w:r w:rsidRPr="00B612CD">
          <w:rPr>
            <w:noProof/>
            <w:webHidden/>
            <w:sz w:val="20"/>
            <w:szCs w:val="20"/>
          </w:rPr>
        </w:r>
        <w:r w:rsidRPr="00B612CD">
          <w:rPr>
            <w:noProof/>
            <w:webHidden/>
            <w:sz w:val="20"/>
            <w:szCs w:val="20"/>
          </w:rPr>
          <w:fldChar w:fldCharType="separate"/>
        </w:r>
        <w:r w:rsidR="00A860F6">
          <w:rPr>
            <w:noProof/>
            <w:webHidden/>
            <w:sz w:val="20"/>
            <w:szCs w:val="20"/>
          </w:rPr>
          <w:t>83</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08" w:history="1">
        <w:r w:rsidR="003F0C62" w:rsidRPr="00B612CD">
          <w:rPr>
            <w:rStyle w:val="Lienhypertexte"/>
            <w:rFonts w:asciiTheme="majorBidi" w:hAnsiTheme="majorBidi" w:cstheme="majorBidi"/>
            <w:noProof/>
            <w:sz w:val="20"/>
            <w:szCs w:val="20"/>
          </w:rPr>
          <w:t xml:space="preserve">Fig. 71:Nombre </w:t>
        </w:r>
        <w:r w:rsidR="00165413" w:rsidRPr="00B612CD">
          <w:rPr>
            <w:rStyle w:val="Lienhypertexte"/>
            <w:rFonts w:asciiTheme="majorBidi" w:hAnsiTheme="majorBidi" w:cstheme="majorBidi"/>
            <w:noProof/>
            <w:sz w:val="20"/>
            <w:szCs w:val="20"/>
          </w:rPr>
          <w:t xml:space="preserve">moyen </w:t>
        </w:r>
        <w:r w:rsidR="003F0C62" w:rsidRPr="00B612CD">
          <w:rPr>
            <w:rStyle w:val="Lienhypertexte"/>
            <w:rFonts w:asciiTheme="majorBidi" w:hAnsiTheme="majorBidi" w:cstheme="majorBidi"/>
            <w:noProof/>
            <w:sz w:val="20"/>
            <w:szCs w:val="20"/>
          </w:rPr>
          <w:t>de jours entre le semis et le stade formation (FCs) et maturité des capsules (M).</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_Toc252195008 \h </w:instrText>
        </w:r>
        <w:r w:rsidRPr="00B612CD">
          <w:rPr>
            <w:noProof/>
            <w:webHidden/>
            <w:sz w:val="20"/>
            <w:szCs w:val="20"/>
          </w:rPr>
        </w:r>
        <w:r w:rsidRPr="00B612CD">
          <w:rPr>
            <w:noProof/>
            <w:webHidden/>
            <w:sz w:val="20"/>
            <w:szCs w:val="20"/>
          </w:rPr>
          <w:fldChar w:fldCharType="separate"/>
        </w:r>
        <w:r w:rsidR="00A860F6">
          <w:rPr>
            <w:noProof/>
            <w:webHidden/>
            <w:sz w:val="20"/>
            <w:szCs w:val="20"/>
          </w:rPr>
          <w:t>85</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09" w:history="1">
        <w:r w:rsidR="003F0C62" w:rsidRPr="00B612CD">
          <w:rPr>
            <w:rStyle w:val="Lienhypertexte"/>
            <w:rFonts w:asciiTheme="majorBidi" w:hAnsiTheme="majorBidi" w:cstheme="majorBidi"/>
            <w:noProof/>
            <w:sz w:val="20"/>
            <w:szCs w:val="20"/>
          </w:rPr>
          <w:t>Fig. 72:Les cinq hauteurs moyennes des plants en (cm).</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_Toc252195009 \h </w:instrText>
        </w:r>
        <w:r w:rsidRPr="00B612CD">
          <w:rPr>
            <w:noProof/>
            <w:webHidden/>
            <w:sz w:val="20"/>
            <w:szCs w:val="20"/>
          </w:rPr>
        </w:r>
        <w:r w:rsidRPr="00B612CD">
          <w:rPr>
            <w:noProof/>
            <w:webHidden/>
            <w:sz w:val="20"/>
            <w:szCs w:val="20"/>
          </w:rPr>
          <w:fldChar w:fldCharType="separate"/>
        </w:r>
        <w:r w:rsidR="00A860F6">
          <w:rPr>
            <w:noProof/>
            <w:webHidden/>
            <w:sz w:val="20"/>
            <w:szCs w:val="20"/>
          </w:rPr>
          <w:t>85</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10" w:history="1">
        <w:r w:rsidR="003F0C62" w:rsidRPr="00B612CD">
          <w:rPr>
            <w:rStyle w:val="Lienhypertexte"/>
            <w:rFonts w:asciiTheme="majorBidi" w:hAnsiTheme="majorBidi" w:cstheme="majorBidi"/>
            <w:noProof/>
            <w:sz w:val="20"/>
            <w:szCs w:val="20"/>
          </w:rPr>
          <w:t>Fig. 73:Vitesse moyenne de croissance en hauteur (cm/j).</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_Toc252195010 \h </w:instrText>
        </w:r>
        <w:r w:rsidRPr="00B612CD">
          <w:rPr>
            <w:noProof/>
            <w:webHidden/>
            <w:sz w:val="20"/>
            <w:szCs w:val="20"/>
          </w:rPr>
        </w:r>
        <w:r w:rsidRPr="00B612CD">
          <w:rPr>
            <w:noProof/>
            <w:webHidden/>
            <w:sz w:val="20"/>
            <w:szCs w:val="20"/>
          </w:rPr>
          <w:fldChar w:fldCharType="separate"/>
        </w:r>
        <w:r w:rsidR="00A860F6">
          <w:rPr>
            <w:noProof/>
            <w:webHidden/>
            <w:sz w:val="20"/>
            <w:szCs w:val="20"/>
          </w:rPr>
          <w:t>87</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11" w:history="1">
        <w:r w:rsidR="003F0C62" w:rsidRPr="00B612CD">
          <w:rPr>
            <w:rStyle w:val="Lienhypertexte"/>
            <w:rFonts w:asciiTheme="majorBidi" w:hAnsiTheme="majorBidi" w:cstheme="majorBidi"/>
            <w:noProof/>
            <w:sz w:val="20"/>
            <w:szCs w:val="20"/>
          </w:rPr>
          <w:t>Fig. 74:Nombre moyen de ramifications primaires (NR1), secondaires (NR2), tertiaires (NR3) et total (NTR) par plant.</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_Toc252195011 \h </w:instrText>
        </w:r>
        <w:r w:rsidRPr="00B612CD">
          <w:rPr>
            <w:noProof/>
            <w:webHidden/>
            <w:sz w:val="20"/>
            <w:szCs w:val="20"/>
          </w:rPr>
        </w:r>
        <w:r w:rsidRPr="00B612CD">
          <w:rPr>
            <w:noProof/>
            <w:webHidden/>
            <w:sz w:val="20"/>
            <w:szCs w:val="20"/>
          </w:rPr>
          <w:fldChar w:fldCharType="separate"/>
        </w:r>
        <w:r w:rsidR="00A860F6">
          <w:rPr>
            <w:noProof/>
            <w:webHidden/>
            <w:sz w:val="20"/>
            <w:szCs w:val="20"/>
          </w:rPr>
          <w:t>87</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12" w:history="1">
        <w:r w:rsidR="003F0C62" w:rsidRPr="00B612CD">
          <w:rPr>
            <w:rStyle w:val="Lienhypertexte"/>
            <w:rFonts w:asciiTheme="majorBidi" w:hAnsiTheme="majorBidi" w:cstheme="majorBidi"/>
            <w:noProof/>
            <w:sz w:val="20"/>
            <w:szCs w:val="20"/>
          </w:rPr>
          <w:t>Fig. 75:Nombre moyen de capsules par plant.</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_Toc252195012 \h </w:instrText>
        </w:r>
        <w:r w:rsidRPr="00B612CD">
          <w:rPr>
            <w:noProof/>
            <w:webHidden/>
            <w:sz w:val="20"/>
            <w:szCs w:val="20"/>
          </w:rPr>
        </w:r>
        <w:r w:rsidRPr="00B612CD">
          <w:rPr>
            <w:noProof/>
            <w:webHidden/>
            <w:sz w:val="20"/>
            <w:szCs w:val="20"/>
          </w:rPr>
          <w:fldChar w:fldCharType="separate"/>
        </w:r>
        <w:r w:rsidR="00A860F6">
          <w:rPr>
            <w:noProof/>
            <w:webHidden/>
            <w:sz w:val="20"/>
            <w:szCs w:val="20"/>
          </w:rPr>
          <w:t>89</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13" w:history="1">
        <w:r w:rsidR="003F0C62" w:rsidRPr="00B612CD">
          <w:rPr>
            <w:rStyle w:val="Lienhypertexte"/>
            <w:rFonts w:asciiTheme="majorBidi" w:hAnsiTheme="majorBidi" w:cstheme="majorBidi"/>
            <w:noProof/>
            <w:sz w:val="20"/>
            <w:szCs w:val="20"/>
          </w:rPr>
          <w:t>Fig. 76:Poids m</w:t>
        </w:r>
        <w:r w:rsidR="00794D9B">
          <w:rPr>
            <w:rStyle w:val="Lienhypertexte"/>
            <w:rFonts w:asciiTheme="majorBidi" w:hAnsiTheme="majorBidi" w:cstheme="majorBidi"/>
            <w:noProof/>
            <w:sz w:val="20"/>
            <w:szCs w:val="20"/>
          </w:rPr>
          <w:t>oyen de capsules par plant en (</w:t>
        </w:r>
        <w:r w:rsidR="003F0C62" w:rsidRPr="00B612CD">
          <w:rPr>
            <w:rStyle w:val="Lienhypertexte"/>
            <w:rFonts w:asciiTheme="majorBidi" w:hAnsiTheme="majorBidi" w:cstheme="majorBidi"/>
            <w:noProof/>
            <w:sz w:val="20"/>
            <w:szCs w:val="20"/>
          </w:rPr>
          <w:t>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_Toc252195013 \h </w:instrText>
        </w:r>
        <w:r w:rsidRPr="00B612CD">
          <w:rPr>
            <w:noProof/>
            <w:webHidden/>
            <w:sz w:val="20"/>
            <w:szCs w:val="20"/>
          </w:rPr>
        </w:r>
        <w:r w:rsidRPr="00B612CD">
          <w:rPr>
            <w:noProof/>
            <w:webHidden/>
            <w:sz w:val="20"/>
            <w:szCs w:val="20"/>
          </w:rPr>
          <w:fldChar w:fldCharType="separate"/>
        </w:r>
        <w:r w:rsidR="00A860F6">
          <w:rPr>
            <w:noProof/>
            <w:webHidden/>
            <w:sz w:val="20"/>
            <w:szCs w:val="20"/>
          </w:rPr>
          <w:t>89</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14" w:history="1">
        <w:r w:rsidR="003F0C62" w:rsidRPr="00B612CD">
          <w:rPr>
            <w:rStyle w:val="Lienhypertexte"/>
            <w:rFonts w:asciiTheme="majorBidi" w:hAnsiTheme="majorBidi" w:cstheme="majorBidi"/>
            <w:noProof/>
            <w:sz w:val="20"/>
            <w:szCs w:val="20"/>
          </w:rPr>
          <w:t xml:space="preserve">Fig. 77:Longueur (LCs) et diamètre (DCs) </w:t>
        </w:r>
        <w:r w:rsidR="00165413" w:rsidRPr="00B612CD">
          <w:rPr>
            <w:rStyle w:val="Lienhypertexte"/>
            <w:rFonts w:asciiTheme="majorBidi" w:hAnsiTheme="majorBidi" w:cstheme="majorBidi"/>
            <w:noProof/>
            <w:sz w:val="20"/>
            <w:szCs w:val="20"/>
          </w:rPr>
          <w:t xml:space="preserve">moyens </w:t>
        </w:r>
        <w:r w:rsidR="003F0C62" w:rsidRPr="00B612CD">
          <w:rPr>
            <w:rStyle w:val="Lienhypertexte"/>
            <w:rFonts w:asciiTheme="majorBidi" w:hAnsiTheme="majorBidi" w:cstheme="majorBidi"/>
            <w:noProof/>
            <w:sz w:val="20"/>
            <w:szCs w:val="20"/>
          </w:rPr>
          <w:t>d’une capsule en (mm).</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_Toc252195014 \h </w:instrText>
        </w:r>
        <w:r w:rsidRPr="00B612CD">
          <w:rPr>
            <w:noProof/>
            <w:webHidden/>
            <w:sz w:val="20"/>
            <w:szCs w:val="20"/>
          </w:rPr>
        </w:r>
        <w:r w:rsidRPr="00B612CD">
          <w:rPr>
            <w:noProof/>
            <w:webHidden/>
            <w:sz w:val="20"/>
            <w:szCs w:val="20"/>
          </w:rPr>
          <w:fldChar w:fldCharType="separate"/>
        </w:r>
        <w:r w:rsidR="00A860F6">
          <w:rPr>
            <w:noProof/>
            <w:webHidden/>
            <w:sz w:val="20"/>
            <w:szCs w:val="20"/>
          </w:rPr>
          <w:t>89</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15" w:history="1">
        <w:r w:rsidR="003F0C62" w:rsidRPr="00B612CD">
          <w:rPr>
            <w:rStyle w:val="Lienhypertexte"/>
            <w:rFonts w:asciiTheme="majorBidi" w:hAnsiTheme="majorBidi" w:cstheme="majorBidi"/>
            <w:noProof/>
            <w:sz w:val="20"/>
            <w:szCs w:val="20"/>
          </w:rPr>
          <w:t>Fig. 78:Nombre moyen de valves par capsule.</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_Toc252195015 \h </w:instrText>
        </w:r>
        <w:r w:rsidRPr="00B612CD">
          <w:rPr>
            <w:noProof/>
            <w:webHidden/>
            <w:sz w:val="20"/>
            <w:szCs w:val="20"/>
          </w:rPr>
        </w:r>
        <w:r w:rsidRPr="00B612CD">
          <w:rPr>
            <w:noProof/>
            <w:webHidden/>
            <w:sz w:val="20"/>
            <w:szCs w:val="20"/>
          </w:rPr>
          <w:fldChar w:fldCharType="separate"/>
        </w:r>
        <w:r w:rsidR="00A860F6">
          <w:rPr>
            <w:noProof/>
            <w:webHidden/>
            <w:sz w:val="20"/>
            <w:szCs w:val="20"/>
          </w:rPr>
          <w:t>91</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16" w:history="1">
        <w:r w:rsidR="003F0C62" w:rsidRPr="00B612CD">
          <w:rPr>
            <w:rStyle w:val="Lienhypertexte"/>
            <w:rFonts w:asciiTheme="majorBidi" w:hAnsiTheme="majorBidi" w:cstheme="majorBidi"/>
            <w:noProof/>
            <w:sz w:val="20"/>
            <w:szCs w:val="20"/>
          </w:rPr>
          <w:t xml:space="preserve">Fig. 79:Nombre </w:t>
        </w:r>
        <w:r w:rsidR="00165413" w:rsidRPr="00B612CD">
          <w:rPr>
            <w:rStyle w:val="Lienhypertexte"/>
            <w:rFonts w:asciiTheme="majorBidi" w:hAnsiTheme="majorBidi" w:cstheme="majorBidi"/>
            <w:noProof/>
            <w:sz w:val="20"/>
            <w:szCs w:val="20"/>
          </w:rPr>
          <w:t xml:space="preserve">moyen </w:t>
        </w:r>
        <w:r w:rsidR="003F0C62" w:rsidRPr="00B612CD">
          <w:rPr>
            <w:rStyle w:val="Lienhypertexte"/>
            <w:rFonts w:asciiTheme="majorBidi" w:hAnsiTheme="majorBidi" w:cstheme="majorBidi"/>
            <w:noProof/>
            <w:sz w:val="20"/>
            <w:szCs w:val="20"/>
          </w:rPr>
          <w:t>de graines saines (NGRS), avortées-échaudées (NGRAE) et totales (NGRT) par capsules.</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_Toc252195016 \h </w:instrText>
        </w:r>
        <w:r w:rsidRPr="00B612CD">
          <w:rPr>
            <w:noProof/>
            <w:webHidden/>
            <w:sz w:val="20"/>
            <w:szCs w:val="20"/>
          </w:rPr>
        </w:r>
        <w:r w:rsidRPr="00B612CD">
          <w:rPr>
            <w:noProof/>
            <w:webHidden/>
            <w:sz w:val="20"/>
            <w:szCs w:val="20"/>
          </w:rPr>
          <w:fldChar w:fldCharType="separate"/>
        </w:r>
        <w:r w:rsidR="00A860F6">
          <w:rPr>
            <w:noProof/>
            <w:webHidden/>
            <w:sz w:val="20"/>
            <w:szCs w:val="20"/>
          </w:rPr>
          <w:t>91</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17" w:history="1">
        <w:r w:rsidR="003F0C62" w:rsidRPr="00B612CD">
          <w:rPr>
            <w:rStyle w:val="Lienhypertexte"/>
            <w:rFonts w:asciiTheme="majorBidi" w:hAnsiTheme="majorBidi" w:cstheme="majorBidi"/>
            <w:noProof/>
            <w:sz w:val="20"/>
            <w:szCs w:val="20"/>
          </w:rPr>
          <w:t xml:space="preserve">Fig. 80:Poids moyen d’une capsule (PCs) et des graines </w:t>
        </w:r>
        <w:r w:rsidR="00794D9B">
          <w:rPr>
            <w:rStyle w:val="Lienhypertexte"/>
            <w:rFonts w:asciiTheme="majorBidi" w:hAnsiTheme="majorBidi" w:cstheme="majorBidi"/>
            <w:noProof/>
            <w:sz w:val="20"/>
            <w:szCs w:val="20"/>
          </w:rPr>
          <w:t>saines (PGRS) par capsules en (</w:t>
        </w:r>
        <w:r w:rsidR="003F0C62" w:rsidRPr="00B612CD">
          <w:rPr>
            <w:rStyle w:val="Lienhypertexte"/>
            <w:rFonts w:asciiTheme="majorBidi" w:hAnsiTheme="majorBidi" w:cstheme="majorBidi"/>
            <w:noProof/>
            <w:sz w:val="20"/>
            <w:szCs w:val="20"/>
          </w:rPr>
          <w:t>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_Toc252195017 \h </w:instrText>
        </w:r>
        <w:r w:rsidRPr="00B612CD">
          <w:rPr>
            <w:noProof/>
            <w:webHidden/>
            <w:sz w:val="20"/>
            <w:szCs w:val="20"/>
          </w:rPr>
        </w:r>
        <w:r w:rsidRPr="00B612CD">
          <w:rPr>
            <w:noProof/>
            <w:webHidden/>
            <w:sz w:val="20"/>
            <w:szCs w:val="20"/>
          </w:rPr>
          <w:fldChar w:fldCharType="separate"/>
        </w:r>
        <w:r w:rsidR="00A860F6">
          <w:rPr>
            <w:noProof/>
            <w:webHidden/>
            <w:sz w:val="20"/>
            <w:szCs w:val="20"/>
          </w:rPr>
          <w:t>93</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18" w:history="1">
        <w:r w:rsidR="00DB0278" w:rsidRPr="00B612CD">
          <w:rPr>
            <w:rStyle w:val="Lienhypertexte"/>
            <w:rFonts w:asciiTheme="majorBidi" w:hAnsiTheme="majorBidi" w:cstheme="majorBidi"/>
            <w:noProof/>
            <w:sz w:val="20"/>
            <w:szCs w:val="20"/>
          </w:rPr>
          <w:t xml:space="preserve">Fig. 81:Poids moyen de 1000 graines en </w:t>
        </w:r>
        <w:r w:rsidR="00794D9B">
          <w:rPr>
            <w:rStyle w:val="Lienhypertexte"/>
            <w:rFonts w:asciiTheme="majorBidi" w:hAnsiTheme="majorBidi" w:cstheme="majorBidi"/>
            <w:noProof/>
            <w:sz w:val="20"/>
            <w:szCs w:val="20"/>
          </w:rPr>
          <w:t>(</w:t>
        </w:r>
        <w:r w:rsidR="003F0C62" w:rsidRPr="00B612CD">
          <w:rPr>
            <w:rStyle w:val="Lienhypertexte"/>
            <w:rFonts w:asciiTheme="majorBidi" w:hAnsiTheme="majorBidi" w:cstheme="majorBidi"/>
            <w:noProof/>
            <w:sz w:val="20"/>
            <w:szCs w:val="20"/>
          </w:rPr>
          <w:t>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_Toc252195018 \h </w:instrText>
        </w:r>
        <w:r w:rsidRPr="00B612CD">
          <w:rPr>
            <w:noProof/>
            <w:webHidden/>
            <w:sz w:val="20"/>
            <w:szCs w:val="20"/>
          </w:rPr>
        </w:r>
        <w:r w:rsidRPr="00B612CD">
          <w:rPr>
            <w:noProof/>
            <w:webHidden/>
            <w:sz w:val="20"/>
            <w:szCs w:val="20"/>
          </w:rPr>
          <w:fldChar w:fldCharType="separate"/>
        </w:r>
        <w:r w:rsidR="00A860F6">
          <w:rPr>
            <w:noProof/>
            <w:webHidden/>
            <w:sz w:val="20"/>
            <w:szCs w:val="20"/>
          </w:rPr>
          <w:t>93</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19" w:history="1">
        <w:r w:rsidR="003F0C62" w:rsidRPr="00B612CD">
          <w:rPr>
            <w:rStyle w:val="Lienhypertexte"/>
            <w:rFonts w:asciiTheme="majorBidi" w:hAnsiTheme="majorBidi" w:cstheme="majorBidi"/>
            <w:noProof/>
            <w:sz w:val="20"/>
            <w:szCs w:val="20"/>
          </w:rPr>
          <w:t>Fig. 82:Rendement moyen en graines estimé par parcelle en (kg).</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_Toc252195019 \h </w:instrText>
        </w:r>
        <w:r w:rsidRPr="00B612CD">
          <w:rPr>
            <w:noProof/>
            <w:webHidden/>
            <w:sz w:val="20"/>
            <w:szCs w:val="20"/>
          </w:rPr>
        </w:r>
        <w:r w:rsidRPr="00B612CD">
          <w:rPr>
            <w:noProof/>
            <w:webHidden/>
            <w:sz w:val="20"/>
            <w:szCs w:val="20"/>
          </w:rPr>
          <w:fldChar w:fldCharType="separate"/>
        </w:r>
        <w:r w:rsidR="00A860F6">
          <w:rPr>
            <w:noProof/>
            <w:webHidden/>
            <w:sz w:val="20"/>
            <w:szCs w:val="20"/>
          </w:rPr>
          <w:t>93</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20" w:history="1">
        <w:r w:rsidR="003F0C62" w:rsidRPr="00B612CD">
          <w:rPr>
            <w:rStyle w:val="Lienhypertexte"/>
            <w:rFonts w:asciiTheme="majorBidi" w:hAnsiTheme="majorBidi" w:cstheme="majorBidi"/>
            <w:noProof/>
            <w:sz w:val="20"/>
            <w:szCs w:val="20"/>
          </w:rPr>
          <w:t>Fig. 83:Analyse en composante principales, projection des variables sur le plan factoriel (1*2) (</w:t>
        </w:r>
        <w:r w:rsidR="003F0C62" w:rsidRPr="00B612CD">
          <w:rPr>
            <w:rStyle w:val="Lienhypertexte"/>
            <w:rFonts w:asciiTheme="majorBidi" w:hAnsiTheme="majorBidi" w:cstheme="majorBidi"/>
            <w:i/>
            <w:iCs/>
            <w:noProof/>
            <w:sz w:val="20"/>
            <w:szCs w:val="20"/>
          </w:rPr>
          <w:t>Nigella sativa</w:t>
        </w:r>
        <w:r w:rsidR="003F0C62" w:rsidRPr="00B612CD">
          <w:rPr>
            <w:rStyle w:val="Lienhypertexte"/>
            <w:rFonts w:asciiTheme="majorBidi" w:hAnsiTheme="majorBidi" w:cstheme="majorBidi"/>
            <w:noProof/>
            <w:sz w:val="20"/>
            <w:szCs w:val="20"/>
          </w:rPr>
          <w:t xml:space="preserve"> L.).</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_Toc252195020 \h </w:instrText>
        </w:r>
        <w:r w:rsidRPr="00B612CD">
          <w:rPr>
            <w:noProof/>
            <w:webHidden/>
            <w:sz w:val="20"/>
            <w:szCs w:val="20"/>
          </w:rPr>
        </w:r>
        <w:r w:rsidRPr="00B612CD">
          <w:rPr>
            <w:noProof/>
            <w:webHidden/>
            <w:sz w:val="20"/>
            <w:szCs w:val="20"/>
          </w:rPr>
          <w:fldChar w:fldCharType="separate"/>
        </w:r>
        <w:r w:rsidR="00A860F6">
          <w:rPr>
            <w:noProof/>
            <w:webHidden/>
            <w:sz w:val="20"/>
            <w:szCs w:val="20"/>
          </w:rPr>
          <w:t>98</w:t>
        </w:r>
        <w:r w:rsidRPr="00B612CD">
          <w:rPr>
            <w:noProof/>
            <w:webHidden/>
            <w:sz w:val="20"/>
            <w:szCs w:val="20"/>
          </w:rPr>
          <w:fldChar w:fldCharType="end"/>
        </w:r>
      </w:hyperlink>
    </w:p>
    <w:p w:rsidR="003F0C62" w:rsidRPr="00B612CD" w:rsidRDefault="00811D6A" w:rsidP="00B612CD">
      <w:pPr>
        <w:pStyle w:val="Tabledesillustrations"/>
        <w:tabs>
          <w:tab w:val="right" w:leader="dot" w:pos="9771"/>
        </w:tabs>
        <w:spacing w:line="240" w:lineRule="auto"/>
        <w:rPr>
          <w:noProof/>
          <w:sz w:val="20"/>
          <w:szCs w:val="20"/>
        </w:rPr>
      </w:pPr>
      <w:hyperlink w:anchor="_Toc252195021" w:history="1">
        <w:r w:rsidR="003F0C62" w:rsidRPr="00B612CD">
          <w:rPr>
            <w:rStyle w:val="Lienhypertexte"/>
            <w:rFonts w:asciiTheme="majorBidi" w:hAnsiTheme="majorBidi" w:cstheme="majorBidi"/>
            <w:noProof/>
            <w:sz w:val="20"/>
            <w:szCs w:val="20"/>
          </w:rPr>
          <w:t>Fig. 84:Analyse en composante principales, projection des individus sur le plan factoriel (1*2) (</w:t>
        </w:r>
        <w:r w:rsidR="003F0C62" w:rsidRPr="00B612CD">
          <w:rPr>
            <w:rStyle w:val="Lienhypertexte"/>
            <w:rFonts w:asciiTheme="majorBidi" w:hAnsiTheme="majorBidi" w:cstheme="majorBidi"/>
            <w:i/>
            <w:iCs/>
            <w:noProof/>
            <w:sz w:val="20"/>
            <w:szCs w:val="20"/>
          </w:rPr>
          <w:t>Nigella sativa</w:t>
        </w:r>
        <w:r w:rsidR="003F0C62" w:rsidRPr="00B612CD">
          <w:rPr>
            <w:rStyle w:val="Lienhypertexte"/>
            <w:rFonts w:asciiTheme="majorBidi" w:hAnsiTheme="majorBidi" w:cstheme="majorBidi"/>
            <w:noProof/>
            <w:sz w:val="20"/>
            <w:szCs w:val="20"/>
          </w:rPr>
          <w:t xml:space="preserve"> L.).</w:t>
        </w:r>
        <w:r w:rsidR="003F0C62" w:rsidRPr="00B612CD">
          <w:rPr>
            <w:noProof/>
            <w:webHidden/>
            <w:sz w:val="20"/>
            <w:szCs w:val="20"/>
          </w:rPr>
          <w:tab/>
        </w:r>
        <w:r w:rsidRPr="00B612CD">
          <w:rPr>
            <w:noProof/>
            <w:webHidden/>
            <w:sz w:val="20"/>
            <w:szCs w:val="20"/>
          </w:rPr>
          <w:fldChar w:fldCharType="begin"/>
        </w:r>
        <w:r w:rsidR="003F0C62" w:rsidRPr="00B612CD">
          <w:rPr>
            <w:noProof/>
            <w:webHidden/>
            <w:sz w:val="20"/>
            <w:szCs w:val="20"/>
          </w:rPr>
          <w:instrText xml:space="preserve"> PAGEREF _Toc252195021 \h </w:instrText>
        </w:r>
        <w:r w:rsidRPr="00B612CD">
          <w:rPr>
            <w:noProof/>
            <w:webHidden/>
            <w:sz w:val="20"/>
            <w:szCs w:val="20"/>
          </w:rPr>
        </w:r>
        <w:r w:rsidRPr="00B612CD">
          <w:rPr>
            <w:noProof/>
            <w:webHidden/>
            <w:sz w:val="20"/>
            <w:szCs w:val="20"/>
          </w:rPr>
          <w:fldChar w:fldCharType="separate"/>
        </w:r>
        <w:r w:rsidR="00A860F6">
          <w:rPr>
            <w:noProof/>
            <w:webHidden/>
            <w:sz w:val="20"/>
            <w:szCs w:val="20"/>
          </w:rPr>
          <w:t>99</w:t>
        </w:r>
        <w:r w:rsidRPr="00B612CD">
          <w:rPr>
            <w:noProof/>
            <w:webHidden/>
            <w:sz w:val="20"/>
            <w:szCs w:val="20"/>
          </w:rPr>
          <w:fldChar w:fldCharType="end"/>
        </w:r>
      </w:hyperlink>
    </w:p>
    <w:p w:rsidR="003F0C62" w:rsidRPr="001D6B71" w:rsidRDefault="00811D6A" w:rsidP="00B612CD">
      <w:pPr>
        <w:spacing w:line="240" w:lineRule="auto"/>
        <w:rPr>
          <w:sz w:val="20"/>
          <w:szCs w:val="20"/>
        </w:rPr>
      </w:pPr>
      <w:r w:rsidRPr="001D6B71">
        <w:rPr>
          <w:sz w:val="20"/>
          <w:szCs w:val="20"/>
        </w:rPr>
        <w:fldChar w:fldCharType="end"/>
      </w:r>
    </w:p>
    <w:p w:rsidR="00604A47" w:rsidRDefault="00604A47" w:rsidP="00B824A2">
      <w:pPr>
        <w:rPr>
          <w:sz w:val="20"/>
          <w:szCs w:val="20"/>
        </w:rPr>
      </w:pPr>
    </w:p>
    <w:p w:rsidR="001B476E" w:rsidRDefault="001B476E" w:rsidP="00B824A2"/>
    <w:p w:rsidR="00A64CFE" w:rsidRDefault="00A64CFE" w:rsidP="00B824A2"/>
    <w:p w:rsidR="00A64CFE" w:rsidRDefault="00A64CFE" w:rsidP="00B824A2"/>
    <w:p w:rsidR="00A64CFE" w:rsidRDefault="00A64CFE" w:rsidP="00B824A2"/>
    <w:p w:rsidR="00413059" w:rsidRDefault="00413059" w:rsidP="00B824A2"/>
    <w:p w:rsidR="005A5587" w:rsidRDefault="005A5587" w:rsidP="00B824A2"/>
    <w:p w:rsidR="005A5587" w:rsidRDefault="005A5587" w:rsidP="00B824A2"/>
    <w:p w:rsidR="005A5587" w:rsidRDefault="005A5587" w:rsidP="00B824A2"/>
    <w:p w:rsidR="005A5587" w:rsidRDefault="005A5587" w:rsidP="00B824A2"/>
    <w:p w:rsidR="005A5587" w:rsidRDefault="005A5587" w:rsidP="00B824A2"/>
    <w:p w:rsidR="00A64CFE" w:rsidRDefault="00A64CFE" w:rsidP="00B824A2"/>
    <w:p w:rsidR="00192810" w:rsidRDefault="00192810" w:rsidP="00192810">
      <w:pPr>
        <w:jc w:val="center"/>
        <w:rPr>
          <w:rFonts w:ascii="Times New Roman" w:hAnsi="Times New Roman" w:cs="Times New Roman"/>
          <w:b/>
          <w:bCs/>
          <w:sz w:val="28"/>
          <w:szCs w:val="28"/>
        </w:rPr>
      </w:pPr>
      <w:r w:rsidRPr="001B3D65">
        <w:rPr>
          <w:rFonts w:ascii="Times New Roman" w:hAnsi="Times New Roman" w:cs="Times New Roman"/>
          <w:b/>
          <w:bCs/>
          <w:sz w:val="28"/>
          <w:szCs w:val="28"/>
        </w:rPr>
        <w:lastRenderedPageBreak/>
        <w:t>Listes des abréviations et des symboles</w:t>
      </w:r>
    </w:p>
    <w:p w:rsidR="00366C81" w:rsidRDefault="00366C81" w:rsidP="00BA4EE0">
      <w:pPr>
        <w:tabs>
          <w:tab w:val="left" w:pos="5040"/>
        </w:tabs>
        <w:spacing w:after="80" w:line="240" w:lineRule="auto"/>
        <w:jc w:val="both"/>
        <w:rPr>
          <w:rFonts w:ascii="Times New Roman" w:hAnsi="Times New Roman" w:cs="Times New Roman"/>
          <w:sz w:val="24"/>
          <w:szCs w:val="24"/>
        </w:rPr>
      </w:pPr>
    </w:p>
    <w:p w:rsidR="00366C81" w:rsidRPr="00366C81" w:rsidRDefault="00366C81" w:rsidP="004F44BF">
      <w:pPr>
        <w:tabs>
          <w:tab w:val="left" w:pos="5040"/>
        </w:tabs>
        <w:spacing w:after="80" w:line="240" w:lineRule="auto"/>
        <w:ind w:firstLine="284"/>
        <w:jc w:val="both"/>
        <w:rPr>
          <w:rFonts w:ascii="Times New Roman" w:hAnsi="Times New Roman" w:cs="Times New Roman"/>
          <w:sz w:val="24"/>
          <w:szCs w:val="24"/>
        </w:rPr>
      </w:pPr>
      <w:r w:rsidRPr="00366C81">
        <w:rPr>
          <w:rFonts w:ascii="Times New Roman" w:hAnsi="Times New Roman" w:cs="Times New Roman"/>
          <w:sz w:val="24"/>
          <w:szCs w:val="24"/>
        </w:rPr>
        <w:t>APIA : Agence de promotion d</w:t>
      </w:r>
      <w:r>
        <w:rPr>
          <w:rFonts w:ascii="Times New Roman" w:hAnsi="Times New Roman" w:cs="Times New Roman"/>
          <w:sz w:val="24"/>
          <w:szCs w:val="24"/>
        </w:rPr>
        <w:t>es investissements agricoles</w:t>
      </w:r>
      <w:r w:rsidR="00121D5A">
        <w:rPr>
          <w:rFonts w:ascii="Times New Roman" w:hAnsi="Times New Roman" w:cs="Times New Roman"/>
          <w:sz w:val="24"/>
          <w:szCs w:val="24"/>
        </w:rPr>
        <w:t>.</w:t>
      </w:r>
    </w:p>
    <w:p w:rsidR="00192810" w:rsidRPr="008A45A3" w:rsidRDefault="00192810" w:rsidP="004F44BF">
      <w:pPr>
        <w:tabs>
          <w:tab w:val="left" w:pos="5040"/>
        </w:tabs>
        <w:spacing w:after="80" w:line="240" w:lineRule="auto"/>
        <w:ind w:firstLine="284"/>
        <w:jc w:val="both"/>
        <w:rPr>
          <w:rFonts w:ascii="Times New Roman" w:hAnsi="Times New Roman" w:cs="Times New Roman"/>
          <w:sz w:val="24"/>
          <w:szCs w:val="24"/>
        </w:rPr>
      </w:pPr>
      <w:r w:rsidRPr="008A45A3">
        <w:rPr>
          <w:rFonts w:ascii="Times New Roman" w:hAnsi="Times New Roman" w:cs="Times New Roman"/>
          <w:sz w:val="24"/>
          <w:szCs w:val="24"/>
        </w:rPr>
        <w:t>BF : Bouton  floral.</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C.R.S.T.R.A : Centre de recherche scientifique et technique sur les régions arides.</w:t>
      </w:r>
    </w:p>
    <w:p w:rsidR="00AD7884"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CG : capacité moyenne de germination.</w:t>
      </w:r>
    </w:p>
    <w:p w:rsidR="004C497C"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DC : </w:t>
      </w:r>
      <w:r>
        <w:rPr>
          <w:rFonts w:ascii="Times New Roman" w:hAnsi="Times New Roman" w:cs="Times New Roman"/>
          <w:sz w:val="24"/>
          <w:szCs w:val="24"/>
        </w:rPr>
        <w:t>D</w:t>
      </w:r>
      <w:r w:rsidRPr="003010B8">
        <w:rPr>
          <w:rFonts w:ascii="Times New Roman" w:hAnsi="Times New Roman" w:cs="Times New Roman"/>
          <w:sz w:val="24"/>
          <w:szCs w:val="24"/>
        </w:rPr>
        <w:t xml:space="preserve">iamètre </w:t>
      </w:r>
      <w:r w:rsidRPr="006C14D3">
        <w:rPr>
          <w:rFonts w:ascii="Times New Roman" w:hAnsi="Times New Roman" w:cs="Times New Roman"/>
          <w:sz w:val="24"/>
          <w:szCs w:val="24"/>
        </w:rPr>
        <w:t>moyen du capitule</w:t>
      </w:r>
      <w:r w:rsidRPr="003010B8">
        <w:rPr>
          <w:rFonts w:ascii="Times New Roman" w:hAnsi="Times New Roman" w:cs="Times New Roman"/>
          <w:sz w:val="24"/>
          <w:szCs w:val="24"/>
        </w:rPr>
        <w:t>.</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DCH : Dynamique de croissance en hauteur. </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DCs : Diamètre moyen de la capsule.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DF : Début floraison. </w:t>
      </w:r>
    </w:p>
    <w:p w:rsidR="00192810"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DG : Diamètre moyen de la gousse.</w:t>
      </w:r>
    </w:p>
    <w:p w:rsidR="00AD7884" w:rsidRPr="003010B8" w:rsidRDefault="00AD7884" w:rsidP="004F44BF">
      <w:pPr>
        <w:tabs>
          <w:tab w:val="left" w:pos="5040"/>
        </w:tabs>
        <w:spacing w:after="80" w:line="240" w:lineRule="auto"/>
        <w:ind w:firstLine="284"/>
        <w:jc w:val="both"/>
        <w:rPr>
          <w:rFonts w:ascii="Times New Roman" w:hAnsi="Times New Roman" w:cs="Times New Roman"/>
          <w:sz w:val="24"/>
          <w:szCs w:val="24"/>
        </w:rPr>
      </w:pPr>
      <w:r w:rsidRPr="00AD7884">
        <w:rPr>
          <w:rFonts w:ascii="Times New Roman" w:hAnsi="Times New Roman" w:cs="Times New Roman"/>
          <w:sz w:val="24"/>
          <w:szCs w:val="24"/>
        </w:rPr>
        <w:t>DG</w:t>
      </w:r>
      <w:r w:rsidR="004C497C">
        <w:rPr>
          <w:rFonts w:ascii="Times New Roman" w:hAnsi="Times New Roman" w:cs="Times New Roman"/>
          <w:sz w:val="24"/>
          <w:szCs w:val="24"/>
        </w:rPr>
        <w:t>R</w:t>
      </w:r>
      <w:r w:rsidR="004F44BF">
        <w:rPr>
          <w:rFonts w:ascii="Times New Roman" w:hAnsi="Times New Roman" w:cs="Times New Roman"/>
          <w:sz w:val="24"/>
          <w:szCs w:val="24"/>
        </w:rPr>
        <w:t> : D</w:t>
      </w:r>
      <w:r w:rsidRPr="00AD7884">
        <w:rPr>
          <w:rFonts w:ascii="Times New Roman" w:hAnsi="Times New Roman" w:cs="Times New Roman"/>
          <w:sz w:val="24"/>
          <w:szCs w:val="24"/>
        </w:rPr>
        <w:t>urée de germination</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DSA : D</w:t>
      </w:r>
      <w:r w:rsidR="00192810" w:rsidRPr="003010B8">
        <w:rPr>
          <w:rFonts w:ascii="Times New Roman" w:hAnsi="Times New Roman" w:cs="Times New Roman"/>
          <w:sz w:val="24"/>
          <w:szCs w:val="24"/>
        </w:rPr>
        <w:t>irection de service agricole.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ET : Ecart type.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ETF : Étalement de la floraison. </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FB : Formation de branches.</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FCs : Formation des capsules.</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FF : </w:t>
      </w:r>
      <w:r>
        <w:rPr>
          <w:rFonts w:ascii="Times New Roman" w:hAnsi="Times New Roman" w:cs="Times New Roman"/>
          <w:sz w:val="24"/>
          <w:szCs w:val="24"/>
        </w:rPr>
        <w:t>F</w:t>
      </w:r>
      <w:r w:rsidRPr="003010B8">
        <w:rPr>
          <w:rFonts w:ascii="Times New Roman" w:hAnsi="Times New Roman" w:cs="Times New Roman"/>
          <w:sz w:val="24"/>
          <w:szCs w:val="24"/>
        </w:rPr>
        <w:t xml:space="preserve">in floraison. </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FG : Formation des gousses.</w:t>
      </w:r>
    </w:p>
    <w:p w:rsidR="00192810"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GH : </w:t>
      </w:r>
      <w:r>
        <w:rPr>
          <w:rFonts w:ascii="Times New Roman" w:hAnsi="Times New Roman" w:cs="Times New Roman"/>
          <w:sz w:val="24"/>
          <w:szCs w:val="24"/>
        </w:rPr>
        <w:t>G</w:t>
      </w:r>
      <w:r w:rsidRPr="003010B8">
        <w:rPr>
          <w:rFonts w:ascii="Times New Roman" w:hAnsi="Times New Roman" w:cs="Times New Roman"/>
          <w:sz w:val="24"/>
          <w:szCs w:val="24"/>
        </w:rPr>
        <w:t>roupe homogène</w:t>
      </w:r>
      <w:r w:rsidR="00121D5A">
        <w:rPr>
          <w:rFonts w:ascii="Times New Roman" w:hAnsi="Times New Roman" w:cs="Times New Roman"/>
          <w:sz w:val="24"/>
          <w:szCs w:val="24"/>
        </w:rPr>
        <w:t>.</w:t>
      </w:r>
    </w:p>
    <w:p w:rsidR="004C497C" w:rsidRPr="003010B8" w:rsidRDefault="004C497C"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GJM :</w:t>
      </w:r>
      <w:r w:rsidRPr="004C497C">
        <w:rPr>
          <w:rFonts w:ascii="Times New Roman" w:hAnsi="Times New Roman" w:cs="Times New Roman"/>
          <w:sz w:val="24"/>
          <w:szCs w:val="24"/>
        </w:rPr>
        <w:t xml:space="preserve"> </w:t>
      </w:r>
      <w:r w:rsidR="004F44BF">
        <w:rPr>
          <w:rFonts w:ascii="Times New Roman" w:hAnsi="Times New Roman" w:cs="Times New Roman"/>
          <w:sz w:val="24"/>
          <w:szCs w:val="24"/>
        </w:rPr>
        <w:t>L</w:t>
      </w:r>
      <w:r w:rsidRPr="00585B3C">
        <w:rPr>
          <w:rFonts w:ascii="Times New Roman" w:hAnsi="Times New Roman" w:cs="Times New Roman"/>
          <w:sz w:val="24"/>
          <w:szCs w:val="24"/>
        </w:rPr>
        <w:t>a germination journalière moyenne</w:t>
      </w:r>
      <w:r>
        <w:rPr>
          <w:rFonts w:ascii="Times New Roman" w:hAnsi="Times New Roman" w:cs="Times New Roman"/>
          <w:sz w:val="24"/>
          <w:szCs w:val="24"/>
        </w:rPr>
        <w:t>.</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H1 : H</w:t>
      </w:r>
      <w:r w:rsidR="00192810" w:rsidRPr="003010B8">
        <w:rPr>
          <w:rFonts w:ascii="Times New Roman" w:hAnsi="Times New Roman" w:cs="Times New Roman"/>
          <w:sz w:val="24"/>
          <w:szCs w:val="24"/>
        </w:rPr>
        <w:t xml:space="preserve">auteur à la première notation. </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H2 : H</w:t>
      </w:r>
      <w:r w:rsidR="00192810" w:rsidRPr="003010B8">
        <w:rPr>
          <w:rFonts w:ascii="Times New Roman" w:hAnsi="Times New Roman" w:cs="Times New Roman"/>
          <w:sz w:val="24"/>
          <w:szCs w:val="24"/>
        </w:rPr>
        <w:t>auteur à la deuxième notation.</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H3 : H</w:t>
      </w:r>
      <w:r w:rsidR="00192810" w:rsidRPr="003010B8">
        <w:rPr>
          <w:rFonts w:ascii="Times New Roman" w:hAnsi="Times New Roman" w:cs="Times New Roman"/>
          <w:sz w:val="24"/>
          <w:szCs w:val="24"/>
        </w:rPr>
        <w:t>auteur à la troisième notation.</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H4 : H</w:t>
      </w:r>
      <w:r w:rsidR="00192810" w:rsidRPr="003010B8">
        <w:rPr>
          <w:rFonts w:ascii="Times New Roman" w:hAnsi="Times New Roman" w:cs="Times New Roman"/>
          <w:sz w:val="24"/>
          <w:szCs w:val="24"/>
        </w:rPr>
        <w:t>auteur à la quatrième notation.</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H5 : H</w:t>
      </w:r>
      <w:r w:rsidR="00192810" w:rsidRPr="003010B8">
        <w:rPr>
          <w:rFonts w:ascii="Times New Roman" w:hAnsi="Times New Roman" w:cs="Times New Roman"/>
          <w:sz w:val="24"/>
          <w:szCs w:val="24"/>
        </w:rPr>
        <w:t>auteur à la cinquième notation.</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L : L</w:t>
      </w:r>
      <w:r w:rsidR="00192810" w:rsidRPr="003010B8">
        <w:rPr>
          <w:rFonts w:ascii="Times New Roman" w:hAnsi="Times New Roman" w:cs="Times New Roman"/>
          <w:sz w:val="24"/>
          <w:szCs w:val="24"/>
        </w:rPr>
        <w:t>evée.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LC : </w:t>
      </w:r>
      <w:r>
        <w:rPr>
          <w:rFonts w:ascii="Times New Roman" w:hAnsi="Times New Roman" w:cs="Times New Roman"/>
          <w:sz w:val="24"/>
          <w:szCs w:val="24"/>
        </w:rPr>
        <w:t>L</w:t>
      </w:r>
      <w:r w:rsidRPr="003010B8">
        <w:rPr>
          <w:rFonts w:ascii="Times New Roman" w:hAnsi="Times New Roman" w:cs="Times New Roman"/>
          <w:sz w:val="24"/>
          <w:szCs w:val="24"/>
        </w:rPr>
        <w:t>ongueur moyenne du capitule.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LCs : Longueur moyenne de la capsule.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LG : Longueur moyenne de la gousse.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M : Maturité des fruits (gousses, capitules et capsules).</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M : M</w:t>
      </w:r>
      <w:r w:rsidR="00192810" w:rsidRPr="003010B8">
        <w:rPr>
          <w:rFonts w:ascii="Times New Roman" w:hAnsi="Times New Roman" w:cs="Times New Roman"/>
          <w:sz w:val="24"/>
          <w:szCs w:val="24"/>
        </w:rPr>
        <w:t>oyenne.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NBP : Nombre moyen de branche par plant. </w:t>
      </w:r>
    </w:p>
    <w:p w:rsidR="00192810" w:rsidRPr="006C14D3"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NCB : Nombre moyen </w:t>
      </w:r>
      <w:r w:rsidRPr="006C14D3">
        <w:rPr>
          <w:rFonts w:ascii="Times New Roman" w:hAnsi="Times New Roman" w:cs="Times New Roman"/>
          <w:sz w:val="24"/>
          <w:szCs w:val="24"/>
        </w:rPr>
        <w:t>de capitules par Branche.</w:t>
      </w:r>
    </w:p>
    <w:p w:rsidR="00192810" w:rsidRPr="006C14D3" w:rsidRDefault="00192810" w:rsidP="004F44BF">
      <w:pPr>
        <w:tabs>
          <w:tab w:val="left" w:pos="5040"/>
        </w:tabs>
        <w:spacing w:after="80" w:line="240" w:lineRule="auto"/>
        <w:ind w:firstLine="284"/>
        <w:jc w:val="both"/>
        <w:rPr>
          <w:rFonts w:ascii="Times New Roman" w:hAnsi="Times New Roman" w:cs="Times New Roman"/>
          <w:sz w:val="24"/>
          <w:szCs w:val="24"/>
        </w:rPr>
      </w:pPr>
      <w:r w:rsidRPr="006C14D3">
        <w:rPr>
          <w:rFonts w:ascii="Times New Roman" w:hAnsi="Times New Roman" w:cs="Times New Roman"/>
          <w:sz w:val="24"/>
          <w:szCs w:val="24"/>
        </w:rPr>
        <w:t>NCP : Nombre moyen de capitules par plant.</w:t>
      </w:r>
    </w:p>
    <w:p w:rsidR="00192810" w:rsidRPr="006C14D3" w:rsidRDefault="00192810" w:rsidP="004F44BF">
      <w:pPr>
        <w:tabs>
          <w:tab w:val="left" w:pos="5040"/>
        </w:tabs>
        <w:spacing w:after="80" w:line="240" w:lineRule="auto"/>
        <w:ind w:firstLine="284"/>
        <w:jc w:val="both"/>
        <w:rPr>
          <w:rFonts w:ascii="Times New Roman" w:hAnsi="Times New Roman" w:cs="Times New Roman"/>
          <w:sz w:val="24"/>
          <w:szCs w:val="24"/>
        </w:rPr>
      </w:pPr>
      <w:r w:rsidRPr="006C14D3">
        <w:rPr>
          <w:rFonts w:ascii="Times New Roman" w:hAnsi="Times New Roman" w:cs="Times New Roman"/>
          <w:sz w:val="24"/>
          <w:szCs w:val="24"/>
        </w:rPr>
        <w:t>NCsP : Nombre moyen de capsules par plant.</w:t>
      </w:r>
    </w:p>
    <w:p w:rsidR="00192810" w:rsidRDefault="00192810" w:rsidP="004F44BF">
      <w:pPr>
        <w:tabs>
          <w:tab w:val="left" w:pos="5040"/>
        </w:tabs>
        <w:spacing w:after="80" w:line="240" w:lineRule="auto"/>
        <w:ind w:firstLine="284"/>
        <w:jc w:val="both"/>
        <w:rPr>
          <w:rFonts w:ascii="Times New Roman" w:hAnsi="Times New Roman" w:cs="Times New Roman"/>
          <w:sz w:val="24"/>
          <w:szCs w:val="24"/>
        </w:rPr>
      </w:pPr>
      <w:r w:rsidRPr="006C14D3">
        <w:rPr>
          <w:rFonts w:ascii="Times New Roman" w:hAnsi="Times New Roman" w:cs="Times New Roman"/>
          <w:sz w:val="24"/>
          <w:szCs w:val="24"/>
        </w:rPr>
        <w:t>NGAP : Nombre moyen de gousses sur l’axe</w:t>
      </w:r>
      <w:r w:rsidRPr="003010B8">
        <w:rPr>
          <w:rFonts w:ascii="Times New Roman" w:hAnsi="Times New Roman" w:cs="Times New Roman"/>
          <w:sz w:val="24"/>
          <w:szCs w:val="24"/>
        </w:rPr>
        <w:t xml:space="preserve"> principal.</w:t>
      </w:r>
    </w:p>
    <w:p w:rsidR="00AD7884" w:rsidRPr="003010B8" w:rsidRDefault="00AD7884" w:rsidP="004F44BF">
      <w:pPr>
        <w:tabs>
          <w:tab w:val="left" w:pos="5040"/>
        </w:tabs>
        <w:spacing w:after="80" w:line="240" w:lineRule="auto"/>
        <w:ind w:firstLine="284"/>
        <w:jc w:val="both"/>
        <w:rPr>
          <w:rFonts w:ascii="Times New Roman" w:hAnsi="Times New Roman" w:cs="Times New Roman"/>
          <w:sz w:val="24"/>
          <w:szCs w:val="24"/>
        </w:rPr>
      </w:pPr>
      <w:r w:rsidRPr="00AD7884">
        <w:rPr>
          <w:rFonts w:ascii="Times New Roman" w:hAnsi="Times New Roman" w:cs="Times New Roman"/>
          <w:sz w:val="24"/>
          <w:szCs w:val="24"/>
        </w:rPr>
        <w:t>NGG :</w:t>
      </w:r>
      <w:r>
        <w:rPr>
          <w:rFonts w:ascii="Times New Roman" w:hAnsi="Times New Roman" w:cs="Times New Roman"/>
          <w:sz w:val="24"/>
          <w:szCs w:val="24"/>
        </w:rPr>
        <w:t xml:space="preserve"> Nombre de graines germées.</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NGR1 : Nombre moyen de gousses sur les ramifications primaires.</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NGR2 : Nombre </w:t>
      </w:r>
      <w:r w:rsidR="00121D5A">
        <w:rPr>
          <w:rFonts w:ascii="Times New Roman" w:hAnsi="Times New Roman" w:cs="Times New Roman"/>
          <w:sz w:val="24"/>
          <w:szCs w:val="24"/>
        </w:rPr>
        <w:t xml:space="preserve">moyen </w:t>
      </w:r>
      <w:r w:rsidRPr="003010B8">
        <w:rPr>
          <w:rFonts w:ascii="Times New Roman" w:hAnsi="Times New Roman" w:cs="Times New Roman"/>
          <w:sz w:val="24"/>
          <w:szCs w:val="24"/>
        </w:rPr>
        <w:t>de gousses sur les ramifications secondaires.</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lastRenderedPageBreak/>
        <w:t>NGRAE : Nombre moyen de graines avortées et échaudées par gousse.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4A3310">
        <w:rPr>
          <w:rFonts w:ascii="Times New Roman" w:hAnsi="Times New Roman" w:cs="Times New Roman"/>
          <w:sz w:val="24"/>
          <w:szCs w:val="24"/>
        </w:rPr>
        <w:t>NGRIC : Nombre moyen de graines Infectées</w:t>
      </w:r>
      <w:r w:rsidRPr="00156FE9">
        <w:rPr>
          <w:rFonts w:ascii="Times New Roman" w:hAnsi="Times New Roman" w:cs="Times New Roman"/>
          <w:sz w:val="24"/>
          <w:szCs w:val="24"/>
        </w:rPr>
        <w:t xml:space="preserve"> </w:t>
      </w:r>
      <w:r w:rsidRPr="003010B8">
        <w:rPr>
          <w:rFonts w:ascii="Times New Roman" w:hAnsi="Times New Roman" w:cs="Times New Roman"/>
          <w:sz w:val="24"/>
          <w:szCs w:val="24"/>
        </w:rPr>
        <w:t>par capitule.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NGRS : Nombre moyen de graines saines par gousse.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NGRSC : Nombre moyen de graines saines par capitule.</w:t>
      </w:r>
    </w:p>
    <w:p w:rsidR="00F83DD6" w:rsidRDefault="00F83DD6" w:rsidP="003C3F8E">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NGRSC</w:t>
      </w:r>
      <w:r>
        <w:rPr>
          <w:rFonts w:ascii="Times New Roman" w:hAnsi="Times New Roman" w:cs="Times New Roman"/>
          <w:sz w:val="24"/>
          <w:szCs w:val="24"/>
        </w:rPr>
        <w:t>s</w:t>
      </w:r>
      <w:r w:rsidRPr="003010B8">
        <w:rPr>
          <w:rFonts w:ascii="Times New Roman" w:hAnsi="Times New Roman" w:cs="Times New Roman"/>
          <w:sz w:val="24"/>
          <w:szCs w:val="24"/>
        </w:rPr>
        <w:t> : Nombre m</w:t>
      </w:r>
      <w:r w:rsidR="003C3F8E">
        <w:rPr>
          <w:rFonts w:ascii="Times New Roman" w:hAnsi="Times New Roman" w:cs="Times New Roman"/>
          <w:sz w:val="24"/>
          <w:szCs w:val="24"/>
        </w:rPr>
        <w:t>oyen de graines saines par caps</w:t>
      </w:r>
      <w:r w:rsidRPr="003010B8">
        <w:rPr>
          <w:rFonts w:ascii="Times New Roman" w:hAnsi="Times New Roman" w:cs="Times New Roman"/>
          <w:sz w:val="24"/>
          <w:szCs w:val="24"/>
        </w:rPr>
        <w:t>ule.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NO : Nouaison. </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NR1 : Nombre </w:t>
      </w:r>
      <w:r w:rsidR="00121D5A">
        <w:rPr>
          <w:rFonts w:ascii="Times New Roman" w:hAnsi="Times New Roman" w:cs="Times New Roman"/>
          <w:sz w:val="24"/>
          <w:szCs w:val="24"/>
        </w:rPr>
        <w:t xml:space="preserve">moyen </w:t>
      </w:r>
      <w:r w:rsidRPr="003010B8">
        <w:rPr>
          <w:rFonts w:ascii="Times New Roman" w:hAnsi="Times New Roman" w:cs="Times New Roman"/>
          <w:sz w:val="24"/>
          <w:szCs w:val="24"/>
        </w:rPr>
        <w:t>de ramifications primaires.</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NR2 : Nombre </w:t>
      </w:r>
      <w:r w:rsidR="00121D5A">
        <w:rPr>
          <w:rFonts w:ascii="Times New Roman" w:hAnsi="Times New Roman" w:cs="Times New Roman"/>
          <w:sz w:val="24"/>
          <w:szCs w:val="24"/>
        </w:rPr>
        <w:t xml:space="preserve">moyen </w:t>
      </w:r>
      <w:r w:rsidRPr="003010B8">
        <w:rPr>
          <w:rFonts w:ascii="Times New Roman" w:hAnsi="Times New Roman" w:cs="Times New Roman"/>
          <w:sz w:val="24"/>
          <w:szCs w:val="24"/>
        </w:rPr>
        <w:t>de ramifications secondaires.</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NR3 : Nombre </w:t>
      </w:r>
      <w:r w:rsidR="00121D5A">
        <w:rPr>
          <w:rFonts w:ascii="Times New Roman" w:hAnsi="Times New Roman" w:cs="Times New Roman"/>
          <w:sz w:val="24"/>
          <w:szCs w:val="24"/>
        </w:rPr>
        <w:t xml:space="preserve">moyen </w:t>
      </w:r>
      <w:r w:rsidRPr="003010B8">
        <w:rPr>
          <w:rFonts w:ascii="Times New Roman" w:hAnsi="Times New Roman" w:cs="Times New Roman"/>
          <w:sz w:val="24"/>
          <w:szCs w:val="24"/>
        </w:rPr>
        <w:t>de ramifications tertiaires.</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NS : </w:t>
      </w:r>
      <w:r>
        <w:rPr>
          <w:rFonts w:ascii="Times New Roman" w:hAnsi="Times New Roman" w:cs="Times New Roman"/>
          <w:sz w:val="24"/>
          <w:szCs w:val="24"/>
        </w:rPr>
        <w:t>D</w:t>
      </w:r>
      <w:r w:rsidRPr="003010B8">
        <w:rPr>
          <w:rFonts w:ascii="Times New Roman" w:hAnsi="Times New Roman" w:cs="Times New Roman"/>
          <w:sz w:val="24"/>
          <w:szCs w:val="24"/>
        </w:rPr>
        <w:t>ifférence non significative.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NTG : Nombre </w:t>
      </w:r>
      <w:r w:rsidR="00121D5A">
        <w:rPr>
          <w:rFonts w:ascii="Times New Roman" w:hAnsi="Times New Roman" w:cs="Times New Roman"/>
          <w:sz w:val="24"/>
          <w:szCs w:val="24"/>
        </w:rPr>
        <w:t xml:space="preserve">moyen </w:t>
      </w:r>
      <w:r w:rsidRPr="003010B8">
        <w:rPr>
          <w:rFonts w:ascii="Times New Roman" w:hAnsi="Times New Roman" w:cs="Times New Roman"/>
          <w:sz w:val="24"/>
          <w:szCs w:val="24"/>
        </w:rPr>
        <w:t>total de gousses.</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NTGR : Nombre </w:t>
      </w:r>
      <w:r w:rsidR="00121D5A">
        <w:rPr>
          <w:rFonts w:ascii="Times New Roman" w:hAnsi="Times New Roman" w:cs="Times New Roman"/>
          <w:sz w:val="24"/>
          <w:szCs w:val="24"/>
        </w:rPr>
        <w:t xml:space="preserve">moyen </w:t>
      </w:r>
      <w:r w:rsidRPr="003010B8">
        <w:rPr>
          <w:rFonts w:ascii="Times New Roman" w:hAnsi="Times New Roman" w:cs="Times New Roman"/>
          <w:sz w:val="24"/>
          <w:szCs w:val="24"/>
        </w:rPr>
        <w:t>total de graines par gousse.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NTGRC : Nombre </w:t>
      </w:r>
      <w:r w:rsidR="00121D5A">
        <w:rPr>
          <w:rFonts w:ascii="Times New Roman" w:hAnsi="Times New Roman" w:cs="Times New Roman"/>
          <w:sz w:val="24"/>
          <w:szCs w:val="24"/>
        </w:rPr>
        <w:t xml:space="preserve">moyen </w:t>
      </w:r>
      <w:r w:rsidRPr="003010B8">
        <w:rPr>
          <w:rFonts w:ascii="Times New Roman" w:hAnsi="Times New Roman" w:cs="Times New Roman"/>
          <w:sz w:val="24"/>
          <w:szCs w:val="24"/>
        </w:rPr>
        <w:t>total de graines par capitule.</w:t>
      </w:r>
    </w:p>
    <w:p w:rsidR="00192810" w:rsidRPr="003010B8" w:rsidRDefault="00121D5A"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NTR : Nombre moyen total</w:t>
      </w:r>
      <w:r w:rsidR="00192810" w:rsidRPr="003010B8">
        <w:rPr>
          <w:rFonts w:ascii="Times New Roman" w:hAnsi="Times New Roman" w:cs="Times New Roman"/>
          <w:sz w:val="24"/>
          <w:szCs w:val="24"/>
        </w:rPr>
        <w:t xml:space="preserve"> de ramifications.</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NVC : Nombre moyen de valves par capsules.</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P''1: P</w:t>
      </w:r>
      <w:r w:rsidR="00192810" w:rsidRPr="003010B8">
        <w:rPr>
          <w:rFonts w:ascii="Times New Roman" w:hAnsi="Times New Roman" w:cs="Times New Roman"/>
          <w:sz w:val="24"/>
          <w:szCs w:val="24"/>
        </w:rPr>
        <w:t>opulation de la nigelle provenant du marché local du Ziban</w:t>
      </w:r>
      <w:r w:rsidR="00192810">
        <w:rPr>
          <w:rFonts w:ascii="Times New Roman" w:hAnsi="Times New Roman" w:cs="Times New Roman"/>
          <w:sz w:val="24"/>
          <w:szCs w:val="24"/>
        </w:rPr>
        <w:t xml:space="preserve"> </w:t>
      </w:r>
      <w:r w:rsidR="00192810" w:rsidRPr="003010B8">
        <w:rPr>
          <w:rFonts w:ascii="Times New Roman" w:hAnsi="Times New Roman" w:cs="Times New Roman"/>
          <w:sz w:val="24"/>
          <w:szCs w:val="24"/>
        </w:rPr>
        <w:t>(Introduite).</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P'1: P</w:t>
      </w:r>
      <w:r w:rsidR="00192810" w:rsidRPr="003010B8">
        <w:rPr>
          <w:rFonts w:ascii="Times New Roman" w:hAnsi="Times New Roman" w:cs="Times New Roman"/>
          <w:sz w:val="24"/>
          <w:szCs w:val="24"/>
        </w:rPr>
        <w:t>opulation du Carthame provenant d’Ain Nagâ.</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P1: P</w:t>
      </w:r>
      <w:r w:rsidR="00192810" w:rsidRPr="003010B8">
        <w:rPr>
          <w:rFonts w:ascii="Times New Roman" w:hAnsi="Times New Roman" w:cs="Times New Roman"/>
          <w:sz w:val="24"/>
          <w:szCs w:val="24"/>
        </w:rPr>
        <w:t>opulation du Fenugrec</w:t>
      </w:r>
      <w:r w:rsidR="00192810">
        <w:rPr>
          <w:rFonts w:ascii="Times New Roman" w:hAnsi="Times New Roman" w:cs="Times New Roman"/>
          <w:sz w:val="24"/>
          <w:szCs w:val="24"/>
        </w:rPr>
        <w:t xml:space="preserve"> </w:t>
      </w:r>
      <w:r w:rsidR="00192810" w:rsidRPr="003010B8">
        <w:rPr>
          <w:rFonts w:ascii="Times New Roman" w:hAnsi="Times New Roman" w:cs="Times New Roman"/>
          <w:sz w:val="24"/>
          <w:szCs w:val="24"/>
        </w:rPr>
        <w:t xml:space="preserve">Introduite. </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P''2: P</w:t>
      </w:r>
      <w:r w:rsidR="00192810" w:rsidRPr="003010B8">
        <w:rPr>
          <w:rFonts w:ascii="Times New Roman" w:hAnsi="Times New Roman" w:cs="Times New Roman"/>
          <w:sz w:val="24"/>
          <w:szCs w:val="24"/>
        </w:rPr>
        <w:t>opulation de la nigelle provenant de T'kout.</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P'2: P</w:t>
      </w:r>
      <w:r w:rsidR="00192810" w:rsidRPr="003010B8">
        <w:rPr>
          <w:rFonts w:ascii="Times New Roman" w:hAnsi="Times New Roman" w:cs="Times New Roman"/>
          <w:sz w:val="24"/>
          <w:szCs w:val="24"/>
        </w:rPr>
        <w:t>opulation du Carthame provenant d’Ain Nagâ.</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P2: P</w:t>
      </w:r>
      <w:r w:rsidR="00192810" w:rsidRPr="003010B8">
        <w:rPr>
          <w:rFonts w:ascii="Times New Roman" w:hAnsi="Times New Roman" w:cs="Times New Roman"/>
          <w:sz w:val="24"/>
          <w:szCs w:val="24"/>
        </w:rPr>
        <w:t>opulation du Fenugrec</w:t>
      </w:r>
      <w:r w:rsidR="00192810">
        <w:rPr>
          <w:rFonts w:ascii="Times New Roman" w:hAnsi="Times New Roman" w:cs="Times New Roman"/>
          <w:sz w:val="24"/>
          <w:szCs w:val="24"/>
        </w:rPr>
        <w:t xml:space="preserve"> </w:t>
      </w:r>
      <w:r w:rsidR="00192810" w:rsidRPr="003010B8">
        <w:rPr>
          <w:rFonts w:ascii="Times New Roman" w:hAnsi="Times New Roman" w:cs="Times New Roman"/>
          <w:sz w:val="24"/>
          <w:szCs w:val="24"/>
        </w:rPr>
        <w:t>provenant de T'kout.</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P''3 : P</w:t>
      </w:r>
      <w:r w:rsidR="00192810" w:rsidRPr="003010B8">
        <w:rPr>
          <w:rFonts w:ascii="Times New Roman" w:hAnsi="Times New Roman" w:cs="Times New Roman"/>
          <w:sz w:val="24"/>
          <w:szCs w:val="24"/>
        </w:rPr>
        <w:t>opulation de la nigelle provenant Ain Nagâ.</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P'3: P</w:t>
      </w:r>
      <w:r w:rsidR="00192810" w:rsidRPr="003010B8">
        <w:rPr>
          <w:rFonts w:ascii="Times New Roman" w:hAnsi="Times New Roman" w:cs="Times New Roman"/>
          <w:sz w:val="24"/>
          <w:szCs w:val="24"/>
        </w:rPr>
        <w:t>opulation du Carthame provenant de Besbes.</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P3: P</w:t>
      </w:r>
      <w:r w:rsidR="00192810" w:rsidRPr="003010B8">
        <w:rPr>
          <w:rFonts w:ascii="Times New Roman" w:hAnsi="Times New Roman" w:cs="Times New Roman"/>
          <w:sz w:val="24"/>
          <w:szCs w:val="24"/>
        </w:rPr>
        <w:t>opulation du Fenugrec</w:t>
      </w:r>
      <w:r w:rsidR="00192810">
        <w:rPr>
          <w:rFonts w:ascii="Times New Roman" w:hAnsi="Times New Roman" w:cs="Times New Roman"/>
          <w:sz w:val="24"/>
          <w:szCs w:val="24"/>
        </w:rPr>
        <w:t xml:space="preserve"> </w:t>
      </w:r>
      <w:r w:rsidR="00192810" w:rsidRPr="003010B8">
        <w:rPr>
          <w:rFonts w:ascii="Times New Roman" w:hAnsi="Times New Roman" w:cs="Times New Roman"/>
          <w:sz w:val="24"/>
          <w:szCs w:val="24"/>
        </w:rPr>
        <w:t>provenant  d’Ain Nagâ.</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P''4 : P</w:t>
      </w:r>
      <w:r w:rsidR="00192810" w:rsidRPr="003010B8">
        <w:rPr>
          <w:rFonts w:ascii="Times New Roman" w:hAnsi="Times New Roman" w:cs="Times New Roman"/>
          <w:sz w:val="24"/>
          <w:szCs w:val="24"/>
        </w:rPr>
        <w:t>opulation de la nigelle provenant Ouled Djallel.</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P'4: P</w:t>
      </w:r>
      <w:r w:rsidR="00192810" w:rsidRPr="003010B8">
        <w:rPr>
          <w:rFonts w:ascii="Times New Roman" w:hAnsi="Times New Roman" w:cs="Times New Roman"/>
          <w:sz w:val="24"/>
          <w:szCs w:val="24"/>
        </w:rPr>
        <w:t>opulation du Carthame provenant de Sidi Khaled.</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P4: P</w:t>
      </w:r>
      <w:r w:rsidR="00192810" w:rsidRPr="003010B8">
        <w:rPr>
          <w:rFonts w:ascii="Times New Roman" w:hAnsi="Times New Roman" w:cs="Times New Roman"/>
          <w:sz w:val="24"/>
          <w:szCs w:val="24"/>
        </w:rPr>
        <w:t>opulation du Fenugrec</w:t>
      </w:r>
      <w:r w:rsidR="00192810">
        <w:rPr>
          <w:rFonts w:ascii="Times New Roman" w:hAnsi="Times New Roman" w:cs="Times New Roman"/>
          <w:sz w:val="24"/>
          <w:szCs w:val="24"/>
        </w:rPr>
        <w:t xml:space="preserve"> </w:t>
      </w:r>
      <w:r w:rsidR="00192810" w:rsidRPr="003010B8">
        <w:rPr>
          <w:rFonts w:ascii="Times New Roman" w:hAnsi="Times New Roman" w:cs="Times New Roman"/>
          <w:sz w:val="24"/>
          <w:szCs w:val="24"/>
        </w:rPr>
        <w:t>provenant  d’Ain Nagâ.</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P5: P</w:t>
      </w:r>
      <w:r w:rsidR="00192810" w:rsidRPr="003010B8">
        <w:rPr>
          <w:rFonts w:ascii="Times New Roman" w:hAnsi="Times New Roman" w:cs="Times New Roman"/>
          <w:sz w:val="24"/>
          <w:szCs w:val="24"/>
        </w:rPr>
        <w:t>opulation du Fenugrec</w:t>
      </w:r>
      <w:r w:rsidR="00192810">
        <w:rPr>
          <w:rFonts w:ascii="Times New Roman" w:hAnsi="Times New Roman" w:cs="Times New Roman"/>
          <w:sz w:val="24"/>
          <w:szCs w:val="24"/>
        </w:rPr>
        <w:t xml:space="preserve"> </w:t>
      </w:r>
      <w:r w:rsidR="00192810" w:rsidRPr="003010B8">
        <w:rPr>
          <w:rFonts w:ascii="Times New Roman" w:hAnsi="Times New Roman" w:cs="Times New Roman"/>
          <w:sz w:val="24"/>
          <w:szCs w:val="24"/>
        </w:rPr>
        <w:t>provenant d’Ouled Djallel.</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P6: P</w:t>
      </w:r>
      <w:r w:rsidR="00192810" w:rsidRPr="003010B8">
        <w:rPr>
          <w:rFonts w:ascii="Times New Roman" w:hAnsi="Times New Roman" w:cs="Times New Roman"/>
          <w:sz w:val="24"/>
          <w:szCs w:val="24"/>
        </w:rPr>
        <w:t>opulation du Fenugrec</w:t>
      </w:r>
      <w:r w:rsidR="00192810">
        <w:rPr>
          <w:rFonts w:ascii="Times New Roman" w:hAnsi="Times New Roman" w:cs="Times New Roman"/>
          <w:sz w:val="24"/>
          <w:szCs w:val="24"/>
        </w:rPr>
        <w:t xml:space="preserve"> </w:t>
      </w:r>
      <w:r w:rsidR="00192810" w:rsidRPr="003010B8">
        <w:rPr>
          <w:rFonts w:ascii="Times New Roman" w:hAnsi="Times New Roman" w:cs="Times New Roman"/>
          <w:sz w:val="24"/>
          <w:szCs w:val="24"/>
        </w:rPr>
        <w:t>provenant de M’zérâa.</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PC : Poids moyen d’un capitule.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PCP : Poids moyen de capitules par plant.</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PCs : Poids moyen d’une capsule. </w:t>
      </w:r>
    </w:p>
    <w:p w:rsidR="00192810" w:rsidRPr="004F44BF" w:rsidRDefault="00192810" w:rsidP="004F44BF">
      <w:pPr>
        <w:tabs>
          <w:tab w:val="left" w:pos="5040"/>
        </w:tabs>
        <w:spacing w:after="80" w:line="240" w:lineRule="auto"/>
        <w:ind w:firstLine="284"/>
        <w:jc w:val="both"/>
        <w:rPr>
          <w:rFonts w:ascii="Times New Roman" w:hAnsi="Times New Roman" w:cs="Times New Roman"/>
          <w:sz w:val="24"/>
          <w:szCs w:val="24"/>
        </w:rPr>
      </w:pPr>
      <w:r w:rsidRPr="004F44BF">
        <w:rPr>
          <w:rFonts w:ascii="Times New Roman" w:hAnsi="Times New Roman" w:cs="Times New Roman"/>
          <w:sz w:val="24"/>
          <w:szCs w:val="24"/>
        </w:rPr>
        <w:t>PCsP : Poids moyen de capsules par plant.</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PF : Plein floraison.</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PG : Poids moyen d’une gousse.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PGL : </w:t>
      </w:r>
      <w:r>
        <w:rPr>
          <w:rFonts w:ascii="Times New Roman" w:hAnsi="Times New Roman" w:cs="Times New Roman"/>
          <w:sz w:val="24"/>
          <w:szCs w:val="24"/>
        </w:rPr>
        <w:t>P</w:t>
      </w:r>
      <w:r w:rsidRPr="003010B8">
        <w:rPr>
          <w:rFonts w:ascii="Times New Roman" w:hAnsi="Times New Roman" w:cs="Times New Roman"/>
          <w:sz w:val="24"/>
          <w:szCs w:val="24"/>
        </w:rPr>
        <w:t>ourcentage moyen de levée.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PGP : Poids moyen de gousses par plants.</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PGRSC : Poids moyen de graines saines par capitule.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PGRSCs : Poids moyen de graines saines par capsule. </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PGRSG : Poids moyen des graines saines par gousse.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PL : </w:t>
      </w:r>
      <w:r>
        <w:rPr>
          <w:rFonts w:ascii="Times New Roman" w:hAnsi="Times New Roman" w:cs="Times New Roman"/>
          <w:sz w:val="24"/>
          <w:szCs w:val="24"/>
        </w:rPr>
        <w:t>P</w:t>
      </w:r>
      <w:r w:rsidRPr="003010B8">
        <w:rPr>
          <w:rFonts w:ascii="Times New Roman" w:hAnsi="Times New Roman" w:cs="Times New Roman"/>
          <w:sz w:val="24"/>
          <w:szCs w:val="24"/>
        </w:rPr>
        <w:t>leine levée.</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lastRenderedPageBreak/>
        <w:t>Proba : Probabilité.</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R : Rosette. </w:t>
      </w:r>
    </w:p>
    <w:p w:rsidR="00192810" w:rsidRPr="003010B8" w:rsidRDefault="00121D5A"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R</w:t>
      </w:r>
      <w:r w:rsidR="00192810" w:rsidRPr="003010B8">
        <w:rPr>
          <w:rFonts w:ascii="Times New Roman" w:hAnsi="Times New Roman" w:cs="Times New Roman"/>
          <w:sz w:val="24"/>
          <w:szCs w:val="24"/>
        </w:rPr>
        <w:t>F</w:t>
      </w:r>
      <w:r w:rsidR="00853C3B">
        <w:rPr>
          <w:rFonts w:ascii="Times New Roman" w:hAnsi="Times New Roman" w:cs="Times New Roman"/>
          <w:sz w:val="24"/>
          <w:szCs w:val="24"/>
        </w:rPr>
        <w:t>P</w:t>
      </w:r>
      <w:r w:rsidR="00192810" w:rsidRPr="003010B8">
        <w:rPr>
          <w:rFonts w:ascii="Times New Roman" w:hAnsi="Times New Roman" w:cs="Times New Roman"/>
          <w:sz w:val="24"/>
          <w:szCs w:val="24"/>
        </w:rPr>
        <w:t xml:space="preserve"> : Rendement moyen </w:t>
      </w:r>
      <w:r>
        <w:rPr>
          <w:rFonts w:ascii="Times New Roman" w:hAnsi="Times New Roman" w:cs="Times New Roman"/>
          <w:sz w:val="24"/>
          <w:szCs w:val="24"/>
        </w:rPr>
        <w:t xml:space="preserve">en fleurs </w:t>
      </w:r>
      <w:r w:rsidR="00192810" w:rsidRPr="003010B8">
        <w:rPr>
          <w:rFonts w:ascii="Times New Roman" w:hAnsi="Times New Roman" w:cs="Times New Roman"/>
          <w:sz w:val="24"/>
          <w:szCs w:val="24"/>
        </w:rPr>
        <w:t>par</w:t>
      </w:r>
      <w:r>
        <w:rPr>
          <w:rFonts w:ascii="Times New Roman" w:hAnsi="Times New Roman" w:cs="Times New Roman"/>
          <w:sz w:val="24"/>
          <w:szCs w:val="24"/>
        </w:rPr>
        <w:t xml:space="preserve"> par</w:t>
      </w:r>
      <w:r w:rsidR="00192810" w:rsidRPr="003010B8">
        <w:rPr>
          <w:rFonts w:ascii="Times New Roman" w:hAnsi="Times New Roman" w:cs="Times New Roman"/>
          <w:sz w:val="24"/>
          <w:szCs w:val="24"/>
        </w:rPr>
        <w:t>cellaire</w:t>
      </w:r>
      <w:r>
        <w:rPr>
          <w:rFonts w:ascii="Times New Roman" w:hAnsi="Times New Roman" w:cs="Times New Roman"/>
          <w:sz w:val="24"/>
          <w:szCs w:val="24"/>
        </w:rPr>
        <w:t>.</w:t>
      </w:r>
      <w:r w:rsidR="00192810" w:rsidRPr="003010B8">
        <w:rPr>
          <w:rFonts w:ascii="Times New Roman" w:hAnsi="Times New Roman" w:cs="Times New Roman"/>
          <w:sz w:val="24"/>
          <w:szCs w:val="24"/>
        </w:rPr>
        <w:t xml:space="preserve"> </w:t>
      </w:r>
    </w:p>
    <w:p w:rsidR="00192810" w:rsidRPr="003010B8" w:rsidRDefault="00121D5A"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RGP</w:t>
      </w:r>
      <w:r w:rsidR="00192810" w:rsidRPr="003010B8">
        <w:rPr>
          <w:rFonts w:ascii="Times New Roman" w:hAnsi="Times New Roman" w:cs="Times New Roman"/>
          <w:sz w:val="24"/>
          <w:szCs w:val="24"/>
        </w:rPr>
        <w:t xml:space="preserve"> : Rendement moyen </w:t>
      </w:r>
      <w:r>
        <w:rPr>
          <w:rFonts w:ascii="Times New Roman" w:hAnsi="Times New Roman" w:cs="Times New Roman"/>
          <w:sz w:val="24"/>
          <w:szCs w:val="24"/>
        </w:rPr>
        <w:t xml:space="preserve"> en graines </w:t>
      </w:r>
      <w:r w:rsidR="00192810" w:rsidRPr="003010B8">
        <w:rPr>
          <w:rFonts w:ascii="Times New Roman" w:hAnsi="Times New Roman" w:cs="Times New Roman"/>
          <w:sz w:val="24"/>
          <w:szCs w:val="24"/>
        </w:rPr>
        <w:t>par</w:t>
      </w:r>
      <w:r>
        <w:rPr>
          <w:rFonts w:ascii="Times New Roman" w:hAnsi="Times New Roman" w:cs="Times New Roman"/>
          <w:sz w:val="24"/>
          <w:szCs w:val="24"/>
        </w:rPr>
        <w:t xml:space="preserve"> parcellaire.</w:t>
      </w:r>
    </w:p>
    <w:p w:rsidR="00192810"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 xml:space="preserve">Sig : </w:t>
      </w:r>
      <w:r>
        <w:rPr>
          <w:rFonts w:ascii="Times New Roman" w:hAnsi="Times New Roman" w:cs="Times New Roman"/>
          <w:sz w:val="24"/>
          <w:szCs w:val="24"/>
        </w:rPr>
        <w:t>S</w:t>
      </w:r>
      <w:r w:rsidRPr="003010B8">
        <w:rPr>
          <w:rFonts w:ascii="Times New Roman" w:hAnsi="Times New Roman" w:cs="Times New Roman"/>
          <w:sz w:val="24"/>
          <w:szCs w:val="24"/>
        </w:rPr>
        <w:t>ignification.</w:t>
      </w:r>
    </w:p>
    <w:p w:rsidR="00366C81" w:rsidRPr="004F44BF" w:rsidRDefault="00366C81" w:rsidP="004F44BF">
      <w:pPr>
        <w:tabs>
          <w:tab w:val="left" w:pos="5040"/>
        </w:tabs>
        <w:spacing w:after="80" w:line="240" w:lineRule="auto"/>
        <w:ind w:firstLine="284"/>
        <w:jc w:val="both"/>
        <w:rPr>
          <w:rFonts w:ascii="Times New Roman" w:hAnsi="Times New Roman" w:cs="Times New Roman"/>
          <w:sz w:val="24"/>
          <w:szCs w:val="24"/>
        </w:rPr>
      </w:pPr>
      <w:r w:rsidRPr="004F44BF">
        <w:rPr>
          <w:rFonts w:ascii="Times New Roman" w:hAnsi="Times New Roman" w:cs="Times New Roman"/>
          <w:sz w:val="24"/>
          <w:szCs w:val="24"/>
        </w:rPr>
        <w:t>TRAFFIC </w:t>
      </w:r>
      <w:r w:rsidR="004F44BF" w:rsidRPr="004F44BF">
        <w:rPr>
          <w:rFonts w:ascii="Times New Roman" w:hAnsi="Times New Roman" w:cs="Times New Roman"/>
          <w:sz w:val="24"/>
          <w:szCs w:val="24"/>
        </w:rPr>
        <w:t>:</w:t>
      </w:r>
      <w:r w:rsidR="004F44BF">
        <w:rPr>
          <w:rFonts w:ascii="Times New Roman" w:hAnsi="Times New Roman" w:cs="Times New Roman"/>
          <w:sz w:val="24"/>
          <w:szCs w:val="24"/>
        </w:rPr>
        <w:t xml:space="preserve"> Le</w:t>
      </w:r>
      <w:r w:rsidRPr="00366C81">
        <w:rPr>
          <w:rFonts w:ascii="Times New Roman" w:hAnsi="Times New Roman" w:cs="Times New Roman"/>
          <w:sz w:val="24"/>
          <w:szCs w:val="24"/>
        </w:rPr>
        <w:t xml:space="preserve"> réseau de surveillance du commerce d</w:t>
      </w:r>
      <w:r w:rsidR="00121D5A">
        <w:rPr>
          <w:rFonts w:ascii="Times New Roman" w:hAnsi="Times New Roman" w:cs="Times New Roman"/>
          <w:sz w:val="24"/>
          <w:szCs w:val="24"/>
        </w:rPr>
        <w:t>e la faune et de flore sauvages.</w:t>
      </w:r>
      <w:r w:rsidRPr="00366C81">
        <w:rPr>
          <w:rFonts w:ascii="Times New Roman" w:hAnsi="Times New Roman" w:cs="Times New Roman"/>
          <w:sz w:val="24"/>
          <w:szCs w:val="24"/>
        </w:rPr>
        <w:t xml:space="preserve"> </w:t>
      </w:r>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UICN : Union mondiale pour la nature</w:t>
      </w:r>
      <w:r w:rsidR="00121D5A">
        <w:rPr>
          <w:rFonts w:ascii="Times New Roman" w:hAnsi="Times New Roman" w:cs="Times New Roman"/>
          <w:sz w:val="24"/>
          <w:szCs w:val="24"/>
        </w:rPr>
        <w:t>.</w:t>
      </w:r>
    </w:p>
    <w:p w:rsidR="00192810" w:rsidRPr="00107AED" w:rsidRDefault="00192810" w:rsidP="004F44BF">
      <w:pPr>
        <w:tabs>
          <w:tab w:val="left" w:pos="5040"/>
        </w:tabs>
        <w:spacing w:after="80" w:line="240" w:lineRule="auto"/>
        <w:ind w:firstLine="284"/>
        <w:jc w:val="both"/>
        <w:rPr>
          <w:rFonts w:ascii="Times New Roman" w:hAnsi="Times New Roman" w:cs="Times New Roman"/>
          <w:sz w:val="24"/>
          <w:szCs w:val="24"/>
          <w:lang w:val="en-US"/>
        </w:rPr>
      </w:pPr>
      <w:r w:rsidRPr="00107AED">
        <w:rPr>
          <w:rFonts w:ascii="Times New Roman" w:hAnsi="Times New Roman" w:cs="Times New Roman"/>
          <w:sz w:val="24"/>
          <w:szCs w:val="24"/>
          <w:lang w:val="en-US"/>
        </w:rPr>
        <w:t xml:space="preserve">USAID: </w:t>
      </w:r>
      <w:hyperlink r:id="rId11" w:history="1">
        <w:r w:rsidRPr="00107AED">
          <w:rPr>
            <w:rFonts w:ascii="Times New Roman" w:hAnsi="Times New Roman" w:cs="Times New Roman"/>
            <w:sz w:val="24"/>
            <w:szCs w:val="24"/>
            <w:lang w:val="en-US"/>
          </w:rPr>
          <w:t>United States Agency for International Development</w:t>
        </w:r>
        <w:r w:rsidR="00121D5A" w:rsidRPr="00107AED">
          <w:rPr>
            <w:rFonts w:ascii="Times New Roman" w:hAnsi="Times New Roman" w:cs="Times New Roman"/>
            <w:sz w:val="24"/>
            <w:szCs w:val="24"/>
            <w:lang w:val="en-US"/>
          </w:rPr>
          <w:t>.</w:t>
        </w:r>
        <w:r w:rsidRPr="00107AED">
          <w:rPr>
            <w:rFonts w:ascii="Times New Roman" w:hAnsi="Times New Roman" w:cs="Times New Roman"/>
            <w:sz w:val="24"/>
            <w:szCs w:val="24"/>
            <w:lang w:val="en-US"/>
          </w:rPr>
          <w:t xml:space="preserve"> </w:t>
        </w:r>
      </w:hyperlink>
    </w:p>
    <w:p w:rsidR="00192810" w:rsidRPr="003010B8" w:rsidRDefault="00192810" w:rsidP="004F44BF">
      <w:pPr>
        <w:tabs>
          <w:tab w:val="left" w:pos="5040"/>
        </w:tabs>
        <w:spacing w:after="80" w:line="240" w:lineRule="auto"/>
        <w:ind w:firstLine="284"/>
        <w:jc w:val="both"/>
        <w:rPr>
          <w:rFonts w:ascii="Times New Roman" w:hAnsi="Times New Roman" w:cs="Times New Roman"/>
          <w:sz w:val="24"/>
          <w:szCs w:val="24"/>
        </w:rPr>
      </w:pPr>
      <w:r w:rsidRPr="003010B8">
        <w:rPr>
          <w:rFonts w:ascii="Times New Roman" w:hAnsi="Times New Roman" w:cs="Times New Roman"/>
          <w:sz w:val="24"/>
          <w:szCs w:val="24"/>
        </w:rPr>
        <w:t>VCH : Vitesse</w:t>
      </w:r>
      <w:r w:rsidR="00121D5A">
        <w:rPr>
          <w:rFonts w:ascii="Times New Roman" w:hAnsi="Times New Roman" w:cs="Times New Roman"/>
          <w:sz w:val="24"/>
          <w:szCs w:val="24"/>
        </w:rPr>
        <w:t xml:space="preserve"> moyenne</w:t>
      </w:r>
      <w:r w:rsidRPr="003010B8">
        <w:rPr>
          <w:rFonts w:ascii="Times New Roman" w:hAnsi="Times New Roman" w:cs="Times New Roman"/>
          <w:sz w:val="24"/>
          <w:szCs w:val="24"/>
        </w:rPr>
        <w:t xml:space="preserve"> de croissance en hauteur.  </w:t>
      </w:r>
    </w:p>
    <w:p w:rsidR="00EB09D5" w:rsidRDefault="00EB09D5"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VC :</w:t>
      </w:r>
      <w:r w:rsidRPr="004C497C">
        <w:rPr>
          <w:rFonts w:ascii="Times New Roman" w:hAnsi="Times New Roman" w:cs="Times New Roman"/>
          <w:sz w:val="24"/>
          <w:szCs w:val="24"/>
        </w:rPr>
        <w:t xml:space="preserve"> </w:t>
      </w:r>
      <w:r w:rsidR="004F44BF">
        <w:rPr>
          <w:rFonts w:ascii="Times New Roman" w:hAnsi="Times New Roman" w:cs="Times New Roman"/>
          <w:sz w:val="24"/>
          <w:szCs w:val="24"/>
        </w:rPr>
        <w:t>L</w:t>
      </w:r>
      <w:r w:rsidRPr="00585B3C">
        <w:rPr>
          <w:rFonts w:ascii="Times New Roman" w:hAnsi="Times New Roman" w:cs="Times New Roman"/>
          <w:sz w:val="24"/>
          <w:szCs w:val="24"/>
        </w:rPr>
        <w:t>a valeur de crête</w:t>
      </w:r>
    </w:p>
    <w:p w:rsidR="00192810"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VG : V</w:t>
      </w:r>
      <w:r w:rsidR="00192810" w:rsidRPr="003010B8">
        <w:rPr>
          <w:rFonts w:ascii="Times New Roman" w:hAnsi="Times New Roman" w:cs="Times New Roman"/>
          <w:sz w:val="24"/>
          <w:szCs w:val="24"/>
        </w:rPr>
        <w:t>aleur germinative moyenne.</w:t>
      </w:r>
    </w:p>
    <w:p w:rsidR="006B6143" w:rsidRDefault="006B6143"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VGJ </w:t>
      </w:r>
      <w:r w:rsidR="004F44BF">
        <w:rPr>
          <w:rFonts w:ascii="Times New Roman" w:hAnsi="Times New Roman" w:cs="Times New Roman"/>
          <w:sz w:val="24"/>
          <w:szCs w:val="24"/>
        </w:rPr>
        <w:t>: V</w:t>
      </w:r>
      <w:r w:rsidR="008C577D">
        <w:rPr>
          <w:rFonts w:ascii="Times New Roman" w:hAnsi="Times New Roman" w:cs="Times New Roman"/>
          <w:sz w:val="24"/>
          <w:szCs w:val="24"/>
        </w:rPr>
        <w:t>itesse</w:t>
      </w:r>
      <w:r>
        <w:rPr>
          <w:rFonts w:ascii="Times New Roman" w:hAnsi="Times New Roman" w:cs="Times New Roman"/>
          <w:sz w:val="24"/>
          <w:szCs w:val="24"/>
        </w:rPr>
        <w:t xml:space="preserve"> </w:t>
      </w:r>
      <w:r w:rsidR="008C577D">
        <w:rPr>
          <w:rFonts w:ascii="Times New Roman" w:hAnsi="Times New Roman" w:cs="Times New Roman"/>
          <w:sz w:val="24"/>
          <w:szCs w:val="24"/>
        </w:rPr>
        <w:t xml:space="preserve">moyenne </w:t>
      </w:r>
      <w:r>
        <w:rPr>
          <w:rFonts w:ascii="Times New Roman" w:hAnsi="Times New Roman" w:cs="Times New Roman"/>
          <w:sz w:val="24"/>
          <w:szCs w:val="24"/>
        </w:rPr>
        <w:t>de germination journalière</w:t>
      </w:r>
      <w:r w:rsidR="004C497C">
        <w:rPr>
          <w:rFonts w:ascii="Times New Roman" w:hAnsi="Times New Roman" w:cs="Times New Roman"/>
          <w:sz w:val="24"/>
          <w:szCs w:val="24"/>
        </w:rPr>
        <w:t>.</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 : D</w:t>
      </w:r>
      <w:r w:rsidR="00192810" w:rsidRPr="003010B8">
        <w:rPr>
          <w:rFonts w:ascii="Times New Roman" w:hAnsi="Times New Roman" w:cs="Times New Roman"/>
          <w:sz w:val="24"/>
          <w:szCs w:val="24"/>
        </w:rPr>
        <w:t xml:space="preserve">ifférence significative. </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 : D</w:t>
      </w:r>
      <w:r w:rsidR="00192810" w:rsidRPr="003010B8">
        <w:rPr>
          <w:rFonts w:ascii="Times New Roman" w:hAnsi="Times New Roman" w:cs="Times New Roman"/>
          <w:sz w:val="24"/>
          <w:szCs w:val="24"/>
        </w:rPr>
        <w:t>ifférence hautement significative.</w:t>
      </w:r>
    </w:p>
    <w:p w:rsidR="00192810" w:rsidRPr="003010B8" w:rsidRDefault="004F44BF" w:rsidP="004F44BF">
      <w:pPr>
        <w:tabs>
          <w:tab w:val="left" w:pos="5040"/>
        </w:tabs>
        <w:spacing w:after="80" w:line="240" w:lineRule="auto"/>
        <w:ind w:firstLine="284"/>
        <w:jc w:val="both"/>
        <w:rPr>
          <w:rFonts w:ascii="Times New Roman" w:hAnsi="Times New Roman" w:cs="Times New Roman"/>
          <w:sz w:val="24"/>
          <w:szCs w:val="24"/>
        </w:rPr>
      </w:pPr>
      <w:r>
        <w:rPr>
          <w:rFonts w:ascii="Times New Roman" w:hAnsi="Times New Roman" w:cs="Times New Roman"/>
          <w:sz w:val="24"/>
          <w:szCs w:val="24"/>
        </w:rPr>
        <w:t>*** : D</w:t>
      </w:r>
      <w:r w:rsidR="00192810" w:rsidRPr="003010B8">
        <w:rPr>
          <w:rFonts w:ascii="Times New Roman" w:hAnsi="Times New Roman" w:cs="Times New Roman"/>
          <w:sz w:val="24"/>
          <w:szCs w:val="24"/>
        </w:rPr>
        <w:t>ifférence très hautement significative.</w:t>
      </w:r>
    </w:p>
    <w:p w:rsidR="00192810" w:rsidRPr="004F44BF" w:rsidRDefault="00192810" w:rsidP="004F44BF">
      <w:pPr>
        <w:tabs>
          <w:tab w:val="left" w:pos="5040"/>
        </w:tabs>
        <w:spacing w:after="80" w:line="240" w:lineRule="auto"/>
        <w:ind w:firstLine="284"/>
        <w:jc w:val="both"/>
        <w:rPr>
          <w:rFonts w:ascii="Times New Roman" w:hAnsi="Times New Roman" w:cs="Times New Roman"/>
          <w:sz w:val="24"/>
          <w:szCs w:val="24"/>
        </w:rPr>
      </w:pPr>
    </w:p>
    <w:p w:rsidR="004A3310" w:rsidRPr="004F44BF" w:rsidRDefault="004A3310" w:rsidP="004F44BF">
      <w:pPr>
        <w:tabs>
          <w:tab w:val="left" w:pos="5040"/>
        </w:tabs>
        <w:spacing w:after="80" w:line="240" w:lineRule="auto"/>
        <w:ind w:firstLine="284"/>
        <w:jc w:val="both"/>
        <w:rPr>
          <w:rFonts w:ascii="Times New Roman" w:hAnsi="Times New Roman" w:cs="Times New Roman"/>
          <w:sz w:val="24"/>
          <w:szCs w:val="24"/>
        </w:rPr>
      </w:pPr>
    </w:p>
    <w:p w:rsidR="004A3310" w:rsidRPr="004F44BF" w:rsidRDefault="004A3310" w:rsidP="004F44BF">
      <w:pPr>
        <w:tabs>
          <w:tab w:val="left" w:pos="5040"/>
        </w:tabs>
        <w:spacing w:after="80" w:line="240" w:lineRule="auto"/>
        <w:ind w:firstLine="284"/>
        <w:jc w:val="both"/>
        <w:rPr>
          <w:rFonts w:ascii="Times New Roman" w:hAnsi="Times New Roman" w:cs="Times New Roman"/>
          <w:sz w:val="24"/>
          <w:szCs w:val="24"/>
        </w:rPr>
      </w:pPr>
    </w:p>
    <w:p w:rsidR="004A3310" w:rsidRPr="004F44BF" w:rsidRDefault="004A3310" w:rsidP="004F44BF">
      <w:pPr>
        <w:tabs>
          <w:tab w:val="left" w:pos="5040"/>
        </w:tabs>
        <w:spacing w:after="80" w:line="240" w:lineRule="auto"/>
        <w:ind w:firstLine="284"/>
        <w:jc w:val="both"/>
        <w:rPr>
          <w:rFonts w:ascii="Times New Roman" w:hAnsi="Times New Roman" w:cs="Times New Roman"/>
          <w:sz w:val="24"/>
          <w:szCs w:val="24"/>
        </w:rPr>
      </w:pPr>
    </w:p>
    <w:p w:rsidR="00F56285" w:rsidRDefault="00F56285" w:rsidP="004A3310">
      <w:pPr>
        <w:jc w:val="center"/>
        <w:rPr>
          <w:rFonts w:ascii="Times New Roman" w:hAnsi="Times New Roman" w:cs="Times New Roman"/>
          <w:b/>
          <w:bCs/>
          <w:sz w:val="28"/>
          <w:szCs w:val="28"/>
        </w:rPr>
        <w:sectPr w:rsidR="00F56285" w:rsidSect="005A5587">
          <w:headerReference w:type="default" r:id="rId12"/>
          <w:pgSz w:w="11906" w:h="16838"/>
          <w:pgMar w:top="992" w:right="851" w:bottom="1134" w:left="1134" w:header="709" w:footer="709" w:gutter="0"/>
          <w:pgNumType w:fmt="upperRoman"/>
          <w:cols w:space="708"/>
          <w:docGrid w:linePitch="360"/>
        </w:sectPr>
      </w:pPr>
    </w:p>
    <w:p w:rsidR="004A3310" w:rsidRPr="003010B8" w:rsidRDefault="004A3310" w:rsidP="004A3310">
      <w:pPr>
        <w:spacing w:after="80" w:line="240" w:lineRule="auto"/>
        <w:rPr>
          <w:rFonts w:ascii="Times New Roman" w:hAnsi="Times New Roman" w:cs="Times New Roman"/>
          <w:sz w:val="24"/>
          <w:szCs w:val="24"/>
        </w:rPr>
      </w:pPr>
    </w:p>
    <w:p w:rsidR="00A86BBF" w:rsidRPr="001404F7" w:rsidRDefault="00A86BBF" w:rsidP="00184DFE">
      <w:pPr>
        <w:pStyle w:val="Titre"/>
        <w:spacing w:line="360" w:lineRule="auto"/>
        <w:rPr>
          <w:rFonts w:asciiTheme="majorBidi" w:hAnsiTheme="majorBidi" w:cstheme="majorBidi"/>
          <w:sz w:val="28"/>
          <w:szCs w:val="28"/>
        </w:rPr>
      </w:pPr>
      <w:bookmarkStart w:id="6" w:name="_Toc126492970"/>
      <w:bookmarkStart w:id="7" w:name="_Toc126570470"/>
      <w:bookmarkStart w:id="8" w:name="_Toc126571778"/>
      <w:bookmarkStart w:id="9" w:name="_Toc126572559"/>
      <w:bookmarkStart w:id="10" w:name="_Toc126575193"/>
      <w:bookmarkStart w:id="11" w:name="_Toc126575870"/>
      <w:bookmarkStart w:id="12" w:name="_Toc126576745"/>
      <w:bookmarkStart w:id="13" w:name="_Toc252093954"/>
      <w:bookmarkStart w:id="14" w:name="_Toc252365350"/>
      <w:bookmarkStart w:id="15" w:name="_Toc252365609"/>
      <w:bookmarkStart w:id="16" w:name="_Toc252366154"/>
      <w:r w:rsidRPr="001404F7">
        <w:rPr>
          <w:rFonts w:asciiTheme="majorBidi" w:hAnsiTheme="majorBidi" w:cstheme="majorBidi"/>
          <w:sz w:val="28"/>
          <w:szCs w:val="28"/>
        </w:rPr>
        <w:t>Introduction</w:t>
      </w:r>
      <w:bookmarkEnd w:id="6"/>
      <w:bookmarkEnd w:id="7"/>
      <w:bookmarkEnd w:id="8"/>
      <w:bookmarkEnd w:id="9"/>
      <w:bookmarkEnd w:id="10"/>
      <w:bookmarkEnd w:id="11"/>
      <w:bookmarkEnd w:id="12"/>
      <w:bookmarkEnd w:id="13"/>
      <w:bookmarkEnd w:id="14"/>
      <w:bookmarkEnd w:id="15"/>
      <w:bookmarkEnd w:id="16"/>
    </w:p>
    <w:p w:rsidR="00184DFE" w:rsidRPr="00184DFE" w:rsidRDefault="00184DFE" w:rsidP="00184DFE"/>
    <w:p w:rsidR="00A86BBF" w:rsidRDefault="00A86BBF" w:rsidP="00A86BBF">
      <w:pPr>
        <w:spacing w:after="0" w:line="360" w:lineRule="auto"/>
        <w:ind w:firstLine="284"/>
        <w:jc w:val="both"/>
        <w:rPr>
          <w:rFonts w:ascii="Times New Roman" w:hAnsi="Times New Roman" w:cs="Times New Roman"/>
          <w:sz w:val="24"/>
          <w:szCs w:val="24"/>
        </w:rPr>
      </w:pPr>
      <w:r w:rsidRPr="00CB740A">
        <w:rPr>
          <w:rFonts w:ascii="Times New Roman" w:hAnsi="Times New Roman" w:cs="Times New Roman"/>
          <w:sz w:val="24"/>
          <w:szCs w:val="24"/>
        </w:rPr>
        <w:t xml:space="preserve">Les ressources phytogénétiques constituent la base biologique de la sécurité alimentaire mondiale. Les diverses espèces locales et la diversité génétiques qu’elles renferment, jouent un rôle primordial dans le développement économique et social des populations. Cette variabilité constitue la matière première la plus importante pour le sélectionneur et l’améliorateur des plantes.  </w:t>
      </w:r>
    </w:p>
    <w:p w:rsidR="00A86BBF" w:rsidRPr="00CB740A" w:rsidRDefault="00A86BBF" w:rsidP="00A86BBF">
      <w:pPr>
        <w:spacing w:after="0" w:line="360" w:lineRule="auto"/>
        <w:jc w:val="both"/>
        <w:rPr>
          <w:rFonts w:ascii="Times New Roman" w:hAnsi="Times New Roman" w:cs="Times New Roman"/>
          <w:sz w:val="24"/>
          <w:szCs w:val="24"/>
        </w:rPr>
      </w:pPr>
    </w:p>
    <w:p w:rsidR="00A86BBF" w:rsidRPr="00101061" w:rsidRDefault="00A86BBF" w:rsidP="00A86BBF">
      <w:pPr>
        <w:spacing w:after="0" w:line="360" w:lineRule="auto"/>
        <w:ind w:firstLine="284"/>
        <w:jc w:val="both"/>
        <w:rPr>
          <w:rFonts w:ascii="Times New Roman" w:hAnsi="Times New Roman" w:cs="Times New Roman"/>
          <w:sz w:val="24"/>
          <w:szCs w:val="24"/>
        </w:rPr>
      </w:pPr>
      <w:r w:rsidRPr="00CB740A">
        <w:rPr>
          <w:rFonts w:ascii="Times New Roman" w:hAnsi="Times New Roman" w:cs="Times New Roman"/>
          <w:sz w:val="24"/>
          <w:szCs w:val="24"/>
        </w:rPr>
        <w:t xml:space="preserve">L’Algérie présente une grande richesse de ressources phytogénétiques </w:t>
      </w:r>
      <w:r>
        <w:rPr>
          <w:rFonts w:ascii="Times New Roman" w:hAnsi="Times New Roman" w:cs="Times New Roman"/>
          <w:sz w:val="24"/>
          <w:szCs w:val="24"/>
        </w:rPr>
        <w:t>en</w:t>
      </w:r>
      <w:r w:rsidRPr="00F92058">
        <w:rPr>
          <w:rFonts w:ascii="Times New Roman" w:hAnsi="Times New Roman" w:cs="Times New Roman"/>
          <w:sz w:val="24"/>
          <w:szCs w:val="24"/>
        </w:rPr>
        <w:t xml:space="preserve"> espèces cultivées (céréales, arbres</w:t>
      </w:r>
      <w:r w:rsidR="00E74D83">
        <w:rPr>
          <w:rFonts w:ascii="Times New Roman" w:hAnsi="Times New Roman" w:cs="Times New Roman"/>
          <w:sz w:val="24"/>
          <w:szCs w:val="24"/>
        </w:rPr>
        <w:t xml:space="preserve"> fruitiers, fourrages, maraichag</w:t>
      </w:r>
      <w:r w:rsidR="00E74D83" w:rsidRPr="00F92058">
        <w:rPr>
          <w:rFonts w:ascii="Times New Roman" w:hAnsi="Times New Roman" w:cs="Times New Roman"/>
          <w:sz w:val="24"/>
          <w:szCs w:val="24"/>
        </w:rPr>
        <w:t>e</w:t>
      </w:r>
      <w:r w:rsidR="00E74D83" w:rsidRPr="00CB740A">
        <w:rPr>
          <w:rFonts w:ascii="Times New Roman" w:hAnsi="Times New Roman" w:cs="Times New Roman"/>
          <w:sz w:val="24"/>
          <w:szCs w:val="24"/>
        </w:rPr>
        <w:t>s</w:t>
      </w:r>
      <w:r w:rsidRPr="00CB740A">
        <w:rPr>
          <w:rFonts w:ascii="Times New Roman" w:hAnsi="Times New Roman" w:cs="Times New Roman"/>
          <w:sz w:val="24"/>
          <w:szCs w:val="24"/>
        </w:rPr>
        <w:t xml:space="preserve">,…). </w:t>
      </w:r>
      <w:r w:rsidRPr="009860E1">
        <w:rPr>
          <w:rFonts w:ascii="Times New Roman" w:hAnsi="Times New Roman" w:cs="Times New Roman"/>
          <w:sz w:val="24"/>
          <w:szCs w:val="24"/>
        </w:rPr>
        <w:t>Les plantes aromatiques et médicinales</w:t>
      </w:r>
      <w:r>
        <w:rPr>
          <w:rFonts w:ascii="Times New Roman" w:hAnsi="Times New Roman" w:cs="Times New Roman"/>
          <w:sz w:val="24"/>
          <w:szCs w:val="24"/>
        </w:rPr>
        <w:t xml:space="preserve"> </w:t>
      </w:r>
      <w:r w:rsidRPr="00CB740A">
        <w:rPr>
          <w:rFonts w:ascii="Times New Roman" w:hAnsi="Times New Roman" w:cs="Times New Roman"/>
          <w:sz w:val="24"/>
          <w:szCs w:val="24"/>
        </w:rPr>
        <w:t>constituent une part importante des ressources locales</w:t>
      </w:r>
      <w:r w:rsidRPr="00101061">
        <w:rPr>
          <w:rFonts w:ascii="Times New Roman" w:hAnsi="Times New Roman" w:cs="Times New Roman"/>
          <w:sz w:val="24"/>
          <w:szCs w:val="24"/>
        </w:rPr>
        <w:t xml:space="preserve">. </w:t>
      </w:r>
    </w:p>
    <w:p w:rsidR="00A86BBF" w:rsidRDefault="00A86BBF" w:rsidP="00A86BBF">
      <w:pPr>
        <w:spacing w:after="0" w:line="360" w:lineRule="auto"/>
        <w:jc w:val="both"/>
        <w:rPr>
          <w:rFonts w:ascii="Times New Roman" w:hAnsi="Times New Roman" w:cs="Times New Roman"/>
          <w:sz w:val="24"/>
          <w:szCs w:val="24"/>
        </w:rPr>
      </w:pPr>
    </w:p>
    <w:p w:rsidR="00A86BBF" w:rsidRPr="004147E8" w:rsidRDefault="00A86BBF" w:rsidP="00A86BBF">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Par ailleurs, l</w:t>
      </w:r>
      <w:r w:rsidRPr="009101FB">
        <w:rPr>
          <w:rFonts w:ascii="Times New Roman" w:hAnsi="Times New Roman" w:cs="Times New Roman"/>
          <w:sz w:val="24"/>
          <w:szCs w:val="24"/>
        </w:rPr>
        <w:t xml:space="preserve">a </w:t>
      </w:r>
      <w:r>
        <w:rPr>
          <w:rFonts w:ascii="Times New Roman" w:hAnsi="Times New Roman" w:cs="Times New Roman"/>
          <w:sz w:val="24"/>
          <w:szCs w:val="24"/>
        </w:rPr>
        <w:t xml:space="preserve">population rurale de la </w:t>
      </w:r>
      <w:r w:rsidRPr="009101FB">
        <w:rPr>
          <w:rFonts w:ascii="Times New Roman" w:hAnsi="Times New Roman" w:cs="Times New Roman"/>
          <w:sz w:val="24"/>
          <w:szCs w:val="24"/>
        </w:rPr>
        <w:t xml:space="preserve">région des Ziban a été connue, depuis fort longtemps, </w:t>
      </w:r>
      <w:r w:rsidRPr="004147E8">
        <w:rPr>
          <w:rFonts w:ascii="Times New Roman" w:hAnsi="Times New Roman" w:cs="Times New Roman"/>
          <w:sz w:val="24"/>
          <w:szCs w:val="24"/>
        </w:rPr>
        <w:t>par ses plantes qui sont reliés à la biodiversité locale, à l’usage des potentialités dans les oasis (Sol, Eau, Main d’œuvre) et à l’utili</w:t>
      </w:r>
      <w:r w:rsidR="00E74D83">
        <w:rPr>
          <w:rFonts w:ascii="Times New Roman" w:hAnsi="Times New Roman" w:cs="Times New Roman"/>
          <w:sz w:val="24"/>
          <w:szCs w:val="24"/>
        </w:rPr>
        <w:t>sation en méde</w:t>
      </w:r>
      <w:r w:rsidRPr="004147E8">
        <w:rPr>
          <w:rFonts w:ascii="Times New Roman" w:hAnsi="Times New Roman" w:cs="Times New Roman"/>
          <w:sz w:val="24"/>
          <w:szCs w:val="24"/>
        </w:rPr>
        <w:t>cine traditionnel</w:t>
      </w:r>
      <w:r w:rsidR="00E74D83">
        <w:rPr>
          <w:rFonts w:ascii="Times New Roman" w:hAnsi="Times New Roman" w:cs="Times New Roman"/>
          <w:sz w:val="24"/>
          <w:szCs w:val="24"/>
        </w:rPr>
        <w:t>le</w:t>
      </w:r>
      <w:r w:rsidRPr="004147E8">
        <w:rPr>
          <w:rFonts w:ascii="Times New Roman" w:hAnsi="Times New Roman" w:cs="Times New Roman"/>
          <w:sz w:val="24"/>
          <w:szCs w:val="24"/>
        </w:rPr>
        <w:t xml:space="preserve"> et en alimentation familiale. </w:t>
      </w:r>
    </w:p>
    <w:p w:rsidR="00A86BBF" w:rsidRPr="004147E8" w:rsidRDefault="00A86BBF" w:rsidP="00A86BBF">
      <w:pPr>
        <w:spacing w:after="0" w:line="360" w:lineRule="auto"/>
        <w:jc w:val="both"/>
        <w:rPr>
          <w:rFonts w:ascii="Times New Roman" w:hAnsi="Times New Roman" w:cs="Times New Roman"/>
          <w:sz w:val="24"/>
          <w:szCs w:val="24"/>
        </w:rPr>
      </w:pPr>
    </w:p>
    <w:p w:rsidR="00A86BBF" w:rsidRPr="004147E8" w:rsidRDefault="00A86BBF" w:rsidP="00A86BBF">
      <w:pPr>
        <w:spacing w:after="0" w:line="360" w:lineRule="auto"/>
        <w:ind w:firstLine="284"/>
        <w:jc w:val="both"/>
        <w:rPr>
          <w:rFonts w:ascii="Times New Roman" w:hAnsi="Times New Roman" w:cs="Times New Roman"/>
          <w:sz w:val="24"/>
          <w:szCs w:val="24"/>
        </w:rPr>
      </w:pPr>
      <w:r w:rsidRPr="004147E8">
        <w:rPr>
          <w:rFonts w:ascii="Times New Roman" w:hAnsi="Times New Roman" w:cs="Times New Roman"/>
          <w:sz w:val="24"/>
          <w:szCs w:val="24"/>
        </w:rPr>
        <w:t xml:space="preserve">Actuellement, ces ressources perdent du terrain d’année en année, ceci est dû à leur rentabilité faible par rapport aux cultures stratégiques. Cette perte est devenue très </w:t>
      </w:r>
      <w:r w:rsidR="00184DFE" w:rsidRPr="004147E8">
        <w:rPr>
          <w:rFonts w:ascii="Times New Roman" w:hAnsi="Times New Roman" w:cs="Times New Roman"/>
          <w:sz w:val="24"/>
          <w:szCs w:val="24"/>
        </w:rPr>
        <w:t>menaçante</w:t>
      </w:r>
      <w:r w:rsidRPr="004147E8">
        <w:rPr>
          <w:rFonts w:ascii="Times New Roman" w:hAnsi="Times New Roman" w:cs="Times New Roman"/>
          <w:sz w:val="24"/>
          <w:szCs w:val="24"/>
        </w:rPr>
        <w:t xml:space="preserve"> dans les zones arides et semi-arides où la sécheresse rend de plus en plus difficile le développement des cultures non rentables. </w:t>
      </w:r>
    </w:p>
    <w:p w:rsidR="00A86BBF" w:rsidRPr="004147E8" w:rsidRDefault="00A86BBF" w:rsidP="00A86BBF">
      <w:pPr>
        <w:spacing w:after="0" w:line="360" w:lineRule="auto"/>
        <w:jc w:val="both"/>
        <w:rPr>
          <w:rFonts w:ascii="Times New Roman" w:hAnsi="Times New Roman" w:cs="Times New Roman"/>
          <w:sz w:val="24"/>
          <w:szCs w:val="24"/>
        </w:rPr>
      </w:pPr>
    </w:p>
    <w:p w:rsidR="00A86BBF" w:rsidRPr="004147E8" w:rsidRDefault="00A86BBF" w:rsidP="00A86BBF">
      <w:pPr>
        <w:spacing w:after="0" w:line="360" w:lineRule="auto"/>
        <w:ind w:firstLine="284"/>
        <w:jc w:val="both"/>
        <w:rPr>
          <w:rFonts w:ascii="Times New Roman" w:hAnsi="Times New Roman" w:cs="Times New Roman"/>
          <w:sz w:val="24"/>
          <w:szCs w:val="24"/>
        </w:rPr>
      </w:pPr>
      <w:r w:rsidRPr="004147E8">
        <w:rPr>
          <w:rFonts w:ascii="Times New Roman" w:hAnsi="Times New Roman" w:cs="Times New Roman"/>
          <w:sz w:val="24"/>
          <w:szCs w:val="24"/>
        </w:rPr>
        <w:t xml:space="preserve">En effet, la mise en place d’un programme de développement et de valorisation des ressources phytogénétiques en espèces aromatiques et médicinales est nécessaire pour assurer un revenu stable aux agriculteurs et conserver le patrimoine phytogénétique local. </w:t>
      </w:r>
    </w:p>
    <w:p w:rsidR="00A86BBF" w:rsidRPr="004147E8" w:rsidRDefault="00A86BBF" w:rsidP="00A86BBF">
      <w:pPr>
        <w:spacing w:after="0" w:line="360" w:lineRule="auto"/>
        <w:jc w:val="both"/>
        <w:rPr>
          <w:rFonts w:ascii="Times New Roman" w:hAnsi="Times New Roman" w:cs="Times New Roman"/>
          <w:sz w:val="24"/>
          <w:szCs w:val="24"/>
        </w:rPr>
      </w:pPr>
    </w:p>
    <w:p w:rsidR="00A86BBF" w:rsidRPr="004147E8" w:rsidRDefault="00A86BBF" w:rsidP="00A86BBF">
      <w:pPr>
        <w:spacing w:after="0" w:line="360" w:lineRule="auto"/>
        <w:ind w:firstLine="284"/>
        <w:jc w:val="both"/>
        <w:rPr>
          <w:rFonts w:ascii="Times New Roman" w:hAnsi="Times New Roman" w:cs="Times New Roman"/>
          <w:sz w:val="24"/>
          <w:szCs w:val="24"/>
        </w:rPr>
      </w:pPr>
      <w:r w:rsidRPr="004147E8">
        <w:rPr>
          <w:rFonts w:ascii="Times New Roman" w:hAnsi="Times New Roman" w:cs="Times New Roman"/>
          <w:sz w:val="24"/>
          <w:szCs w:val="24"/>
        </w:rPr>
        <w:t>En outre, la connaissance préliminaire de l’aptitude du végétal par l’analyse de la variabilité des caractères morphologiques constitue un départ important pour tous les programmes de conservation et de valorisation.</w:t>
      </w:r>
    </w:p>
    <w:p w:rsidR="00A86BBF" w:rsidRPr="004147E8" w:rsidRDefault="00A86BBF" w:rsidP="00A86BBF">
      <w:pPr>
        <w:spacing w:after="0" w:line="360" w:lineRule="auto"/>
        <w:jc w:val="both"/>
        <w:rPr>
          <w:rFonts w:ascii="Times New Roman" w:hAnsi="Times New Roman" w:cs="Times New Roman"/>
          <w:sz w:val="24"/>
          <w:szCs w:val="24"/>
        </w:rPr>
      </w:pPr>
    </w:p>
    <w:p w:rsidR="00A86BBF" w:rsidRPr="004147E8" w:rsidRDefault="00A86BBF" w:rsidP="00A86BBF">
      <w:pPr>
        <w:spacing w:after="0" w:line="360" w:lineRule="auto"/>
        <w:ind w:firstLine="284"/>
        <w:jc w:val="both"/>
        <w:rPr>
          <w:rFonts w:ascii="Times New Roman" w:hAnsi="Times New Roman" w:cs="Times New Roman"/>
          <w:sz w:val="24"/>
          <w:szCs w:val="24"/>
        </w:rPr>
      </w:pPr>
      <w:r w:rsidRPr="004147E8">
        <w:rPr>
          <w:rFonts w:ascii="Times New Roman" w:hAnsi="Times New Roman" w:cs="Times New Roman"/>
          <w:sz w:val="24"/>
          <w:szCs w:val="24"/>
        </w:rPr>
        <w:t>Dans ce but, le Fenugrec (</w:t>
      </w:r>
      <w:r w:rsidRPr="004147E8">
        <w:rPr>
          <w:rFonts w:ascii="Times New Roman" w:hAnsi="Times New Roman" w:cs="Times New Roman"/>
          <w:i/>
          <w:iCs/>
          <w:sz w:val="24"/>
          <w:szCs w:val="24"/>
        </w:rPr>
        <w:t>Trigonella foenum graecum</w:t>
      </w:r>
      <w:r w:rsidRPr="004147E8">
        <w:rPr>
          <w:rFonts w:ascii="Times New Roman" w:hAnsi="Times New Roman" w:cs="Times New Roman"/>
          <w:sz w:val="24"/>
          <w:szCs w:val="24"/>
        </w:rPr>
        <w:t xml:space="preserve"> L</w:t>
      </w:r>
      <w:r w:rsidRPr="004147E8">
        <w:rPr>
          <w:rFonts w:ascii="Times New Roman" w:hAnsi="Times New Roman" w:cs="Times New Roman"/>
          <w:b/>
          <w:bCs/>
          <w:sz w:val="24"/>
          <w:szCs w:val="24"/>
        </w:rPr>
        <w:t>.)</w:t>
      </w:r>
      <w:r w:rsidRPr="004147E8">
        <w:rPr>
          <w:rFonts w:ascii="Times New Roman" w:hAnsi="Times New Roman" w:cs="Times New Roman"/>
          <w:sz w:val="24"/>
          <w:szCs w:val="24"/>
        </w:rPr>
        <w:t>, le Carthame (</w:t>
      </w:r>
      <w:r w:rsidRPr="004147E8">
        <w:rPr>
          <w:rFonts w:ascii="Times New Roman" w:hAnsi="Times New Roman" w:cs="Times New Roman"/>
          <w:i/>
          <w:iCs/>
          <w:sz w:val="24"/>
          <w:szCs w:val="24"/>
        </w:rPr>
        <w:t>Carthamus tinctorius</w:t>
      </w:r>
      <w:r w:rsidRPr="004147E8">
        <w:rPr>
          <w:rFonts w:ascii="Times New Roman" w:hAnsi="Times New Roman" w:cs="Times New Roman"/>
          <w:sz w:val="24"/>
          <w:szCs w:val="24"/>
        </w:rPr>
        <w:t xml:space="preserve"> L.) et </w:t>
      </w:r>
      <w:smartTag w:uri="urn:schemas-microsoft-com:office:smarttags" w:element="PersonName">
        <w:smartTagPr>
          <w:attr w:name="ProductID" w:val="la Nigelle"/>
        </w:smartTagPr>
        <w:r w:rsidRPr="004147E8">
          <w:rPr>
            <w:rFonts w:ascii="Times New Roman" w:hAnsi="Times New Roman" w:cs="Times New Roman"/>
            <w:sz w:val="24"/>
            <w:szCs w:val="24"/>
          </w:rPr>
          <w:t>la Nigelle</w:t>
        </w:r>
      </w:smartTag>
      <w:r w:rsidRPr="004147E8">
        <w:rPr>
          <w:rFonts w:ascii="Times New Roman" w:hAnsi="Times New Roman" w:cs="Times New Roman"/>
          <w:sz w:val="24"/>
          <w:szCs w:val="24"/>
        </w:rPr>
        <w:t xml:space="preserve"> (</w:t>
      </w:r>
      <w:r w:rsidRPr="004147E8">
        <w:rPr>
          <w:rFonts w:ascii="Times New Roman" w:hAnsi="Times New Roman" w:cs="Times New Roman"/>
          <w:i/>
          <w:iCs/>
          <w:sz w:val="24"/>
          <w:szCs w:val="24"/>
        </w:rPr>
        <w:t>Nigella sativa</w:t>
      </w:r>
      <w:r w:rsidRPr="004147E8">
        <w:rPr>
          <w:rFonts w:ascii="Times New Roman" w:hAnsi="Times New Roman" w:cs="Times New Roman"/>
          <w:sz w:val="24"/>
          <w:szCs w:val="24"/>
        </w:rPr>
        <w:t xml:space="preserve"> L.) constituent un matériel de choix. Ces espèces sont présentes dans la région des Ziban, facilement cultivables et sont riches en protéine et en huiles essentielles ; elles méritent d’être étudiées en vue d’une amélioration et d’une adaptation à des exigences diverses.  </w:t>
      </w:r>
    </w:p>
    <w:p w:rsidR="00A86BBF" w:rsidRPr="004147E8" w:rsidRDefault="00A86BBF" w:rsidP="00A86BBF">
      <w:pPr>
        <w:spacing w:after="0" w:line="360" w:lineRule="auto"/>
        <w:jc w:val="both"/>
        <w:rPr>
          <w:rFonts w:ascii="Times New Roman" w:hAnsi="Times New Roman" w:cs="Times New Roman"/>
          <w:sz w:val="24"/>
          <w:szCs w:val="24"/>
        </w:rPr>
      </w:pPr>
    </w:p>
    <w:p w:rsidR="00A86BBF" w:rsidRPr="004147E8" w:rsidRDefault="00A86BBF" w:rsidP="004F44BF">
      <w:pPr>
        <w:spacing w:before="240" w:line="360" w:lineRule="auto"/>
        <w:ind w:firstLine="284"/>
        <w:jc w:val="lowKashida"/>
        <w:rPr>
          <w:rFonts w:ascii="Times New Roman" w:hAnsi="Times New Roman" w:cs="Times New Roman"/>
          <w:sz w:val="24"/>
          <w:szCs w:val="24"/>
        </w:rPr>
      </w:pPr>
      <w:r w:rsidRPr="004147E8">
        <w:rPr>
          <w:rFonts w:ascii="Times New Roman" w:hAnsi="Times New Roman" w:cs="Times New Roman"/>
          <w:sz w:val="24"/>
          <w:szCs w:val="24"/>
        </w:rPr>
        <w:lastRenderedPageBreak/>
        <w:t>La présente étude constitue une contribution à l’exploration de la diversité génétique des populations cultivées du Fenugrec, du Carthame et de la Nigelle. Elle vise l’analyse de la variabilité phénotypique entre six populations du Fenugrec (quatre provenant des Ziban, une de T’koute et autre introduite provenant du marché local d</w:t>
      </w:r>
      <w:r w:rsidR="00E74D83">
        <w:rPr>
          <w:rFonts w:ascii="Times New Roman" w:hAnsi="Times New Roman" w:cs="Times New Roman"/>
          <w:sz w:val="24"/>
          <w:szCs w:val="24"/>
        </w:rPr>
        <w:t>e Biskra), quatre populations de</w:t>
      </w:r>
      <w:r w:rsidR="009E3562">
        <w:rPr>
          <w:rFonts w:ascii="Times New Roman" w:hAnsi="Times New Roman" w:cs="Times New Roman"/>
          <w:sz w:val="24"/>
          <w:szCs w:val="24"/>
        </w:rPr>
        <w:t>s</w:t>
      </w:r>
      <w:r w:rsidRPr="004147E8">
        <w:rPr>
          <w:rFonts w:ascii="Times New Roman" w:hAnsi="Times New Roman" w:cs="Times New Roman"/>
          <w:sz w:val="24"/>
          <w:szCs w:val="24"/>
        </w:rPr>
        <w:t xml:space="preserve"> Carthame provenant des Ziban et quatre populations de Nigelle (deux provenant des Ziban, une de T’koute et autre introduite provenant du marché local de Biskra).   </w:t>
      </w:r>
    </w:p>
    <w:p w:rsidR="00A86BBF" w:rsidRDefault="00A86BBF"/>
    <w:p w:rsidR="00184DFE" w:rsidRDefault="00184DFE"/>
    <w:p w:rsidR="00184DFE" w:rsidRDefault="00184DFE"/>
    <w:p w:rsidR="00184DFE" w:rsidRDefault="00184DFE"/>
    <w:p w:rsidR="00184DFE" w:rsidRDefault="00184DFE"/>
    <w:p w:rsidR="00184DFE" w:rsidRDefault="00184DFE"/>
    <w:p w:rsidR="00184DFE" w:rsidRDefault="00184DFE"/>
    <w:p w:rsidR="00184DFE" w:rsidRDefault="00184DFE"/>
    <w:p w:rsidR="00184DFE" w:rsidRDefault="00184DFE"/>
    <w:p w:rsidR="00184DFE" w:rsidRDefault="00184DFE"/>
    <w:p w:rsidR="00184DFE" w:rsidRDefault="00184DFE"/>
    <w:p w:rsidR="00184DFE" w:rsidRDefault="00184DFE"/>
    <w:p w:rsidR="00184DFE" w:rsidRDefault="00184DFE"/>
    <w:p w:rsidR="00184DFE" w:rsidRDefault="00184DFE"/>
    <w:p w:rsidR="00184DFE" w:rsidRDefault="00184DFE"/>
    <w:p w:rsidR="00184DFE" w:rsidRDefault="00184DFE"/>
    <w:p w:rsidR="00184DFE" w:rsidRDefault="00184DFE"/>
    <w:p w:rsidR="00184DFE" w:rsidRDefault="00184DFE"/>
    <w:p w:rsidR="00A64CFE" w:rsidRDefault="00A64CFE">
      <w:pPr>
        <w:sectPr w:rsidR="00A64CFE" w:rsidSect="003F13B2">
          <w:headerReference w:type="default" r:id="rId13"/>
          <w:pgSz w:w="11906" w:h="16838"/>
          <w:pgMar w:top="992" w:right="851" w:bottom="1134" w:left="1134" w:header="709" w:footer="709" w:gutter="0"/>
          <w:pgNumType w:start="1"/>
          <w:cols w:space="708"/>
          <w:docGrid w:linePitch="360"/>
        </w:sectPr>
      </w:pPr>
    </w:p>
    <w:p w:rsidR="001C3287" w:rsidRDefault="001C3287" w:rsidP="001404F7">
      <w:pPr>
        <w:pStyle w:val="Titre"/>
        <w:spacing w:line="360" w:lineRule="auto"/>
        <w:rPr>
          <w:rFonts w:asciiTheme="majorBidi" w:hAnsiTheme="majorBidi" w:cstheme="majorBidi"/>
          <w:sz w:val="28"/>
          <w:szCs w:val="28"/>
        </w:rPr>
      </w:pPr>
    </w:p>
    <w:p w:rsidR="00184DFE" w:rsidRPr="001404F7" w:rsidRDefault="00184DFE" w:rsidP="001404F7">
      <w:pPr>
        <w:pStyle w:val="Titre"/>
        <w:spacing w:line="360" w:lineRule="auto"/>
        <w:rPr>
          <w:rFonts w:asciiTheme="majorBidi" w:hAnsiTheme="majorBidi" w:cstheme="majorBidi"/>
          <w:sz w:val="28"/>
          <w:szCs w:val="28"/>
        </w:rPr>
      </w:pPr>
      <w:r w:rsidRPr="001404F7">
        <w:rPr>
          <w:rFonts w:asciiTheme="majorBidi" w:hAnsiTheme="majorBidi" w:cstheme="majorBidi"/>
          <w:sz w:val="28"/>
          <w:szCs w:val="28"/>
        </w:rPr>
        <w:t>Chapitre I : Synthèse bibliographique</w:t>
      </w:r>
    </w:p>
    <w:p w:rsidR="008A1C6B" w:rsidRPr="00BF4BBE" w:rsidRDefault="008A1C6B" w:rsidP="00BF4BBE">
      <w:pPr>
        <w:pStyle w:val="Titre1"/>
        <w:numPr>
          <w:ilvl w:val="0"/>
          <w:numId w:val="3"/>
        </w:numPr>
        <w:spacing w:after="240" w:line="360" w:lineRule="auto"/>
        <w:rPr>
          <w:rFonts w:ascii="Times New Roman" w:hAnsi="Times New Roman"/>
          <w:color w:val="auto"/>
        </w:rPr>
      </w:pPr>
      <w:bookmarkStart w:id="17" w:name="_Toc126492972"/>
      <w:bookmarkStart w:id="18" w:name="_Toc126570472"/>
      <w:bookmarkStart w:id="19" w:name="_Toc126571780"/>
      <w:bookmarkStart w:id="20" w:name="_Toc126572561"/>
      <w:bookmarkStart w:id="21" w:name="_Toc126575195"/>
      <w:bookmarkStart w:id="22" w:name="_Toc126575872"/>
      <w:bookmarkStart w:id="23" w:name="_Toc126576747"/>
      <w:bookmarkStart w:id="24" w:name="_Toc252093956"/>
      <w:bookmarkStart w:id="25" w:name="_Toc252365352"/>
      <w:bookmarkStart w:id="26" w:name="_Toc252365611"/>
      <w:bookmarkStart w:id="27" w:name="_Toc252366156"/>
      <w:r w:rsidRPr="00184DFE">
        <w:rPr>
          <w:rFonts w:ascii="Times New Roman" w:hAnsi="Times New Roman"/>
          <w:color w:val="auto"/>
        </w:rPr>
        <w:t>Historique</w:t>
      </w:r>
      <w:bookmarkEnd w:id="17"/>
      <w:bookmarkEnd w:id="18"/>
      <w:bookmarkEnd w:id="19"/>
      <w:bookmarkEnd w:id="20"/>
      <w:bookmarkEnd w:id="21"/>
      <w:bookmarkEnd w:id="22"/>
      <w:bookmarkEnd w:id="23"/>
      <w:bookmarkEnd w:id="24"/>
      <w:bookmarkEnd w:id="25"/>
      <w:bookmarkEnd w:id="26"/>
      <w:bookmarkEnd w:id="27"/>
    </w:p>
    <w:p w:rsidR="008A1C6B" w:rsidRPr="00773A0E" w:rsidRDefault="008A1C6B" w:rsidP="00BF4BBE">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L’histoire des plantes aromatiques et médicinales est associée à l’évolution des civilisations. Dans toutes les régions du monde, l’histoire des peuples montre que ces plantes ont toujours occupé une place importante en médecine, dans la composition des parfums et dans les préparations culinaires</w:t>
      </w:r>
      <w:r>
        <w:rPr>
          <w:rFonts w:ascii="Times New Roman" w:hAnsi="Times New Roman" w:cs="Times New Roman"/>
          <w:sz w:val="24"/>
          <w:szCs w:val="24"/>
        </w:rPr>
        <w:t xml:space="preserve"> </w:t>
      </w:r>
      <w:r w:rsidRPr="00CD0473">
        <w:rPr>
          <w:rFonts w:ascii="Times New Roman" w:hAnsi="Times New Roman" w:cs="Times New Roman"/>
          <w:sz w:val="24"/>
          <w:szCs w:val="24"/>
        </w:rPr>
        <w:t xml:space="preserve">(LAFFITTE, 1999 ; VIAL, 1998 ; TEUSCHER </w:t>
      </w:r>
      <w:r w:rsidRPr="00CD0473">
        <w:rPr>
          <w:rFonts w:ascii="Times New Roman" w:hAnsi="Times New Roman" w:cs="Times New Roman"/>
          <w:i/>
          <w:iCs/>
          <w:sz w:val="24"/>
          <w:szCs w:val="24"/>
        </w:rPr>
        <w:t>et al.</w:t>
      </w:r>
      <w:r w:rsidR="00E35E9B">
        <w:rPr>
          <w:rFonts w:ascii="Times New Roman" w:hAnsi="Times New Roman" w:cs="Times New Roman"/>
          <w:i/>
          <w:iCs/>
          <w:sz w:val="24"/>
          <w:szCs w:val="24"/>
        </w:rPr>
        <w:t>,</w:t>
      </w:r>
      <w:r w:rsidRPr="00CD0473">
        <w:rPr>
          <w:rFonts w:ascii="Times New Roman" w:hAnsi="Times New Roman" w:cs="Times New Roman"/>
          <w:sz w:val="24"/>
          <w:szCs w:val="24"/>
        </w:rPr>
        <w:t xml:space="preserve"> 2005).</w:t>
      </w:r>
    </w:p>
    <w:p w:rsidR="008A1C6B" w:rsidRPr="00786260" w:rsidRDefault="008A1C6B" w:rsidP="00BF4BBE">
      <w:pPr>
        <w:spacing w:before="240" w:line="360" w:lineRule="auto"/>
        <w:ind w:firstLine="284"/>
        <w:jc w:val="lowKashida"/>
        <w:rPr>
          <w:rFonts w:ascii="Times New Roman" w:hAnsi="Times New Roman" w:cs="Times New Roman"/>
          <w:sz w:val="24"/>
          <w:szCs w:val="24"/>
        </w:rPr>
      </w:pPr>
      <w:r w:rsidRPr="00CD0473">
        <w:rPr>
          <w:rFonts w:ascii="Times New Roman" w:hAnsi="Times New Roman" w:cs="Times New Roman"/>
          <w:sz w:val="24"/>
          <w:szCs w:val="24"/>
        </w:rPr>
        <w:t>La Chine, berceau de la phytothérapie, l’Inde, le Moyen–Orient, notamment au cours de l’ère arabo-musulmane, l’Egypte, la Grèce, les romains, constituent des civilisations phares pendant lesquelles les plantes aromatiques et médicinales ont connu une place de premier plan (</w:t>
      </w:r>
      <w:r>
        <w:rPr>
          <w:rFonts w:ascii="Times New Roman" w:hAnsi="Times New Roman" w:cs="Times New Roman"/>
          <w:sz w:val="24"/>
          <w:szCs w:val="24"/>
        </w:rPr>
        <w:t>APIA,</w:t>
      </w:r>
      <w:r w:rsidRPr="00CD0473">
        <w:rPr>
          <w:rFonts w:ascii="Times New Roman" w:hAnsi="Times New Roman" w:cs="Times New Roman"/>
          <w:sz w:val="24"/>
          <w:szCs w:val="24"/>
        </w:rPr>
        <w:t xml:space="preserve"> 2005).</w:t>
      </w:r>
    </w:p>
    <w:p w:rsidR="008A1C6B" w:rsidRPr="00773A0E" w:rsidRDefault="008A1C6B" w:rsidP="00BF4BBE">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Au XVIIIe siècle, on constate un rejet contre toutes ces « herbes de sorciers » mais au XIXe siècle</w:t>
      </w:r>
      <w:r>
        <w:rPr>
          <w:rFonts w:ascii="Times New Roman" w:hAnsi="Times New Roman" w:cs="Times New Roman"/>
          <w:sz w:val="24"/>
          <w:szCs w:val="24"/>
        </w:rPr>
        <w:t>, elles refont leur apparition</w:t>
      </w:r>
      <w:r w:rsidRPr="00773A0E">
        <w:rPr>
          <w:rFonts w:ascii="Times New Roman" w:hAnsi="Times New Roman" w:cs="Times New Roman"/>
          <w:sz w:val="24"/>
          <w:szCs w:val="24"/>
        </w:rPr>
        <w:t xml:space="preserve"> (VIGUIER, 2006).</w:t>
      </w:r>
    </w:p>
    <w:p w:rsidR="008A1C6B" w:rsidRPr="00773A0E" w:rsidRDefault="008A1C6B" w:rsidP="00BF4BBE">
      <w:pPr>
        <w:spacing w:before="240" w:line="360" w:lineRule="auto"/>
        <w:ind w:firstLine="284"/>
        <w:jc w:val="lowKashida"/>
        <w:rPr>
          <w:rFonts w:ascii="Times New Roman" w:hAnsi="Times New Roman" w:cs="Times New Roman"/>
          <w:color w:val="008000"/>
          <w:sz w:val="24"/>
          <w:szCs w:val="24"/>
        </w:rPr>
      </w:pPr>
      <w:r w:rsidRPr="00773A0E">
        <w:rPr>
          <w:rFonts w:ascii="Times New Roman" w:hAnsi="Times New Roman" w:cs="Times New Roman"/>
          <w:sz w:val="24"/>
          <w:szCs w:val="24"/>
        </w:rPr>
        <w:t>Le secteur des plantes à parfum, aromatiques et médicinales recouvre une réalité diverse et complexe. C’est un secteur dont on parle assez peu dans le monde de l’agriculture, mais il apparaît néanmoins comme un secteur d'avenir. Ce sont des micro-filières agricoles, très dispersées dont les débouchés principaux sont l’agroalimentaire, l’industrie des arômes, la parfumerie, l’industrie cosmétique et l’industrie pharmaceutique, ce qui astreint la production agricole aux contraintes d’un produit de base industrielle (VIGUIER, 2006)</w:t>
      </w:r>
      <w:r w:rsidR="00BF4BBE">
        <w:rPr>
          <w:rFonts w:ascii="Times New Roman" w:hAnsi="Times New Roman" w:cs="Times New Roman"/>
          <w:sz w:val="24"/>
          <w:szCs w:val="24"/>
        </w:rPr>
        <w:t>.</w:t>
      </w:r>
    </w:p>
    <w:p w:rsidR="008A1C6B" w:rsidRPr="00BF4BBE" w:rsidRDefault="008A1C6B" w:rsidP="00BF4BBE">
      <w:pPr>
        <w:pStyle w:val="Titre1"/>
        <w:numPr>
          <w:ilvl w:val="0"/>
          <w:numId w:val="3"/>
        </w:numPr>
        <w:spacing w:after="240" w:line="360" w:lineRule="auto"/>
        <w:rPr>
          <w:rFonts w:ascii="Times New Roman" w:hAnsi="Times New Roman"/>
          <w:color w:val="auto"/>
        </w:rPr>
      </w:pPr>
      <w:bookmarkStart w:id="28" w:name="_Toc251854981"/>
      <w:bookmarkStart w:id="29" w:name="_Toc251855391"/>
      <w:bookmarkStart w:id="30" w:name="_Toc126492558"/>
      <w:bookmarkStart w:id="31" w:name="_Toc126492973"/>
      <w:bookmarkStart w:id="32" w:name="_Toc126570473"/>
      <w:bookmarkStart w:id="33" w:name="_Toc126571781"/>
      <w:bookmarkStart w:id="34" w:name="_Toc126572562"/>
      <w:bookmarkStart w:id="35" w:name="_Toc126575196"/>
      <w:bookmarkStart w:id="36" w:name="_Toc126575873"/>
      <w:bookmarkStart w:id="37" w:name="_Toc126576748"/>
      <w:bookmarkStart w:id="38" w:name="_Toc252093957"/>
      <w:bookmarkStart w:id="39" w:name="_Toc252365353"/>
      <w:bookmarkStart w:id="40" w:name="_Toc252365612"/>
      <w:bookmarkStart w:id="41" w:name="_Toc252366157"/>
      <w:r w:rsidRPr="000E6CDB">
        <w:rPr>
          <w:rFonts w:ascii="Times New Roman" w:hAnsi="Times New Roman"/>
          <w:color w:val="auto"/>
        </w:rPr>
        <w:t>La limite entre condiment, aromate et plante médicinale</w:t>
      </w:r>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0E6CDB">
        <w:rPr>
          <w:rFonts w:ascii="Times New Roman" w:hAnsi="Times New Roman"/>
          <w:color w:val="auto"/>
        </w:rPr>
        <w:t xml:space="preserve"> </w:t>
      </w:r>
    </w:p>
    <w:p w:rsidR="008A1C6B" w:rsidRPr="00773A0E" w:rsidRDefault="008A1C6B" w:rsidP="00BF4BBE">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Le terme d’« aromate » désigne tout corps odorant d’origine </w:t>
      </w:r>
      <w:r w:rsidRPr="00666C63">
        <w:rPr>
          <w:rFonts w:ascii="Times New Roman" w:hAnsi="Times New Roman" w:cs="Times New Roman"/>
          <w:sz w:val="24"/>
          <w:szCs w:val="24"/>
        </w:rPr>
        <w:t xml:space="preserve">végétale </w:t>
      </w:r>
      <w:r>
        <w:rPr>
          <w:rFonts w:ascii="Times New Roman" w:hAnsi="Times New Roman" w:cs="Times New Roman"/>
          <w:sz w:val="24"/>
          <w:szCs w:val="24"/>
        </w:rPr>
        <w:t xml:space="preserve">utilisé en médecines </w:t>
      </w:r>
      <w:r w:rsidRPr="00773A0E">
        <w:rPr>
          <w:rFonts w:ascii="Times New Roman" w:hAnsi="Times New Roman" w:cs="Times New Roman"/>
          <w:sz w:val="24"/>
          <w:szCs w:val="24"/>
        </w:rPr>
        <w:t>en parfumerie ou en cuisine. Tandis qu’un condiment est, plus spécifiquement une substance aromatique qui relève la saveur des aliments. Il s’agit donc d’un terme exclusivement culinaire. La limite entre légume, condiment et plante médicinale, voire tinctoriale</w:t>
      </w:r>
      <w:r>
        <w:rPr>
          <w:rFonts w:ascii="Times New Roman" w:hAnsi="Times New Roman" w:cs="Times New Roman"/>
          <w:sz w:val="24"/>
          <w:szCs w:val="24"/>
        </w:rPr>
        <w:t>,</w:t>
      </w:r>
      <w:r w:rsidRPr="00773A0E">
        <w:rPr>
          <w:rFonts w:ascii="Times New Roman" w:hAnsi="Times New Roman" w:cs="Times New Roman"/>
          <w:sz w:val="24"/>
          <w:szCs w:val="24"/>
        </w:rPr>
        <w:t xml:space="preserve"> est donc souvent assez floue. De toute façon, les diverses plantes condimentaires, riches en principes aromatiques possèdent également des vertus médicinales, d’ailleurs généralement mises à profit par l’homme depuis toujours</w:t>
      </w:r>
      <w:r>
        <w:rPr>
          <w:rFonts w:ascii="Times New Roman" w:hAnsi="Times New Roman" w:cs="Times New Roman"/>
          <w:sz w:val="24"/>
          <w:szCs w:val="24"/>
        </w:rPr>
        <w:t xml:space="preserve"> </w:t>
      </w:r>
      <w:r w:rsidRPr="00EA60CC">
        <w:rPr>
          <w:rFonts w:ascii="Times New Roman" w:hAnsi="Times New Roman" w:cs="Times New Roman"/>
          <w:sz w:val="24"/>
          <w:szCs w:val="24"/>
        </w:rPr>
        <w:t>(</w:t>
      </w:r>
      <w:r w:rsidRPr="002B2BC1">
        <w:rPr>
          <w:rFonts w:ascii="Times New Roman" w:hAnsi="Times New Roman" w:cs="Times New Roman"/>
          <w:sz w:val="24"/>
          <w:szCs w:val="24"/>
        </w:rPr>
        <w:t>COMPLAN,</w:t>
      </w:r>
      <w:r w:rsidRPr="00EA60CC">
        <w:rPr>
          <w:rFonts w:ascii="Times New Roman" w:hAnsi="Times New Roman" w:cs="Times New Roman"/>
          <w:sz w:val="24"/>
          <w:szCs w:val="24"/>
        </w:rPr>
        <w:t xml:space="preserve"> 1999)</w:t>
      </w:r>
      <w:r w:rsidRPr="00773A0E">
        <w:rPr>
          <w:rFonts w:ascii="Times New Roman" w:hAnsi="Times New Roman" w:cs="Times New Roman"/>
          <w:sz w:val="24"/>
          <w:szCs w:val="24"/>
        </w:rPr>
        <w:t>.</w:t>
      </w:r>
    </w:p>
    <w:p w:rsidR="008A1C6B" w:rsidRPr="00773A0E" w:rsidRDefault="008A1C6B" w:rsidP="00BF4BBE">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On appelle plante médicinale toute plante renfermant un ou plusieurs principes actifs capables de prévenir, soulager ou guérir des </w:t>
      </w:r>
      <w:r w:rsidRPr="002B2BC1">
        <w:rPr>
          <w:rFonts w:ascii="Times New Roman" w:hAnsi="Times New Roman" w:cs="Times New Roman"/>
          <w:sz w:val="24"/>
          <w:szCs w:val="24"/>
        </w:rPr>
        <w:t>maladies (COMPLAN,</w:t>
      </w:r>
      <w:r w:rsidRPr="00773A0E">
        <w:rPr>
          <w:rFonts w:ascii="Times New Roman" w:hAnsi="Times New Roman" w:cs="Times New Roman"/>
          <w:sz w:val="24"/>
          <w:szCs w:val="24"/>
        </w:rPr>
        <w:t xml:space="preserve"> 1999).</w:t>
      </w:r>
    </w:p>
    <w:p w:rsidR="00C21963" w:rsidRDefault="00C21963" w:rsidP="00BF4BBE">
      <w:pPr>
        <w:spacing w:before="240" w:line="360" w:lineRule="auto"/>
        <w:ind w:firstLine="284"/>
        <w:jc w:val="lowKashida"/>
        <w:rPr>
          <w:rFonts w:ascii="Times New Roman" w:hAnsi="Times New Roman" w:cs="Times New Roman"/>
          <w:sz w:val="24"/>
          <w:szCs w:val="24"/>
        </w:rPr>
      </w:pPr>
    </w:p>
    <w:p w:rsidR="008A1C6B" w:rsidRPr="00773A0E" w:rsidRDefault="008A1C6B" w:rsidP="00BF4BBE">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Certaines plantes contenant toute une gamme de matières efficaces peuvent avoir des actions très différentes suivant leur préparation (</w:t>
      </w:r>
      <w:r>
        <w:rPr>
          <w:rFonts w:ascii="Times New Roman" w:hAnsi="Times New Roman" w:cs="Times New Roman"/>
          <w:sz w:val="24"/>
          <w:szCs w:val="24"/>
        </w:rPr>
        <w:t>UICN, 2006</w:t>
      </w:r>
      <w:r w:rsidRPr="00773A0E">
        <w:rPr>
          <w:rFonts w:ascii="Times New Roman" w:hAnsi="Times New Roman" w:cs="Times New Roman"/>
          <w:sz w:val="24"/>
          <w:szCs w:val="24"/>
        </w:rPr>
        <w:t>).</w:t>
      </w:r>
    </w:p>
    <w:p w:rsidR="008A1C6B" w:rsidRPr="00CD0473" w:rsidRDefault="008A1C6B" w:rsidP="00BF4BBE">
      <w:pPr>
        <w:pStyle w:val="Titre1"/>
        <w:numPr>
          <w:ilvl w:val="0"/>
          <w:numId w:val="3"/>
        </w:numPr>
        <w:spacing w:before="240" w:after="240" w:line="360" w:lineRule="auto"/>
        <w:rPr>
          <w:rFonts w:ascii="Times New Roman" w:hAnsi="Times New Roman"/>
          <w:color w:val="auto"/>
        </w:rPr>
      </w:pPr>
      <w:bookmarkStart w:id="42" w:name="_Toc251854982"/>
      <w:bookmarkStart w:id="43" w:name="_Toc251855392"/>
      <w:bookmarkStart w:id="44" w:name="_Toc126492559"/>
      <w:bookmarkStart w:id="45" w:name="_Toc126492974"/>
      <w:bookmarkStart w:id="46" w:name="_Toc126570474"/>
      <w:bookmarkStart w:id="47" w:name="_Toc126571782"/>
      <w:bookmarkStart w:id="48" w:name="_Toc126572563"/>
      <w:bookmarkStart w:id="49" w:name="_Toc126575197"/>
      <w:bookmarkStart w:id="50" w:name="_Toc126575874"/>
      <w:bookmarkStart w:id="51" w:name="_Toc126576749"/>
      <w:bookmarkStart w:id="52" w:name="_Toc252093958"/>
      <w:bookmarkStart w:id="53" w:name="_Toc252365354"/>
      <w:bookmarkStart w:id="54" w:name="_Toc252365613"/>
      <w:bookmarkStart w:id="55" w:name="_Toc252366158"/>
      <w:r w:rsidRPr="00CD0473">
        <w:rPr>
          <w:rFonts w:ascii="Times New Roman" w:hAnsi="Times New Roman"/>
          <w:color w:val="auto"/>
        </w:rPr>
        <w:t>L’intérêt des plantes condimentaires, médicinales et aromatiques</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8A1C6B" w:rsidRPr="00BF4BBE" w:rsidRDefault="008A1C6B" w:rsidP="00BF4BBE">
      <w:pPr>
        <w:pStyle w:val="Titre2"/>
        <w:numPr>
          <w:ilvl w:val="0"/>
          <w:numId w:val="4"/>
        </w:numPr>
        <w:spacing w:after="240" w:line="360" w:lineRule="auto"/>
        <w:rPr>
          <w:rFonts w:ascii="Times New Roman" w:hAnsi="Times New Roman"/>
          <w:color w:val="auto"/>
          <w:sz w:val="24"/>
          <w:szCs w:val="24"/>
        </w:rPr>
      </w:pPr>
      <w:bookmarkStart w:id="56" w:name="_Toc251854983"/>
      <w:bookmarkStart w:id="57" w:name="_Toc251855393"/>
      <w:bookmarkStart w:id="58" w:name="_Toc126492560"/>
      <w:bookmarkStart w:id="59" w:name="_Toc126492975"/>
      <w:bookmarkStart w:id="60" w:name="_Toc126570475"/>
      <w:bookmarkStart w:id="61" w:name="_Toc126571783"/>
      <w:bookmarkStart w:id="62" w:name="_Toc126572564"/>
      <w:bookmarkStart w:id="63" w:name="_Toc126575198"/>
      <w:bookmarkStart w:id="64" w:name="_Toc126575875"/>
      <w:bookmarkStart w:id="65" w:name="_Toc126576750"/>
      <w:bookmarkStart w:id="66" w:name="_Toc252093959"/>
      <w:bookmarkStart w:id="67" w:name="_Toc252365355"/>
      <w:bookmarkStart w:id="68" w:name="_Toc252365614"/>
      <w:bookmarkStart w:id="69" w:name="_Toc252366159"/>
      <w:r w:rsidRPr="00C35E73">
        <w:rPr>
          <w:rFonts w:ascii="Times New Roman" w:hAnsi="Times New Roman"/>
          <w:color w:val="auto"/>
          <w:sz w:val="24"/>
          <w:szCs w:val="24"/>
        </w:rPr>
        <w:t>Intérêts thérapeutiques</w:t>
      </w:r>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8A1C6B" w:rsidRPr="00773A0E" w:rsidRDefault="008A1C6B" w:rsidP="00BF4BBE">
      <w:pPr>
        <w:spacing w:before="240" w:after="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Les remèdes naturels et surtout les plantes médicinales ont été pendant longtemps le principal, voire l’unique</w:t>
      </w:r>
      <w:r>
        <w:rPr>
          <w:rFonts w:ascii="Times New Roman" w:hAnsi="Times New Roman" w:cs="Times New Roman"/>
          <w:sz w:val="24"/>
          <w:szCs w:val="24"/>
        </w:rPr>
        <w:t>,</w:t>
      </w:r>
      <w:r w:rsidRPr="00773A0E">
        <w:rPr>
          <w:rFonts w:ascii="Times New Roman" w:hAnsi="Times New Roman" w:cs="Times New Roman"/>
          <w:sz w:val="24"/>
          <w:szCs w:val="24"/>
        </w:rPr>
        <w:t xml:space="preserve"> recours de la tradition orale pour soigner les pathologies </w:t>
      </w:r>
      <w:r w:rsidRPr="00CD0473">
        <w:rPr>
          <w:rFonts w:ascii="Times New Roman" w:hAnsi="Times New Roman" w:cs="Times New Roman"/>
          <w:sz w:val="24"/>
          <w:szCs w:val="24"/>
        </w:rPr>
        <w:t>(JEAN et JIRI</w:t>
      </w:r>
      <w:r w:rsidRPr="00773A0E">
        <w:rPr>
          <w:rFonts w:ascii="Times New Roman" w:hAnsi="Times New Roman" w:cs="Times New Roman"/>
          <w:sz w:val="24"/>
          <w:szCs w:val="24"/>
        </w:rPr>
        <w:t>,</w:t>
      </w:r>
      <w:r>
        <w:rPr>
          <w:rFonts w:ascii="Times New Roman" w:hAnsi="Times New Roman" w:cs="Times New Roman"/>
          <w:sz w:val="24"/>
          <w:szCs w:val="24"/>
        </w:rPr>
        <w:t xml:space="preserve"> 1983 ; </w:t>
      </w:r>
      <w:r w:rsidRPr="00773A0E">
        <w:rPr>
          <w:rFonts w:ascii="Times New Roman" w:hAnsi="Times New Roman" w:cs="Times New Roman"/>
          <w:sz w:val="24"/>
          <w:szCs w:val="24"/>
        </w:rPr>
        <w:t>OULD EL HADJ, 2003)</w:t>
      </w:r>
      <w:r>
        <w:rPr>
          <w:rFonts w:ascii="Times New Roman" w:hAnsi="Times New Roman" w:cs="Times New Roman"/>
          <w:sz w:val="24"/>
          <w:szCs w:val="24"/>
        </w:rPr>
        <w:t>. E</w:t>
      </w:r>
      <w:r w:rsidRPr="00773A0E">
        <w:rPr>
          <w:rFonts w:ascii="Times New Roman" w:hAnsi="Times New Roman" w:cs="Times New Roman"/>
          <w:sz w:val="24"/>
          <w:szCs w:val="24"/>
        </w:rPr>
        <w:t xml:space="preserve">n même temps que </w:t>
      </w:r>
      <w:r>
        <w:rPr>
          <w:rFonts w:ascii="Times New Roman" w:hAnsi="Times New Roman" w:cs="Times New Roman"/>
          <w:sz w:val="24"/>
          <w:szCs w:val="24"/>
        </w:rPr>
        <w:t>l</w:t>
      </w:r>
      <w:r w:rsidRPr="00773A0E">
        <w:rPr>
          <w:rFonts w:ascii="Times New Roman" w:hAnsi="Times New Roman" w:cs="Times New Roman"/>
          <w:sz w:val="24"/>
          <w:szCs w:val="24"/>
        </w:rPr>
        <w:t>a médecine traditionnelle est devenue complémentaire de la médecine académique dans la pratique</w:t>
      </w:r>
      <w:r>
        <w:rPr>
          <w:rFonts w:ascii="Times New Roman" w:hAnsi="Times New Roman" w:cs="Times New Roman"/>
          <w:sz w:val="24"/>
          <w:szCs w:val="24"/>
        </w:rPr>
        <w:t xml:space="preserve"> (GALVIN, 2004</w:t>
      </w:r>
      <w:r w:rsidRPr="00A456A7">
        <w:rPr>
          <w:rFonts w:ascii="Times New Roman" w:hAnsi="Times New Roman" w:cs="Times New Roman"/>
          <w:sz w:val="24"/>
          <w:szCs w:val="24"/>
        </w:rPr>
        <w:t>) ;</w:t>
      </w:r>
      <w:r w:rsidRPr="00A253CE">
        <w:rPr>
          <w:rFonts w:ascii="Times New Roman" w:hAnsi="Times New Roman" w:cs="Times New Roman"/>
          <w:sz w:val="24"/>
          <w:szCs w:val="24"/>
        </w:rPr>
        <w:t xml:space="preserve"> il est, en effet, de plus en plus admis que les produits naturels comportent peu ou pas d’effets secondaires </w:t>
      </w:r>
      <w:r w:rsidRPr="00773A0E">
        <w:rPr>
          <w:rFonts w:ascii="Times New Roman" w:hAnsi="Times New Roman" w:cs="Times New Roman"/>
          <w:sz w:val="24"/>
          <w:szCs w:val="24"/>
        </w:rPr>
        <w:t>(</w:t>
      </w:r>
      <w:r>
        <w:rPr>
          <w:rFonts w:ascii="Times New Roman" w:hAnsi="Times New Roman" w:cs="Times New Roman"/>
          <w:sz w:val="24"/>
          <w:szCs w:val="24"/>
        </w:rPr>
        <w:t>UICN, 2006</w:t>
      </w:r>
      <w:r w:rsidRPr="00773A0E">
        <w:rPr>
          <w:rFonts w:ascii="Times New Roman" w:hAnsi="Times New Roman" w:cs="Times New Roman"/>
          <w:sz w:val="24"/>
          <w:szCs w:val="24"/>
        </w:rPr>
        <w:t>).</w:t>
      </w:r>
    </w:p>
    <w:p w:rsidR="008A1C6B" w:rsidRPr="00BF4BBE" w:rsidRDefault="008A1C6B" w:rsidP="00BF4BBE">
      <w:pPr>
        <w:pStyle w:val="Titre2"/>
        <w:numPr>
          <w:ilvl w:val="0"/>
          <w:numId w:val="4"/>
        </w:numPr>
        <w:spacing w:before="240" w:after="240" w:line="360" w:lineRule="auto"/>
        <w:rPr>
          <w:rFonts w:ascii="Times New Roman" w:hAnsi="Times New Roman"/>
          <w:color w:val="auto"/>
          <w:sz w:val="24"/>
          <w:szCs w:val="24"/>
        </w:rPr>
      </w:pPr>
      <w:bookmarkStart w:id="70" w:name="_Toc251854984"/>
      <w:bookmarkStart w:id="71" w:name="_Toc251855394"/>
      <w:bookmarkStart w:id="72" w:name="_Toc126492561"/>
      <w:bookmarkStart w:id="73" w:name="_Toc126492976"/>
      <w:bookmarkStart w:id="74" w:name="_Toc126570476"/>
      <w:bookmarkStart w:id="75" w:name="_Toc126571784"/>
      <w:bookmarkStart w:id="76" w:name="_Toc126572565"/>
      <w:bookmarkStart w:id="77" w:name="_Toc126575199"/>
      <w:bookmarkStart w:id="78" w:name="_Toc126575876"/>
      <w:bookmarkStart w:id="79" w:name="_Toc126576751"/>
      <w:bookmarkStart w:id="80" w:name="_Toc252093960"/>
      <w:bookmarkStart w:id="81" w:name="_Toc252365356"/>
      <w:bookmarkStart w:id="82" w:name="_Toc252365615"/>
      <w:bookmarkStart w:id="83" w:name="_Toc252366160"/>
      <w:r w:rsidRPr="00C35E73">
        <w:rPr>
          <w:rFonts w:ascii="Times New Roman" w:hAnsi="Times New Roman"/>
          <w:color w:val="auto"/>
          <w:sz w:val="24"/>
          <w:szCs w:val="24"/>
        </w:rPr>
        <w:t>Intérêts socio-économiques</w:t>
      </w:r>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C35E73">
        <w:rPr>
          <w:rFonts w:ascii="Times New Roman" w:hAnsi="Times New Roman"/>
          <w:color w:val="auto"/>
          <w:sz w:val="24"/>
          <w:szCs w:val="24"/>
        </w:rPr>
        <w:t> </w:t>
      </w:r>
    </w:p>
    <w:p w:rsidR="008A1C6B" w:rsidRPr="00773A0E" w:rsidRDefault="008A1C6B" w:rsidP="00BF4BBE">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On considère à l’heure actuelle que prés de 75% de la population africaine n’a recours qu’aux plantes qui l’entourent pour se soigner et n’a pas accès aux médicaments  dit « moderne » (POUSSET, 2004).</w:t>
      </w:r>
    </w:p>
    <w:p w:rsidR="008A1C6B" w:rsidRPr="00773A0E" w:rsidRDefault="008A1C6B" w:rsidP="00BF4BBE">
      <w:pPr>
        <w:spacing w:before="240" w:line="360" w:lineRule="auto"/>
        <w:ind w:firstLine="284"/>
        <w:jc w:val="lowKashida"/>
        <w:rPr>
          <w:rFonts w:ascii="Times New Roman" w:hAnsi="Times New Roman" w:cs="Times New Roman"/>
          <w:sz w:val="24"/>
          <w:szCs w:val="24"/>
        </w:rPr>
      </w:pPr>
      <w:r>
        <w:rPr>
          <w:rFonts w:ascii="Times New Roman" w:hAnsi="Times New Roman" w:cs="Times New Roman"/>
          <w:sz w:val="24"/>
          <w:szCs w:val="24"/>
        </w:rPr>
        <w:t xml:space="preserve">En outre, </w:t>
      </w:r>
      <w:r w:rsidRPr="00773A0E">
        <w:rPr>
          <w:rFonts w:ascii="Times New Roman" w:hAnsi="Times New Roman" w:cs="Times New Roman"/>
          <w:sz w:val="24"/>
          <w:szCs w:val="24"/>
        </w:rPr>
        <w:t>l’Afrique du Nord possède l’une des plus anciennes et plus riches traditions associées à l’usage des plantes médicinales. Ces plantes sont importantes pour les habitants de la région, particuli</w:t>
      </w:r>
      <w:r>
        <w:rPr>
          <w:rFonts w:ascii="Times New Roman" w:hAnsi="Times New Roman" w:cs="Times New Roman"/>
          <w:sz w:val="24"/>
          <w:szCs w:val="24"/>
        </w:rPr>
        <w:t xml:space="preserve">èrement dans les zones </w:t>
      </w:r>
      <w:r w:rsidRPr="00514B79">
        <w:rPr>
          <w:rFonts w:ascii="Times New Roman" w:hAnsi="Times New Roman" w:cs="Times New Roman"/>
          <w:sz w:val="24"/>
          <w:szCs w:val="24"/>
        </w:rPr>
        <w:t>rurales (UICN, 2006).</w:t>
      </w:r>
      <w:r w:rsidRPr="00773A0E">
        <w:rPr>
          <w:rFonts w:ascii="Times New Roman" w:hAnsi="Times New Roman" w:cs="Times New Roman"/>
          <w:sz w:val="24"/>
          <w:szCs w:val="24"/>
        </w:rPr>
        <w:t xml:space="preserve"> </w:t>
      </w:r>
    </w:p>
    <w:p w:rsidR="008A1C6B" w:rsidRPr="00773A0E" w:rsidRDefault="008A1C6B" w:rsidP="00BF4BBE">
      <w:pPr>
        <w:spacing w:before="240" w:line="360" w:lineRule="auto"/>
        <w:ind w:firstLine="284"/>
        <w:jc w:val="both"/>
        <w:rPr>
          <w:rFonts w:ascii="Times New Roman" w:hAnsi="Times New Roman" w:cs="Times New Roman"/>
          <w:sz w:val="24"/>
          <w:szCs w:val="24"/>
        </w:rPr>
      </w:pPr>
      <w:r>
        <w:rPr>
          <w:rFonts w:ascii="Times New Roman" w:hAnsi="Times New Roman" w:cs="Times New Roman"/>
          <w:sz w:val="24"/>
          <w:szCs w:val="24"/>
        </w:rPr>
        <w:t>Par ailleurs et e</w:t>
      </w:r>
      <w:r w:rsidRPr="00773A0E">
        <w:rPr>
          <w:rFonts w:ascii="Times New Roman" w:hAnsi="Times New Roman" w:cs="Times New Roman"/>
          <w:sz w:val="24"/>
          <w:szCs w:val="24"/>
        </w:rPr>
        <w:t xml:space="preserve">n raison de la crise </w:t>
      </w:r>
      <w:r w:rsidRPr="00000371">
        <w:rPr>
          <w:rFonts w:ascii="Times New Roman" w:hAnsi="Times New Roman" w:cs="Times New Roman"/>
          <w:sz w:val="24"/>
          <w:szCs w:val="24"/>
        </w:rPr>
        <w:t>économique qu’a subie le Cameroun</w:t>
      </w:r>
      <w:r w:rsidRPr="00773A0E">
        <w:rPr>
          <w:rFonts w:ascii="Times New Roman" w:hAnsi="Times New Roman" w:cs="Times New Roman"/>
          <w:sz w:val="24"/>
          <w:szCs w:val="24"/>
        </w:rPr>
        <w:t xml:space="preserve"> </w:t>
      </w:r>
      <w:r>
        <w:rPr>
          <w:rFonts w:ascii="Times New Roman" w:hAnsi="Times New Roman" w:cs="Times New Roman"/>
          <w:sz w:val="24"/>
          <w:szCs w:val="24"/>
        </w:rPr>
        <w:t xml:space="preserve">vers la fin des années 80, les </w:t>
      </w:r>
      <w:r w:rsidRPr="00773A0E">
        <w:rPr>
          <w:rFonts w:ascii="Times New Roman" w:hAnsi="Times New Roman" w:cs="Times New Roman"/>
          <w:sz w:val="24"/>
          <w:szCs w:val="24"/>
        </w:rPr>
        <w:t xml:space="preserve">populations rurales de ce pays sont de plus en plus </w:t>
      </w:r>
      <w:r>
        <w:rPr>
          <w:rFonts w:ascii="Times New Roman" w:hAnsi="Times New Roman" w:cs="Times New Roman"/>
          <w:sz w:val="24"/>
          <w:szCs w:val="24"/>
        </w:rPr>
        <w:t xml:space="preserve">nombreuses à utiliser </w:t>
      </w:r>
      <w:r w:rsidRPr="00773A0E">
        <w:rPr>
          <w:rFonts w:ascii="Times New Roman" w:hAnsi="Times New Roman" w:cs="Times New Roman"/>
          <w:sz w:val="24"/>
          <w:szCs w:val="24"/>
        </w:rPr>
        <w:t>les plantes médicinales pour le traitement des maladies (BETTI, 2002).</w:t>
      </w:r>
    </w:p>
    <w:p w:rsidR="008A1C6B" w:rsidRPr="00773A0E" w:rsidRDefault="008A1C6B" w:rsidP="00BF4BBE">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Au Maroc, la production nationale est complè</w:t>
      </w:r>
      <w:r>
        <w:rPr>
          <w:rFonts w:ascii="Times New Roman" w:hAnsi="Times New Roman" w:cs="Times New Roman"/>
          <w:sz w:val="24"/>
          <w:szCs w:val="24"/>
        </w:rPr>
        <w:t>tement destinée à l’exportation. P</w:t>
      </w:r>
      <w:r w:rsidRPr="00773A0E">
        <w:rPr>
          <w:rFonts w:ascii="Times New Roman" w:hAnsi="Times New Roman" w:cs="Times New Roman"/>
          <w:sz w:val="24"/>
          <w:szCs w:val="24"/>
        </w:rPr>
        <w:t xml:space="preserve">our d’autres </w:t>
      </w:r>
      <w:r>
        <w:rPr>
          <w:rFonts w:ascii="Times New Roman" w:hAnsi="Times New Roman" w:cs="Times New Roman"/>
          <w:sz w:val="24"/>
          <w:szCs w:val="24"/>
        </w:rPr>
        <w:t xml:space="preserve">pays, </w:t>
      </w:r>
      <w:r w:rsidRPr="00773A0E">
        <w:rPr>
          <w:rFonts w:ascii="Times New Roman" w:hAnsi="Times New Roman" w:cs="Times New Roman"/>
          <w:sz w:val="24"/>
          <w:szCs w:val="24"/>
        </w:rPr>
        <w:t xml:space="preserve">comme </w:t>
      </w:r>
      <w:smartTag w:uri="urn:schemas-microsoft-com:office:smarttags" w:element="PersonName">
        <w:smartTagPr>
          <w:attr w:name="ProductID" w:val="La Chine"/>
        </w:smartTagPr>
        <w:r w:rsidRPr="00773A0E">
          <w:rPr>
            <w:rFonts w:ascii="Times New Roman" w:hAnsi="Times New Roman" w:cs="Times New Roman"/>
            <w:sz w:val="24"/>
            <w:szCs w:val="24"/>
          </w:rPr>
          <w:t xml:space="preserve">la </w:t>
        </w:r>
        <w:r>
          <w:rPr>
            <w:rFonts w:ascii="Times New Roman" w:hAnsi="Times New Roman" w:cs="Times New Roman"/>
            <w:sz w:val="24"/>
            <w:szCs w:val="24"/>
          </w:rPr>
          <w:t>C</w:t>
        </w:r>
        <w:r w:rsidRPr="00773A0E">
          <w:rPr>
            <w:rFonts w:ascii="Times New Roman" w:hAnsi="Times New Roman" w:cs="Times New Roman"/>
            <w:sz w:val="24"/>
            <w:szCs w:val="24"/>
          </w:rPr>
          <w:t>hine</w:t>
        </w:r>
      </w:smartTag>
      <w:r w:rsidRPr="00773A0E">
        <w:rPr>
          <w:rFonts w:ascii="Times New Roman" w:hAnsi="Times New Roman" w:cs="Times New Roman"/>
          <w:sz w:val="24"/>
          <w:szCs w:val="24"/>
        </w:rPr>
        <w:t>, l’</w:t>
      </w:r>
      <w:r>
        <w:rPr>
          <w:rFonts w:ascii="Times New Roman" w:hAnsi="Times New Roman" w:cs="Times New Roman"/>
          <w:sz w:val="24"/>
          <w:szCs w:val="24"/>
        </w:rPr>
        <w:t>I</w:t>
      </w:r>
      <w:r w:rsidRPr="00773A0E">
        <w:rPr>
          <w:rFonts w:ascii="Times New Roman" w:hAnsi="Times New Roman" w:cs="Times New Roman"/>
          <w:sz w:val="24"/>
          <w:szCs w:val="24"/>
        </w:rPr>
        <w:t>nde et l’Indonésie</w:t>
      </w:r>
      <w:r>
        <w:rPr>
          <w:rFonts w:ascii="Times New Roman" w:hAnsi="Times New Roman" w:cs="Times New Roman"/>
          <w:sz w:val="24"/>
          <w:szCs w:val="24"/>
        </w:rPr>
        <w:t>,</w:t>
      </w:r>
      <w:r w:rsidRPr="00773A0E">
        <w:rPr>
          <w:rFonts w:ascii="Times New Roman" w:hAnsi="Times New Roman" w:cs="Times New Roman"/>
          <w:sz w:val="24"/>
          <w:szCs w:val="24"/>
        </w:rPr>
        <w:t xml:space="preserve"> une bonne partie de la production nationale est écoulée sur le marché national (USAID, 2005). </w:t>
      </w:r>
    </w:p>
    <w:p w:rsidR="008A1C6B" w:rsidRDefault="008A1C6B" w:rsidP="00BF4BBE">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En Algérie, des projets pilotes ont rassemblé la culture des plantes médicinales, le développement rural et la participation spécifique des femmes. Quatre fermes, exploitées par des femmes, se sont </w:t>
      </w:r>
      <w:r>
        <w:rPr>
          <w:rFonts w:ascii="Times New Roman" w:hAnsi="Times New Roman" w:cs="Times New Roman"/>
          <w:sz w:val="24"/>
          <w:szCs w:val="24"/>
        </w:rPr>
        <w:t>engagées</w:t>
      </w:r>
      <w:r w:rsidRPr="00773A0E">
        <w:rPr>
          <w:rFonts w:ascii="Times New Roman" w:hAnsi="Times New Roman" w:cs="Times New Roman"/>
          <w:sz w:val="24"/>
          <w:szCs w:val="24"/>
        </w:rPr>
        <w:t xml:space="preserve"> dans la culture des plantes médicinales</w:t>
      </w:r>
      <w:r>
        <w:rPr>
          <w:rFonts w:ascii="Times New Roman" w:hAnsi="Times New Roman" w:cs="Times New Roman"/>
          <w:sz w:val="24"/>
          <w:szCs w:val="24"/>
        </w:rPr>
        <w:t>,</w:t>
      </w:r>
      <w:r w:rsidRPr="00773A0E">
        <w:rPr>
          <w:rFonts w:ascii="Times New Roman" w:hAnsi="Times New Roman" w:cs="Times New Roman"/>
          <w:sz w:val="24"/>
          <w:szCs w:val="24"/>
        </w:rPr>
        <w:t xml:space="preserve"> </w:t>
      </w:r>
      <w:r>
        <w:rPr>
          <w:rFonts w:ascii="Times New Roman" w:hAnsi="Times New Roman" w:cs="Times New Roman"/>
          <w:sz w:val="24"/>
          <w:szCs w:val="24"/>
        </w:rPr>
        <w:t xml:space="preserve">sur </w:t>
      </w:r>
      <w:r w:rsidRPr="00773A0E">
        <w:rPr>
          <w:rFonts w:ascii="Times New Roman" w:hAnsi="Times New Roman" w:cs="Times New Roman"/>
          <w:sz w:val="24"/>
          <w:szCs w:val="24"/>
        </w:rPr>
        <w:t>leur principale terre arable</w:t>
      </w:r>
      <w:r>
        <w:rPr>
          <w:rFonts w:ascii="Times New Roman" w:hAnsi="Times New Roman" w:cs="Times New Roman"/>
          <w:sz w:val="24"/>
          <w:szCs w:val="24"/>
        </w:rPr>
        <w:t>,</w:t>
      </w:r>
      <w:r w:rsidRPr="00773A0E">
        <w:rPr>
          <w:rFonts w:ascii="Times New Roman" w:hAnsi="Times New Roman" w:cs="Times New Roman"/>
          <w:sz w:val="24"/>
          <w:szCs w:val="24"/>
        </w:rPr>
        <w:t xml:space="preserve"> afin de les vendre aux herboristes locaux et, de cette façon, augmenter leurs revenus</w:t>
      </w:r>
      <w:r w:rsidRPr="00773A0E">
        <w:rPr>
          <w:rFonts w:ascii="Times New Roman" w:hAnsi="Times New Roman" w:cs="Times New Roman"/>
          <w:b/>
          <w:bCs/>
          <w:sz w:val="24"/>
          <w:szCs w:val="24"/>
        </w:rPr>
        <w:t xml:space="preserve"> </w:t>
      </w:r>
      <w:r w:rsidRPr="00773A0E">
        <w:rPr>
          <w:rFonts w:ascii="Times New Roman" w:hAnsi="Times New Roman" w:cs="Times New Roman"/>
          <w:sz w:val="24"/>
          <w:szCs w:val="24"/>
        </w:rPr>
        <w:t>(UICN, 2005)</w:t>
      </w:r>
      <w:r>
        <w:rPr>
          <w:rFonts w:ascii="Times New Roman" w:hAnsi="Times New Roman" w:cs="Times New Roman"/>
          <w:sz w:val="24"/>
          <w:szCs w:val="24"/>
        </w:rPr>
        <w:t>.</w:t>
      </w:r>
    </w:p>
    <w:p w:rsidR="008A1C6B" w:rsidRDefault="008A1C6B" w:rsidP="00BF4BBE">
      <w:pPr>
        <w:spacing w:before="240" w:line="360" w:lineRule="auto"/>
        <w:ind w:firstLine="284"/>
        <w:jc w:val="lowKashida"/>
        <w:rPr>
          <w:rFonts w:ascii="Times New Roman" w:hAnsi="Times New Roman" w:cs="Times New Roman"/>
          <w:sz w:val="24"/>
          <w:szCs w:val="24"/>
        </w:rPr>
      </w:pPr>
    </w:p>
    <w:p w:rsidR="008A1C6B" w:rsidRPr="00773A0E" w:rsidRDefault="008A1C6B" w:rsidP="00BF4BBE">
      <w:pPr>
        <w:spacing w:before="240" w:line="360" w:lineRule="auto"/>
        <w:ind w:firstLine="284"/>
        <w:jc w:val="lowKashida"/>
        <w:rPr>
          <w:rFonts w:ascii="Times New Roman" w:hAnsi="Times New Roman" w:cs="Times New Roman"/>
          <w:sz w:val="24"/>
          <w:szCs w:val="24"/>
        </w:rPr>
      </w:pPr>
    </w:p>
    <w:p w:rsidR="008A1C6B" w:rsidRPr="00BF4BBE" w:rsidRDefault="008A1C6B" w:rsidP="00BF4BBE">
      <w:pPr>
        <w:pStyle w:val="Titre2"/>
        <w:numPr>
          <w:ilvl w:val="0"/>
          <w:numId w:val="4"/>
        </w:numPr>
        <w:spacing w:before="240" w:after="240" w:line="360" w:lineRule="auto"/>
        <w:rPr>
          <w:rFonts w:ascii="Times New Roman" w:hAnsi="Times New Roman"/>
          <w:color w:val="auto"/>
          <w:sz w:val="24"/>
          <w:szCs w:val="24"/>
        </w:rPr>
      </w:pPr>
      <w:bookmarkStart w:id="84" w:name="_Toc251854985"/>
      <w:bookmarkStart w:id="85" w:name="_Toc251855395"/>
      <w:bookmarkStart w:id="86" w:name="_Toc126492562"/>
      <w:bookmarkStart w:id="87" w:name="_Toc126492977"/>
      <w:bookmarkStart w:id="88" w:name="_Toc126570477"/>
      <w:bookmarkStart w:id="89" w:name="_Toc126571785"/>
      <w:bookmarkStart w:id="90" w:name="_Toc126572566"/>
      <w:bookmarkStart w:id="91" w:name="_Toc126575200"/>
      <w:bookmarkStart w:id="92" w:name="_Toc126575877"/>
      <w:bookmarkStart w:id="93" w:name="_Toc126576752"/>
      <w:bookmarkStart w:id="94" w:name="_Toc252093961"/>
      <w:bookmarkStart w:id="95" w:name="_Toc252365357"/>
      <w:bookmarkStart w:id="96" w:name="_Toc252365616"/>
      <w:bookmarkStart w:id="97" w:name="_Toc252366161"/>
      <w:r w:rsidRPr="00C35E73">
        <w:rPr>
          <w:rFonts w:ascii="Times New Roman" w:hAnsi="Times New Roman"/>
          <w:color w:val="auto"/>
          <w:sz w:val="24"/>
          <w:szCs w:val="24"/>
        </w:rPr>
        <w:t>Intérêts industriels et parfumeries</w:t>
      </w:r>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C35E73">
        <w:rPr>
          <w:rFonts w:ascii="Times New Roman" w:hAnsi="Times New Roman"/>
          <w:color w:val="auto"/>
          <w:sz w:val="24"/>
          <w:szCs w:val="24"/>
        </w:rPr>
        <w:t xml:space="preserve">  </w:t>
      </w:r>
    </w:p>
    <w:p w:rsidR="008A1C6B" w:rsidRPr="00773A0E" w:rsidRDefault="008A1C6B" w:rsidP="00BF4BBE">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Toutes les épices et herbes aromatiques font l’objet de multiples application dans de nombreuses industries (les industries de la salaison et de la charcuterie, les industries laitières et dérivées, des potages, sauces, vinaigres, boisson alcoolisées ou non </w:t>
      </w:r>
      <w:r>
        <w:rPr>
          <w:rFonts w:ascii="Times New Roman" w:hAnsi="Times New Roman" w:cs="Times New Roman"/>
          <w:sz w:val="24"/>
          <w:szCs w:val="24"/>
        </w:rPr>
        <w:t xml:space="preserve">alcoolisées </w:t>
      </w:r>
      <w:r w:rsidRPr="00773A0E">
        <w:rPr>
          <w:rFonts w:ascii="Times New Roman" w:hAnsi="Times New Roman" w:cs="Times New Roman"/>
          <w:sz w:val="24"/>
          <w:szCs w:val="24"/>
        </w:rPr>
        <w:t>etc (RICHARD ET LOO, 1992).</w:t>
      </w:r>
      <w:r>
        <w:rPr>
          <w:rFonts w:ascii="Times New Roman" w:hAnsi="Times New Roman" w:cs="Times New Roman"/>
          <w:sz w:val="24"/>
          <w:szCs w:val="24"/>
        </w:rPr>
        <w:t xml:space="preserve"> </w:t>
      </w:r>
    </w:p>
    <w:p w:rsidR="008A1C6B" w:rsidRPr="00773A0E" w:rsidRDefault="008A1C6B" w:rsidP="00BF4BBE">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La note des épicée</w:t>
      </w:r>
      <w:r>
        <w:rPr>
          <w:rFonts w:ascii="Times New Roman" w:hAnsi="Times New Roman" w:cs="Times New Roman"/>
          <w:sz w:val="24"/>
          <w:szCs w:val="24"/>
        </w:rPr>
        <w:t>s</w:t>
      </w:r>
      <w:r w:rsidRPr="00773A0E">
        <w:rPr>
          <w:rFonts w:ascii="Times New Roman" w:hAnsi="Times New Roman" w:cs="Times New Roman"/>
          <w:sz w:val="24"/>
          <w:szCs w:val="24"/>
        </w:rPr>
        <w:t xml:space="preserve"> est une note de base en parfumerie (HARIEL, 1992</w:t>
      </w:r>
      <w:r>
        <w:rPr>
          <w:rFonts w:ascii="Times New Roman" w:hAnsi="Times New Roman" w:cs="Times New Roman"/>
          <w:sz w:val="24"/>
          <w:szCs w:val="24"/>
        </w:rPr>
        <w:t>)</w:t>
      </w:r>
      <w:r w:rsidRPr="00773A0E">
        <w:rPr>
          <w:rFonts w:ascii="Times New Roman" w:hAnsi="Times New Roman" w:cs="Times New Roman"/>
          <w:sz w:val="24"/>
          <w:szCs w:val="24"/>
        </w:rPr>
        <w:t>.</w:t>
      </w:r>
    </w:p>
    <w:p w:rsidR="008A1C6B" w:rsidRPr="00CD0473" w:rsidRDefault="008A1C6B" w:rsidP="00BF4BBE">
      <w:pPr>
        <w:pStyle w:val="Titre1"/>
        <w:numPr>
          <w:ilvl w:val="0"/>
          <w:numId w:val="3"/>
        </w:numPr>
        <w:spacing w:before="240" w:after="240" w:line="360" w:lineRule="auto"/>
        <w:rPr>
          <w:rFonts w:ascii="Times New Roman" w:hAnsi="Times New Roman"/>
          <w:color w:val="auto"/>
        </w:rPr>
      </w:pPr>
      <w:bookmarkStart w:id="98" w:name="_Toc251854986"/>
      <w:bookmarkStart w:id="99" w:name="_Toc251855396"/>
      <w:bookmarkStart w:id="100" w:name="_Toc126492563"/>
      <w:bookmarkStart w:id="101" w:name="_Toc126492978"/>
      <w:bookmarkStart w:id="102" w:name="_Toc126570478"/>
      <w:bookmarkStart w:id="103" w:name="_Toc126571786"/>
      <w:bookmarkStart w:id="104" w:name="_Toc126572567"/>
      <w:bookmarkStart w:id="105" w:name="_Toc126575201"/>
      <w:bookmarkStart w:id="106" w:name="_Toc126575878"/>
      <w:bookmarkStart w:id="107" w:name="_Toc126576753"/>
      <w:bookmarkStart w:id="108" w:name="_Toc252093962"/>
      <w:bookmarkStart w:id="109" w:name="_Toc252365358"/>
      <w:bookmarkStart w:id="110" w:name="_Toc252365617"/>
      <w:bookmarkStart w:id="111" w:name="_Toc252366162"/>
      <w:r w:rsidRPr="00CD0473">
        <w:rPr>
          <w:rFonts w:ascii="Times New Roman" w:hAnsi="Times New Roman"/>
          <w:color w:val="auto"/>
        </w:rPr>
        <w:t>Importance économique des plantes condimentaires, médicinales et aromatiques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8A1C6B" w:rsidRPr="00BF4BBE" w:rsidRDefault="008A1C6B" w:rsidP="00BF4BBE">
      <w:pPr>
        <w:pStyle w:val="Titre2"/>
        <w:numPr>
          <w:ilvl w:val="0"/>
          <w:numId w:val="5"/>
        </w:numPr>
        <w:spacing w:after="240" w:line="360" w:lineRule="auto"/>
        <w:rPr>
          <w:rFonts w:ascii="Times New Roman" w:hAnsi="Times New Roman"/>
          <w:color w:val="auto"/>
          <w:sz w:val="24"/>
          <w:szCs w:val="24"/>
        </w:rPr>
      </w:pPr>
      <w:bookmarkStart w:id="112" w:name="_Toc251854987"/>
      <w:bookmarkStart w:id="113" w:name="_Toc251855397"/>
      <w:bookmarkStart w:id="114" w:name="_Toc126492564"/>
      <w:bookmarkStart w:id="115" w:name="_Toc126492979"/>
      <w:bookmarkStart w:id="116" w:name="_Toc126570479"/>
      <w:bookmarkStart w:id="117" w:name="_Toc126571787"/>
      <w:bookmarkStart w:id="118" w:name="_Toc126572568"/>
      <w:bookmarkStart w:id="119" w:name="_Toc126575202"/>
      <w:bookmarkStart w:id="120" w:name="_Toc126575879"/>
      <w:bookmarkStart w:id="121" w:name="_Toc126576754"/>
      <w:bookmarkStart w:id="122" w:name="_Toc252093963"/>
      <w:bookmarkStart w:id="123" w:name="_Toc252365359"/>
      <w:bookmarkStart w:id="124" w:name="_Toc252365618"/>
      <w:bookmarkStart w:id="125" w:name="_Toc252366163"/>
      <w:r w:rsidRPr="001C2002">
        <w:rPr>
          <w:rFonts w:ascii="Times New Roman" w:hAnsi="Times New Roman"/>
          <w:color w:val="auto"/>
          <w:sz w:val="24"/>
          <w:szCs w:val="24"/>
        </w:rPr>
        <w:t>Dans le monde</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8A1C6B" w:rsidRPr="00CD0473" w:rsidRDefault="008A1C6B" w:rsidP="00BF4BBE">
      <w:pPr>
        <w:spacing w:line="360" w:lineRule="auto"/>
        <w:ind w:firstLine="284"/>
        <w:jc w:val="lowKashida"/>
        <w:rPr>
          <w:rFonts w:ascii="Times New Roman" w:hAnsi="Times New Roman" w:cs="Times New Roman"/>
          <w:sz w:val="24"/>
          <w:szCs w:val="24"/>
        </w:rPr>
      </w:pPr>
      <w:r w:rsidRPr="00CD0473">
        <w:rPr>
          <w:rFonts w:ascii="Times New Roman" w:hAnsi="Times New Roman" w:cs="Times New Roman"/>
          <w:sz w:val="24"/>
          <w:szCs w:val="24"/>
        </w:rPr>
        <w:t>Les principaux pays producteurs des plantes condimentaires dans le monde sont : Madagascar, Maroc, Chine, Italie, Inde, Allemagne, Indonésie, Turquie, Espagne, Egypte, Belgique, Tunisie et Bulgarie, et les principaux pays importateurs sont : États-Unis, Royaume-Uni, Allemagne, Suisse, Espagne, Belgique, Japon, Irlande et Pays-Bas (COMPLAN, 1999).</w:t>
      </w:r>
    </w:p>
    <w:p w:rsidR="008A1C6B" w:rsidRPr="00CD0473" w:rsidRDefault="008A1C6B" w:rsidP="00BF4BBE">
      <w:pPr>
        <w:spacing w:line="360" w:lineRule="auto"/>
        <w:ind w:firstLine="284"/>
        <w:jc w:val="lowKashida"/>
        <w:rPr>
          <w:rFonts w:ascii="Times New Roman" w:hAnsi="Times New Roman" w:cs="Times New Roman"/>
          <w:sz w:val="24"/>
          <w:szCs w:val="24"/>
        </w:rPr>
      </w:pPr>
      <w:smartTag w:uri="urn:schemas-microsoft-com:office:smarttags" w:element="PersonName">
        <w:smartTagPr>
          <w:attr w:name="ProductID" w:val="La Chine"/>
        </w:smartTagPr>
        <w:r w:rsidRPr="00CD0473">
          <w:rPr>
            <w:rFonts w:ascii="Times New Roman" w:hAnsi="Times New Roman" w:cs="Times New Roman"/>
            <w:sz w:val="24"/>
            <w:szCs w:val="24"/>
          </w:rPr>
          <w:t>La Chine</w:t>
        </w:r>
      </w:smartTag>
      <w:r w:rsidRPr="00CD0473">
        <w:rPr>
          <w:rFonts w:ascii="Times New Roman" w:hAnsi="Times New Roman" w:cs="Times New Roman"/>
          <w:sz w:val="24"/>
          <w:szCs w:val="24"/>
        </w:rPr>
        <w:t xml:space="preserve"> est présente en tant que producteur de plantes en l’état et d’huiles essentielles. La part de ses exportations en plantes en l’état représente 4,80 % de la valeur et 7,2 % du volume global, tandis que celle des huiles essentielles est de 7,10 % de la valeur et de 16,6 % du volume global.</w:t>
      </w:r>
    </w:p>
    <w:p w:rsidR="008A1C6B" w:rsidRPr="00CD0473" w:rsidRDefault="008A1C6B" w:rsidP="00BF4BBE">
      <w:pPr>
        <w:spacing w:line="360" w:lineRule="auto"/>
        <w:ind w:firstLine="284"/>
        <w:jc w:val="lowKashida"/>
        <w:rPr>
          <w:rFonts w:ascii="Times New Roman" w:hAnsi="Times New Roman" w:cs="Times New Roman"/>
          <w:sz w:val="24"/>
          <w:szCs w:val="24"/>
        </w:rPr>
      </w:pPr>
      <w:r w:rsidRPr="00CD0473">
        <w:rPr>
          <w:rFonts w:ascii="Times New Roman" w:hAnsi="Times New Roman" w:cs="Times New Roman"/>
          <w:sz w:val="24"/>
          <w:szCs w:val="24"/>
        </w:rPr>
        <w:t xml:space="preserve">En Europe, on estime que la superficie totale de plantes médicinales et aromatiques cultivées est de l’ordre de </w:t>
      </w:r>
      <w:smartTag w:uri="urn:schemas-microsoft-com:office:smarttags" w:element="metricconverter">
        <w:smartTagPr>
          <w:attr w:name="ProductID" w:val="70 000 ha"/>
        </w:smartTagPr>
        <w:r w:rsidRPr="00CD0473">
          <w:rPr>
            <w:rFonts w:ascii="Times New Roman" w:hAnsi="Times New Roman" w:cs="Times New Roman"/>
            <w:sz w:val="24"/>
            <w:szCs w:val="24"/>
          </w:rPr>
          <w:t>70 000 ha</w:t>
        </w:r>
      </w:smartTag>
      <w:r w:rsidRPr="00CD0473">
        <w:rPr>
          <w:rFonts w:ascii="Times New Roman" w:hAnsi="Times New Roman" w:cs="Times New Roman"/>
          <w:sz w:val="24"/>
          <w:szCs w:val="24"/>
        </w:rPr>
        <w:t xml:space="preserve">. </w:t>
      </w:r>
    </w:p>
    <w:p w:rsidR="008A1C6B" w:rsidRPr="00CD0473" w:rsidRDefault="008A1C6B" w:rsidP="00BF4BBE">
      <w:pPr>
        <w:spacing w:line="360" w:lineRule="auto"/>
        <w:ind w:firstLine="284"/>
        <w:jc w:val="lowKashida"/>
        <w:rPr>
          <w:rFonts w:ascii="Times New Roman" w:hAnsi="Times New Roman" w:cs="Times New Roman"/>
          <w:sz w:val="24"/>
          <w:szCs w:val="24"/>
        </w:rPr>
      </w:pPr>
      <w:r w:rsidRPr="00CD0473">
        <w:rPr>
          <w:rFonts w:ascii="Times New Roman" w:hAnsi="Times New Roman" w:cs="Times New Roman"/>
          <w:sz w:val="24"/>
          <w:szCs w:val="24"/>
        </w:rPr>
        <w:t>Chaque année, entre 1992 et 1996, l’Europe, dans son ensemble, a importé, en moyenne, 120 000 tonnes de matériel de plantes médicinales et aromatiques. Les importations en Europe sont originaires de plus de 120 pays ; 60% proviennent de pays hors Europe, essentiellement d’Asie et d’Afrique et 80% de ces 60% ont été absorbés, en 1996, par cinq pays européens : l’Allemagne, la France, l’Espagne, l’Italie et le Royaume-</w:t>
      </w:r>
      <w:r w:rsidR="00AF3178" w:rsidRPr="00CD0473">
        <w:rPr>
          <w:rFonts w:ascii="Times New Roman" w:hAnsi="Times New Roman" w:cs="Times New Roman"/>
          <w:sz w:val="24"/>
          <w:szCs w:val="24"/>
        </w:rPr>
        <w:t>Uni</w:t>
      </w:r>
      <w:r w:rsidR="00AF3178" w:rsidRPr="008A45A3">
        <w:rPr>
          <w:rFonts w:ascii="Times New Roman" w:hAnsi="Times New Roman" w:cs="Times New Roman"/>
          <w:sz w:val="24"/>
          <w:szCs w:val="24"/>
        </w:rPr>
        <w:t xml:space="preserve"> (</w:t>
      </w:r>
      <w:r w:rsidR="005F6833" w:rsidRPr="008A45A3">
        <w:rPr>
          <w:rFonts w:ascii="Times New Roman" w:hAnsi="Times New Roman" w:cs="Times New Roman"/>
          <w:sz w:val="24"/>
          <w:szCs w:val="24"/>
        </w:rPr>
        <w:t>TRAFFIC</w:t>
      </w:r>
      <w:r w:rsidR="005F6833">
        <w:rPr>
          <w:rFonts w:ascii="Times New Roman" w:hAnsi="Times New Roman" w:cs="Times New Roman"/>
          <w:sz w:val="24"/>
          <w:szCs w:val="24"/>
        </w:rPr>
        <w:t>,</w:t>
      </w:r>
      <w:r w:rsidR="005F6833" w:rsidRPr="00CD0473">
        <w:rPr>
          <w:rFonts w:ascii="Times New Roman" w:hAnsi="Times New Roman" w:cs="Times New Roman"/>
          <w:sz w:val="24"/>
          <w:szCs w:val="24"/>
        </w:rPr>
        <w:t xml:space="preserve"> 1998).</w:t>
      </w:r>
    </w:p>
    <w:p w:rsidR="008A1C6B" w:rsidRPr="00A456A7" w:rsidRDefault="008A1C6B" w:rsidP="008A45A3">
      <w:pPr>
        <w:spacing w:line="360" w:lineRule="auto"/>
        <w:ind w:firstLine="284"/>
        <w:jc w:val="lowKashida"/>
        <w:rPr>
          <w:rFonts w:ascii="Times New Roman" w:hAnsi="Times New Roman" w:cs="Times New Roman"/>
          <w:sz w:val="24"/>
          <w:szCs w:val="24"/>
        </w:rPr>
      </w:pPr>
      <w:r w:rsidRPr="00CD0473">
        <w:rPr>
          <w:rFonts w:ascii="Times New Roman" w:hAnsi="Times New Roman" w:cs="Times New Roman"/>
          <w:sz w:val="24"/>
          <w:szCs w:val="24"/>
        </w:rPr>
        <w:t xml:space="preserve">L’Europe, dans son ensemble, a exporté, en moyenne, 70 000 tonnes de ce matériel de plantes, chaque année, entre 1992 et 1996. Sur cette quantité, 20% seulement étaient destinés à des pays hors Europe, essentiellement l’Amérique du Nord. Cinq pays européens ont exporté 60% de ces 20% en 1996: l’Allemagne, la France, l’Espagne, l’Italie et le Royaume-Uni </w:t>
      </w:r>
      <w:r w:rsidRPr="008A45A3">
        <w:rPr>
          <w:rFonts w:ascii="Times New Roman" w:hAnsi="Times New Roman" w:cs="Times New Roman"/>
          <w:sz w:val="24"/>
          <w:szCs w:val="24"/>
        </w:rPr>
        <w:t>(</w:t>
      </w:r>
      <w:r w:rsidR="008A45A3" w:rsidRPr="008A45A3">
        <w:rPr>
          <w:rFonts w:ascii="Times New Roman" w:hAnsi="Times New Roman" w:cs="Times New Roman"/>
          <w:sz w:val="24"/>
          <w:szCs w:val="24"/>
        </w:rPr>
        <w:t>TRAFFIC</w:t>
      </w:r>
      <w:r w:rsidR="005F6833">
        <w:rPr>
          <w:rFonts w:ascii="Times New Roman" w:hAnsi="Times New Roman" w:cs="Times New Roman"/>
          <w:sz w:val="24"/>
          <w:szCs w:val="24"/>
        </w:rPr>
        <w:t>,</w:t>
      </w:r>
      <w:r w:rsidR="005F6833" w:rsidRPr="00CD0473">
        <w:rPr>
          <w:rFonts w:ascii="Times New Roman" w:hAnsi="Times New Roman" w:cs="Times New Roman"/>
          <w:sz w:val="24"/>
          <w:szCs w:val="24"/>
        </w:rPr>
        <w:t xml:space="preserve"> 1998</w:t>
      </w:r>
      <w:r w:rsidRPr="00CD0473">
        <w:rPr>
          <w:rFonts w:ascii="Times New Roman" w:hAnsi="Times New Roman" w:cs="Times New Roman"/>
          <w:sz w:val="24"/>
          <w:szCs w:val="24"/>
        </w:rPr>
        <w:t>).</w:t>
      </w:r>
    </w:p>
    <w:p w:rsidR="008A1C6B" w:rsidRPr="00773A0E" w:rsidRDefault="008A1C6B" w:rsidP="00BF4BBE">
      <w:pPr>
        <w:spacing w:line="360" w:lineRule="auto"/>
        <w:ind w:firstLine="284"/>
        <w:jc w:val="lowKashida"/>
        <w:rPr>
          <w:rFonts w:ascii="Times New Roman" w:hAnsi="Times New Roman" w:cs="Times New Roman"/>
          <w:sz w:val="24"/>
          <w:szCs w:val="24"/>
        </w:rPr>
      </w:pPr>
      <w:r w:rsidRPr="00A456A7">
        <w:rPr>
          <w:rFonts w:ascii="Times New Roman" w:hAnsi="Times New Roman" w:cs="Times New Roman"/>
          <w:sz w:val="24"/>
          <w:szCs w:val="24"/>
        </w:rPr>
        <w:t xml:space="preserve">En Tunisie, la production totale des plantes aromatiques et médicinales est estimée à environ 8 000 tonnes, 23 % d'elles sont exportés principalement vers les pays européens. Une partie la production des </w:t>
      </w:r>
      <w:r w:rsidRPr="00CD0473">
        <w:rPr>
          <w:rFonts w:ascii="Times New Roman" w:hAnsi="Times New Roman" w:cs="Times New Roman"/>
          <w:sz w:val="24"/>
          <w:szCs w:val="24"/>
        </w:rPr>
        <w:lastRenderedPageBreak/>
        <w:t>plantes aromatiques et médicinales est traitée pour la distillation d'huile essentielle (GHOUDI, 2002 ;</w:t>
      </w:r>
      <w:r w:rsidRPr="00CD0473">
        <w:rPr>
          <w:rFonts w:ascii="Batang" w:eastAsia="Batang" w:cs="Batang"/>
        </w:rPr>
        <w:t xml:space="preserve"> </w:t>
      </w:r>
      <w:r w:rsidRPr="00CD0473">
        <w:rPr>
          <w:rFonts w:ascii="Times New Roman" w:hAnsi="Times New Roman" w:cs="Times New Roman"/>
          <w:sz w:val="24"/>
          <w:szCs w:val="24"/>
        </w:rPr>
        <w:t>NEFFATI  ET OULED BELGACEM, 2006).</w:t>
      </w:r>
    </w:p>
    <w:p w:rsidR="008A1C6B" w:rsidRPr="00BF4BBE" w:rsidRDefault="008A1C6B" w:rsidP="00BF4BBE">
      <w:pPr>
        <w:pStyle w:val="Titre2"/>
        <w:numPr>
          <w:ilvl w:val="0"/>
          <w:numId w:val="5"/>
        </w:numPr>
        <w:spacing w:after="240" w:line="360" w:lineRule="auto"/>
        <w:rPr>
          <w:rFonts w:ascii="Times New Roman" w:hAnsi="Times New Roman"/>
          <w:color w:val="auto"/>
          <w:sz w:val="24"/>
          <w:szCs w:val="24"/>
        </w:rPr>
      </w:pPr>
      <w:bookmarkStart w:id="126" w:name="_Toc251854988"/>
      <w:bookmarkStart w:id="127" w:name="_Toc251855398"/>
      <w:bookmarkStart w:id="128" w:name="_Toc126492565"/>
      <w:bookmarkStart w:id="129" w:name="_Toc126492980"/>
      <w:bookmarkStart w:id="130" w:name="_Toc126570480"/>
      <w:bookmarkStart w:id="131" w:name="_Toc126571788"/>
      <w:bookmarkStart w:id="132" w:name="_Toc126572569"/>
      <w:bookmarkStart w:id="133" w:name="_Toc126575203"/>
      <w:bookmarkStart w:id="134" w:name="_Toc126575880"/>
      <w:bookmarkStart w:id="135" w:name="_Toc126576755"/>
      <w:bookmarkStart w:id="136" w:name="_Toc252093964"/>
      <w:bookmarkStart w:id="137" w:name="_Toc252365360"/>
      <w:bookmarkStart w:id="138" w:name="_Toc252365619"/>
      <w:bookmarkStart w:id="139" w:name="_Toc252366164"/>
      <w:r w:rsidRPr="00C35E73">
        <w:rPr>
          <w:rFonts w:ascii="Times New Roman" w:hAnsi="Times New Roman"/>
          <w:color w:val="auto"/>
          <w:sz w:val="24"/>
          <w:szCs w:val="24"/>
        </w:rPr>
        <w:t>En Algérie</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8A1C6B" w:rsidRPr="00773A0E" w:rsidRDefault="008A1C6B" w:rsidP="00BF4BBE">
      <w:pPr>
        <w:spacing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La production </w:t>
      </w:r>
      <w:r w:rsidRPr="00CD0473">
        <w:rPr>
          <w:rFonts w:ascii="Times New Roman" w:hAnsi="Times New Roman" w:cs="Times New Roman"/>
          <w:sz w:val="24"/>
          <w:szCs w:val="24"/>
        </w:rPr>
        <w:t>des plantes médicinales et aromatiques est</w:t>
      </w:r>
      <w:r w:rsidRPr="00773A0E">
        <w:rPr>
          <w:rFonts w:ascii="Times New Roman" w:hAnsi="Times New Roman" w:cs="Times New Roman"/>
          <w:sz w:val="24"/>
          <w:szCs w:val="24"/>
        </w:rPr>
        <w:t xml:space="preserve"> relativement faible en Algérie : l’exploitation, le conditionnement et la commercialisation de ces plantes sont jusqu’à présent exclusivement entre les mains des herboristes. La culture et la cueillette des plantes à parfum, aromatiques et médicinales constituent des activités traditionnelles</w:t>
      </w:r>
      <w:r>
        <w:rPr>
          <w:rFonts w:ascii="Times New Roman" w:hAnsi="Times New Roman" w:cs="Times New Roman"/>
          <w:sz w:val="24"/>
          <w:szCs w:val="24"/>
        </w:rPr>
        <w:t xml:space="preserve"> (SOUDANI ET TIBERMACINE, 2006 ; INRA ,1983)</w:t>
      </w:r>
      <w:r w:rsidRPr="00773A0E">
        <w:rPr>
          <w:rFonts w:ascii="Times New Roman" w:hAnsi="Times New Roman" w:cs="Times New Roman"/>
          <w:sz w:val="24"/>
          <w:szCs w:val="24"/>
        </w:rPr>
        <w:t>.</w:t>
      </w:r>
    </w:p>
    <w:p w:rsidR="008A1C6B" w:rsidRPr="00BF4BBE" w:rsidRDefault="008A1C6B" w:rsidP="00BF4BBE">
      <w:pPr>
        <w:pStyle w:val="Titre2"/>
        <w:numPr>
          <w:ilvl w:val="0"/>
          <w:numId w:val="5"/>
        </w:numPr>
        <w:spacing w:after="240" w:line="360" w:lineRule="auto"/>
        <w:rPr>
          <w:rFonts w:ascii="Times New Roman" w:hAnsi="Times New Roman"/>
          <w:color w:val="auto"/>
          <w:sz w:val="24"/>
          <w:szCs w:val="24"/>
        </w:rPr>
      </w:pPr>
      <w:bookmarkStart w:id="140" w:name="_Toc251854989"/>
      <w:bookmarkStart w:id="141" w:name="_Toc251855399"/>
      <w:bookmarkStart w:id="142" w:name="_Toc126492566"/>
      <w:bookmarkStart w:id="143" w:name="_Toc126492981"/>
      <w:bookmarkStart w:id="144" w:name="_Toc126570481"/>
      <w:bookmarkStart w:id="145" w:name="_Toc126571789"/>
      <w:bookmarkStart w:id="146" w:name="_Toc126572570"/>
      <w:bookmarkStart w:id="147" w:name="_Toc126575204"/>
      <w:bookmarkStart w:id="148" w:name="_Toc126575881"/>
      <w:bookmarkStart w:id="149" w:name="_Toc126576756"/>
      <w:bookmarkStart w:id="150" w:name="_Toc252093965"/>
      <w:bookmarkStart w:id="151" w:name="_Toc252365361"/>
      <w:bookmarkStart w:id="152" w:name="_Toc252365620"/>
      <w:bookmarkStart w:id="153" w:name="_Toc252366165"/>
      <w:r w:rsidRPr="00C35E73">
        <w:rPr>
          <w:rFonts w:ascii="Times New Roman" w:hAnsi="Times New Roman"/>
          <w:color w:val="auto"/>
          <w:sz w:val="24"/>
          <w:szCs w:val="24"/>
        </w:rPr>
        <w:t xml:space="preserve">La culture </w:t>
      </w:r>
      <w:r w:rsidRPr="00CD0473">
        <w:rPr>
          <w:rFonts w:ascii="Times New Roman" w:hAnsi="Times New Roman"/>
          <w:color w:val="auto"/>
          <w:sz w:val="24"/>
          <w:szCs w:val="24"/>
        </w:rPr>
        <w:t>des plantes condimentaires</w:t>
      </w:r>
      <w:r w:rsidRPr="00C35E73">
        <w:rPr>
          <w:rFonts w:ascii="Times New Roman" w:hAnsi="Times New Roman"/>
          <w:color w:val="auto"/>
          <w:sz w:val="24"/>
          <w:szCs w:val="24"/>
        </w:rPr>
        <w:t xml:space="preserve"> dans la wilaya de Biskra</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8A1C6B" w:rsidRDefault="008A1C6B" w:rsidP="00BF4BBE">
      <w:pPr>
        <w:spacing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La culture </w:t>
      </w:r>
      <w:r w:rsidRPr="00CD0473">
        <w:rPr>
          <w:rFonts w:ascii="Times New Roman" w:hAnsi="Times New Roman" w:cs="Times New Roman"/>
          <w:sz w:val="24"/>
          <w:szCs w:val="24"/>
        </w:rPr>
        <w:t>des plantes condimentaires, médicinales et aromatiques (</w:t>
      </w:r>
      <w:r>
        <w:rPr>
          <w:rFonts w:ascii="Times New Roman" w:hAnsi="Times New Roman" w:cs="Times New Roman"/>
          <w:sz w:val="24"/>
          <w:szCs w:val="24"/>
        </w:rPr>
        <w:t>P</w:t>
      </w:r>
      <w:r w:rsidRPr="00CD0473">
        <w:rPr>
          <w:rFonts w:ascii="Times New Roman" w:hAnsi="Times New Roman" w:cs="Times New Roman"/>
          <w:sz w:val="24"/>
          <w:szCs w:val="24"/>
        </w:rPr>
        <w:t>CMA)</w:t>
      </w:r>
      <w:r w:rsidRPr="00773A0E">
        <w:rPr>
          <w:rFonts w:ascii="Times New Roman" w:hAnsi="Times New Roman" w:cs="Times New Roman"/>
          <w:sz w:val="24"/>
          <w:szCs w:val="24"/>
        </w:rPr>
        <w:t xml:space="preserve"> au niveau des Ziban se fait </w:t>
      </w:r>
      <w:r>
        <w:rPr>
          <w:rFonts w:ascii="Times New Roman" w:hAnsi="Times New Roman" w:cs="Times New Roman"/>
          <w:sz w:val="24"/>
          <w:szCs w:val="24"/>
        </w:rPr>
        <w:t xml:space="preserve">sur </w:t>
      </w:r>
      <w:r w:rsidRPr="00773A0E">
        <w:rPr>
          <w:rFonts w:ascii="Times New Roman" w:hAnsi="Times New Roman" w:cs="Times New Roman"/>
          <w:sz w:val="24"/>
          <w:szCs w:val="24"/>
        </w:rPr>
        <w:t>des petites parcelles destinées essentiellement à l'autoconsommation chez la majorité des exploitants sauf à Z’ribet El-Oued, Sidi Khaled et Ouled Djellal. Ces cultures sont généralement pratiquées par les femmes depuis la semence jusqu’ à la récolte</w:t>
      </w:r>
      <w:r>
        <w:rPr>
          <w:rFonts w:ascii="Times New Roman" w:hAnsi="Times New Roman" w:cs="Times New Roman"/>
          <w:sz w:val="24"/>
          <w:szCs w:val="24"/>
        </w:rPr>
        <w:t>.</w:t>
      </w:r>
    </w:p>
    <w:p w:rsidR="008A1C6B" w:rsidRPr="00BF4BBE" w:rsidRDefault="008A1C6B" w:rsidP="00BF4BBE">
      <w:pPr>
        <w:pStyle w:val="Titre2"/>
        <w:numPr>
          <w:ilvl w:val="0"/>
          <w:numId w:val="6"/>
        </w:numPr>
        <w:spacing w:after="240" w:line="360" w:lineRule="auto"/>
        <w:rPr>
          <w:rFonts w:asciiTheme="minorHAnsi" w:eastAsiaTheme="minorEastAsia" w:hAnsiTheme="minorHAnsi" w:cstheme="minorBidi"/>
          <w:b w:val="0"/>
          <w:bCs w:val="0"/>
          <w:color w:val="auto"/>
          <w:sz w:val="24"/>
          <w:szCs w:val="24"/>
        </w:rPr>
      </w:pPr>
      <w:bookmarkStart w:id="154" w:name="_Toc251854990"/>
      <w:bookmarkStart w:id="155" w:name="_Toc251855400"/>
      <w:bookmarkStart w:id="156" w:name="_Toc126492567"/>
      <w:bookmarkStart w:id="157" w:name="_Toc126492982"/>
      <w:bookmarkStart w:id="158" w:name="_Toc126570482"/>
      <w:bookmarkStart w:id="159" w:name="_Toc126571790"/>
      <w:bookmarkStart w:id="160" w:name="_Toc126572571"/>
      <w:bookmarkStart w:id="161" w:name="_Toc126575205"/>
      <w:bookmarkStart w:id="162" w:name="_Toc126575882"/>
      <w:bookmarkStart w:id="163" w:name="_Toc126576757"/>
      <w:bookmarkStart w:id="164" w:name="_Toc252093966"/>
      <w:bookmarkStart w:id="165" w:name="_Toc252365362"/>
      <w:bookmarkStart w:id="166" w:name="_Toc252365621"/>
      <w:bookmarkStart w:id="167" w:name="_Toc252366166"/>
      <w:r w:rsidRPr="00511BD5">
        <w:rPr>
          <w:rFonts w:ascii="Times New Roman" w:hAnsi="Times New Roman"/>
          <w:color w:val="auto"/>
          <w:sz w:val="24"/>
          <w:szCs w:val="24"/>
        </w:rPr>
        <w:t>Répartition</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511BD5">
        <w:rPr>
          <w:rFonts w:asciiTheme="minorHAnsi" w:eastAsiaTheme="minorEastAsia" w:hAnsiTheme="minorHAnsi" w:cstheme="minorBidi"/>
          <w:b w:val="0"/>
          <w:bCs w:val="0"/>
          <w:color w:val="auto"/>
          <w:sz w:val="24"/>
          <w:szCs w:val="24"/>
        </w:rPr>
        <w:t xml:space="preserve"> </w:t>
      </w:r>
    </w:p>
    <w:p w:rsidR="008A1C6B" w:rsidRDefault="008A1C6B" w:rsidP="00BF4BBE">
      <w:pPr>
        <w:spacing w:line="360" w:lineRule="auto"/>
        <w:ind w:firstLine="284"/>
        <w:jc w:val="both"/>
        <w:rPr>
          <w:rFonts w:ascii="Times New Roman" w:hAnsi="Times New Roman" w:cs="Times New Roman"/>
          <w:sz w:val="24"/>
          <w:szCs w:val="24"/>
        </w:rPr>
      </w:pPr>
      <w:r w:rsidRPr="00CD0473">
        <w:rPr>
          <w:rFonts w:ascii="Times New Roman" w:hAnsi="Times New Roman" w:cs="Times New Roman"/>
          <w:sz w:val="24"/>
          <w:szCs w:val="24"/>
        </w:rPr>
        <w:t>La figure 01, ci-après, présente les communes de la wilaya de Biskra où sont cultivées les plantes condimentaires, médicinales et aromatiques de la wilaya de Biskra.</w:t>
      </w:r>
      <w:r w:rsidRPr="005C6957">
        <w:rPr>
          <w:rFonts w:ascii="Times New Roman" w:hAnsi="Times New Roman" w:cs="Times New Roman"/>
          <w:sz w:val="24"/>
          <w:szCs w:val="24"/>
        </w:rPr>
        <w:t xml:space="preserve"> </w:t>
      </w:r>
    </w:p>
    <w:p w:rsidR="008A1C6B" w:rsidRPr="005C6957" w:rsidRDefault="008A1C6B" w:rsidP="00BF4BBE">
      <w:pPr>
        <w:spacing w:line="360" w:lineRule="auto"/>
        <w:ind w:firstLine="284"/>
        <w:jc w:val="both"/>
        <w:rPr>
          <w:rFonts w:ascii="Times New Roman" w:hAnsi="Times New Roman" w:cs="Times New Roman"/>
          <w:sz w:val="24"/>
          <w:szCs w:val="24"/>
        </w:rPr>
      </w:pPr>
    </w:p>
    <w:p w:rsidR="00FF7626" w:rsidRDefault="008A1C6B" w:rsidP="00FF7626">
      <w:pPr>
        <w:keepNext/>
        <w:spacing w:line="360" w:lineRule="auto"/>
        <w:jc w:val="center"/>
      </w:pPr>
      <w:r w:rsidRPr="00E24B0B">
        <w:rPr>
          <w:rFonts w:asciiTheme="majorBidi" w:hAnsiTheme="majorBidi" w:cstheme="majorBidi"/>
          <w:b/>
          <w:bCs/>
          <w:noProof/>
          <w:color w:val="FF0000"/>
          <w:sz w:val="24"/>
          <w:szCs w:val="24"/>
        </w:rPr>
        <w:lastRenderedPageBreak/>
        <w:drawing>
          <wp:anchor distT="0" distB="0" distL="114300" distR="114300" simplePos="0" relativeHeight="251659264" behindDoc="0" locked="0" layoutInCell="1" allowOverlap="1">
            <wp:simplePos x="0" y="0"/>
            <wp:positionH relativeFrom="column">
              <wp:posOffset>434715</wp:posOffset>
            </wp:positionH>
            <wp:positionV relativeFrom="paragraph">
              <wp:posOffset>129583</wp:posOffset>
            </wp:positionV>
            <wp:extent cx="506967" cy="566593"/>
            <wp:effectExtent l="114300" t="76200" r="121683" b="81107"/>
            <wp:wrapNone/>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06967" cy="566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24B0B">
        <w:rPr>
          <w:rFonts w:asciiTheme="majorBidi" w:hAnsiTheme="majorBidi" w:cstheme="majorBidi"/>
          <w:b/>
          <w:bCs/>
          <w:noProof/>
          <w:color w:val="FF0000"/>
          <w:sz w:val="24"/>
          <w:szCs w:val="24"/>
        </w:rPr>
        <w:drawing>
          <wp:inline distT="0" distB="0" distL="0" distR="0">
            <wp:extent cx="5584816" cy="3794110"/>
            <wp:effectExtent l="133350" t="57150" r="111134" b="53990"/>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584816" cy="3794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D0799" w:rsidRPr="00463B12" w:rsidRDefault="00FF7626" w:rsidP="0056572B">
      <w:pPr>
        <w:pStyle w:val="Lgende"/>
        <w:spacing w:before="240" w:line="360" w:lineRule="auto"/>
        <w:jc w:val="center"/>
        <w:rPr>
          <w:rFonts w:asciiTheme="majorBidi" w:hAnsiTheme="majorBidi" w:cstheme="majorBidi"/>
          <w:color w:val="auto"/>
          <w:sz w:val="24"/>
          <w:szCs w:val="24"/>
        </w:rPr>
      </w:pPr>
      <w:bookmarkStart w:id="168" w:name="_Toc252194938"/>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1</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:Culture des plantes condimentaires, médicinales et aromatiques dans la wilaya de Biskra (DSA, 2009).</w:t>
      </w:r>
      <w:bookmarkEnd w:id="168"/>
    </w:p>
    <w:p w:rsidR="008A1C6B" w:rsidRPr="00773A0E" w:rsidRDefault="008A1C6B" w:rsidP="0056572B">
      <w:pPr>
        <w:spacing w:before="240" w:line="360" w:lineRule="auto"/>
        <w:ind w:firstLine="284"/>
        <w:jc w:val="lowKashida"/>
        <w:rPr>
          <w:rFonts w:ascii="Times New Roman" w:hAnsi="Times New Roman" w:cs="Times New Roman"/>
          <w:sz w:val="24"/>
          <w:szCs w:val="24"/>
        </w:rPr>
      </w:pPr>
      <w:r w:rsidRPr="00CD0473">
        <w:rPr>
          <w:rFonts w:ascii="Times New Roman" w:hAnsi="Times New Roman" w:cs="Times New Roman"/>
          <w:sz w:val="24"/>
          <w:szCs w:val="24"/>
        </w:rPr>
        <w:t xml:space="preserve">Les communes, </w:t>
      </w:r>
      <w:r w:rsidRPr="004D7FCF">
        <w:rPr>
          <w:rFonts w:ascii="Times New Roman" w:hAnsi="Times New Roman" w:cs="Times New Roman"/>
          <w:sz w:val="24"/>
          <w:szCs w:val="24"/>
        </w:rPr>
        <w:t>M’zérâa</w:t>
      </w:r>
      <w:r w:rsidRPr="00CD0473">
        <w:rPr>
          <w:rFonts w:ascii="Times New Roman" w:hAnsi="Times New Roman" w:cs="Times New Roman"/>
          <w:sz w:val="24"/>
          <w:szCs w:val="24"/>
        </w:rPr>
        <w:t xml:space="preserve">, Ain Naga, Z’ribet El Oued, </w:t>
      </w:r>
      <w:r>
        <w:rPr>
          <w:rFonts w:ascii="Times New Roman" w:hAnsi="Times New Roman" w:cs="Times New Roman"/>
          <w:sz w:val="24"/>
          <w:szCs w:val="24"/>
        </w:rPr>
        <w:t>El F</w:t>
      </w:r>
      <w:r w:rsidRPr="00CD0473">
        <w:rPr>
          <w:rFonts w:ascii="Times New Roman" w:hAnsi="Times New Roman" w:cs="Times New Roman"/>
          <w:sz w:val="24"/>
          <w:szCs w:val="24"/>
        </w:rPr>
        <w:t xml:space="preserve">eidh, Sidi </w:t>
      </w:r>
      <w:r>
        <w:rPr>
          <w:rFonts w:ascii="Times New Roman" w:hAnsi="Times New Roman" w:cs="Times New Roman"/>
          <w:sz w:val="24"/>
          <w:szCs w:val="24"/>
        </w:rPr>
        <w:t>O</w:t>
      </w:r>
      <w:r w:rsidRPr="00CD0473">
        <w:rPr>
          <w:rFonts w:ascii="Times New Roman" w:hAnsi="Times New Roman" w:cs="Times New Roman"/>
          <w:sz w:val="24"/>
          <w:szCs w:val="24"/>
        </w:rPr>
        <w:t>kba, Sidi Khaled, Ouled Djellal, Besbes, Rase Elmiad se distinguent du lot par une grande diversité des plantes condimentaires cultivées. Sidi Khaled est plus connue par la culture de l’Anis vert.</w:t>
      </w:r>
    </w:p>
    <w:p w:rsidR="008A1C6B" w:rsidRPr="00773A0E" w:rsidRDefault="008A1C6B" w:rsidP="0056572B">
      <w:pPr>
        <w:spacing w:before="240" w:line="360" w:lineRule="auto"/>
        <w:ind w:firstLine="284"/>
        <w:jc w:val="lowKashida"/>
        <w:rPr>
          <w:rFonts w:ascii="Times New Roman" w:hAnsi="Times New Roman" w:cs="Times New Roman"/>
          <w:sz w:val="24"/>
          <w:szCs w:val="24"/>
        </w:rPr>
      </w:pPr>
      <w:r>
        <w:rPr>
          <w:rFonts w:ascii="Times New Roman" w:hAnsi="Times New Roman" w:cs="Times New Roman"/>
          <w:sz w:val="24"/>
          <w:szCs w:val="24"/>
        </w:rPr>
        <w:t>Zribet E</w:t>
      </w:r>
      <w:r w:rsidRPr="00773A0E">
        <w:rPr>
          <w:rFonts w:ascii="Times New Roman" w:hAnsi="Times New Roman" w:cs="Times New Roman"/>
          <w:sz w:val="24"/>
          <w:szCs w:val="24"/>
        </w:rPr>
        <w:t>l Oued marque une production importante de ces plantes et elle est celle qui alimente plus le marché local.</w:t>
      </w:r>
    </w:p>
    <w:p w:rsidR="008A1C6B" w:rsidRPr="0056572B" w:rsidRDefault="008A1C6B" w:rsidP="0056572B">
      <w:pPr>
        <w:pStyle w:val="Titre2"/>
        <w:numPr>
          <w:ilvl w:val="0"/>
          <w:numId w:val="6"/>
        </w:numPr>
        <w:spacing w:before="240" w:after="240" w:line="360" w:lineRule="auto"/>
        <w:rPr>
          <w:rFonts w:ascii="Times New Roman" w:hAnsi="Times New Roman"/>
          <w:color w:val="auto"/>
          <w:sz w:val="24"/>
          <w:szCs w:val="24"/>
        </w:rPr>
      </w:pPr>
      <w:bookmarkStart w:id="169" w:name="_Toc251854991"/>
      <w:bookmarkStart w:id="170" w:name="_Toc251855401"/>
      <w:bookmarkStart w:id="171" w:name="_Toc126492568"/>
      <w:bookmarkStart w:id="172" w:name="_Toc126492983"/>
      <w:bookmarkStart w:id="173" w:name="_Toc126570483"/>
      <w:bookmarkStart w:id="174" w:name="_Toc126571791"/>
      <w:bookmarkStart w:id="175" w:name="_Toc126572572"/>
      <w:bookmarkStart w:id="176" w:name="_Toc126575206"/>
      <w:bookmarkStart w:id="177" w:name="_Toc126575883"/>
      <w:bookmarkStart w:id="178" w:name="_Toc126576758"/>
      <w:bookmarkStart w:id="179" w:name="_Toc252093967"/>
      <w:bookmarkStart w:id="180" w:name="_Toc252365363"/>
      <w:bookmarkStart w:id="181" w:name="_Toc252365622"/>
      <w:bookmarkStart w:id="182" w:name="_Toc252366167"/>
      <w:r w:rsidRPr="00511BD5">
        <w:rPr>
          <w:rFonts w:ascii="Times New Roman" w:hAnsi="Times New Roman"/>
          <w:color w:val="auto"/>
          <w:sz w:val="24"/>
          <w:szCs w:val="24"/>
        </w:rPr>
        <w:t>Evolution de la culture des plantes condimentaires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511BD5">
        <w:rPr>
          <w:rFonts w:ascii="Times New Roman" w:hAnsi="Times New Roman"/>
          <w:color w:val="auto"/>
          <w:sz w:val="24"/>
          <w:szCs w:val="24"/>
        </w:rPr>
        <w:t xml:space="preserve"> </w:t>
      </w:r>
    </w:p>
    <w:p w:rsidR="008A1C6B" w:rsidRDefault="008A1C6B" w:rsidP="0056572B">
      <w:pPr>
        <w:spacing w:before="240" w:line="360" w:lineRule="auto"/>
        <w:ind w:firstLine="284"/>
        <w:jc w:val="lowKashida"/>
        <w:rPr>
          <w:rFonts w:ascii="Times New Roman" w:hAnsi="Times New Roman" w:cs="Times New Roman"/>
          <w:bCs/>
          <w:sz w:val="24"/>
          <w:szCs w:val="24"/>
        </w:rPr>
      </w:pPr>
      <w:r w:rsidRPr="00773A0E">
        <w:rPr>
          <w:rFonts w:ascii="Times New Roman" w:hAnsi="Times New Roman" w:cs="Times New Roman"/>
          <w:bCs/>
          <w:sz w:val="24"/>
          <w:szCs w:val="24"/>
        </w:rPr>
        <w:t>La superficie connaît d</w:t>
      </w:r>
      <w:r>
        <w:rPr>
          <w:rFonts w:ascii="Times New Roman" w:hAnsi="Times New Roman" w:cs="Times New Roman"/>
          <w:bCs/>
          <w:sz w:val="24"/>
          <w:szCs w:val="24"/>
        </w:rPr>
        <w:t xml:space="preserve">es fluctuations sur les </w:t>
      </w:r>
      <w:r w:rsidRPr="00320C62">
        <w:rPr>
          <w:rFonts w:ascii="Times New Roman" w:hAnsi="Times New Roman" w:cs="Times New Roman"/>
          <w:bCs/>
          <w:sz w:val="24"/>
          <w:szCs w:val="24"/>
        </w:rPr>
        <w:t>seize campagnes considérées</w:t>
      </w:r>
      <w:r w:rsidRPr="00773A0E">
        <w:rPr>
          <w:rFonts w:ascii="Times New Roman" w:hAnsi="Times New Roman" w:cs="Times New Roman"/>
          <w:bCs/>
          <w:sz w:val="24"/>
          <w:szCs w:val="24"/>
        </w:rPr>
        <w:t>, dont l’accroissement de la superficie le plus important a été enregistré dans les six premières campagnes et d</w:t>
      </w:r>
      <w:r>
        <w:rPr>
          <w:rFonts w:ascii="Times New Roman" w:hAnsi="Times New Roman" w:cs="Times New Roman"/>
          <w:bCs/>
          <w:sz w:val="24"/>
          <w:szCs w:val="24"/>
        </w:rPr>
        <w:t xml:space="preserve">urant </w:t>
      </w:r>
      <w:r w:rsidRPr="00773A0E">
        <w:rPr>
          <w:rFonts w:ascii="Times New Roman" w:hAnsi="Times New Roman" w:cs="Times New Roman"/>
          <w:bCs/>
          <w:sz w:val="24"/>
          <w:szCs w:val="24"/>
        </w:rPr>
        <w:t>les campagnes 2001/2002, 2002/2003 et 2003/</w:t>
      </w:r>
      <w:r w:rsidRPr="00320C62">
        <w:rPr>
          <w:rFonts w:ascii="Times New Roman" w:hAnsi="Times New Roman" w:cs="Times New Roman"/>
          <w:bCs/>
          <w:sz w:val="24"/>
          <w:szCs w:val="24"/>
        </w:rPr>
        <w:t>2004 (Fig. 02).</w:t>
      </w:r>
      <w:r w:rsidRPr="00773A0E">
        <w:rPr>
          <w:rFonts w:ascii="Times New Roman" w:hAnsi="Times New Roman" w:cs="Times New Roman"/>
          <w:bCs/>
          <w:sz w:val="24"/>
          <w:szCs w:val="24"/>
        </w:rPr>
        <w:t xml:space="preserve"> Généralement la faible évolution des superficies a été enregistrée au cours des quatre dernières campagnes (</w:t>
      </w:r>
      <w:r>
        <w:rPr>
          <w:rFonts w:ascii="Times New Roman" w:hAnsi="Times New Roman" w:cs="Times New Roman"/>
          <w:bCs/>
          <w:sz w:val="24"/>
          <w:szCs w:val="24"/>
        </w:rPr>
        <w:t xml:space="preserve">de </w:t>
      </w:r>
      <w:r w:rsidRPr="00773A0E">
        <w:rPr>
          <w:rFonts w:ascii="Times New Roman" w:hAnsi="Times New Roman" w:cs="Times New Roman"/>
          <w:bCs/>
          <w:sz w:val="24"/>
          <w:szCs w:val="24"/>
        </w:rPr>
        <w:t>2005-2006</w:t>
      </w:r>
      <w:r>
        <w:rPr>
          <w:rFonts w:ascii="Times New Roman" w:hAnsi="Times New Roman" w:cs="Times New Roman"/>
          <w:bCs/>
          <w:sz w:val="24"/>
          <w:szCs w:val="24"/>
        </w:rPr>
        <w:t xml:space="preserve"> à </w:t>
      </w:r>
      <w:r w:rsidRPr="00773A0E">
        <w:rPr>
          <w:rFonts w:ascii="Times New Roman" w:hAnsi="Times New Roman" w:cs="Times New Roman"/>
          <w:bCs/>
          <w:sz w:val="24"/>
          <w:szCs w:val="24"/>
        </w:rPr>
        <w:t>2008</w:t>
      </w:r>
      <w:r>
        <w:rPr>
          <w:rFonts w:ascii="Times New Roman" w:hAnsi="Times New Roman" w:cs="Times New Roman"/>
          <w:bCs/>
          <w:sz w:val="24"/>
          <w:szCs w:val="24"/>
        </w:rPr>
        <w:t>-2009) ; cette diminution est due au</w:t>
      </w:r>
      <w:r w:rsidRPr="00773A0E">
        <w:rPr>
          <w:rFonts w:ascii="Times New Roman" w:hAnsi="Times New Roman" w:cs="Times New Roman"/>
          <w:bCs/>
          <w:sz w:val="24"/>
          <w:szCs w:val="24"/>
        </w:rPr>
        <w:t>x problèmes socio-économiques</w:t>
      </w:r>
      <w:r>
        <w:rPr>
          <w:rFonts w:ascii="Times New Roman" w:hAnsi="Times New Roman" w:cs="Times New Roman"/>
          <w:bCs/>
          <w:sz w:val="24"/>
          <w:szCs w:val="24"/>
        </w:rPr>
        <w:t>,</w:t>
      </w:r>
      <w:r w:rsidRPr="00773A0E">
        <w:rPr>
          <w:rFonts w:ascii="Times New Roman" w:hAnsi="Times New Roman" w:cs="Times New Roman"/>
          <w:bCs/>
          <w:sz w:val="24"/>
          <w:szCs w:val="24"/>
        </w:rPr>
        <w:t xml:space="preserve"> comme </w:t>
      </w:r>
      <w:r w:rsidRPr="00320C62">
        <w:rPr>
          <w:rFonts w:ascii="Times New Roman" w:hAnsi="Times New Roman" w:cs="Times New Roman"/>
          <w:bCs/>
          <w:sz w:val="24"/>
          <w:szCs w:val="24"/>
        </w:rPr>
        <w:t>le recours à l’agriculture</w:t>
      </w:r>
      <w:r w:rsidRPr="00773A0E">
        <w:rPr>
          <w:rFonts w:ascii="Times New Roman" w:hAnsi="Times New Roman" w:cs="Times New Roman"/>
          <w:bCs/>
          <w:sz w:val="24"/>
          <w:szCs w:val="24"/>
        </w:rPr>
        <w:t xml:space="preserve"> la plus rentable (plasticulture et phoeniciculture), la rareté d</w:t>
      </w:r>
      <w:r>
        <w:rPr>
          <w:rFonts w:ascii="Times New Roman" w:hAnsi="Times New Roman" w:cs="Times New Roman"/>
          <w:bCs/>
          <w:sz w:val="24"/>
          <w:szCs w:val="24"/>
        </w:rPr>
        <w:t>e l</w:t>
      </w:r>
      <w:r w:rsidRPr="00773A0E">
        <w:rPr>
          <w:rFonts w:ascii="Times New Roman" w:hAnsi="Times New Roman" w:cs="Times New Roman"/>
          <w:bCs/>
          <w:sz w:val="24"/>
          <w:szCs w:val="24"/>
        </w:rPr>
        <w:t>’e</w:t>
      </w:r>
      <w:r>
        <w:rPr>
          <w:rFonts w:ascii="Times New Roman" w:hAnsi="Times New Roman" w:cs="Times New Roman"/>
          <w:bCs/>
          <w:sz w:val="24"/>
          <w:szCs w:val="24"/>
        </w:rPr>
        <w:t>au, le manque de main-d’œuvre…</w:t>
      </w:r>
      <w:r w:rsidRPr="00773A0E">
        <w:rPr>
          <w:rFonts w:ascii="Times New Roman" w:hAnsi="Times New Roman" w:cs="Times New Roman"/>
          <w:bCs/>
          <w:sz w:val="24"/>
          <w:szCs w:val="24"/>
        </w:rPr>
        <w:t xml:space="preserve"> </w:t>
      </w:r>
    </w:p>
    <w:p w:rsidR="00C21963" w:rsidRDefault="00C21963" w:rsidP="0056572B">
      <w:pPr>
        <w:spacing w:before="240" w:line="360" w:lineRule="auto"/>
        <w:ind w:firstLine="284"/>
        <w:jc w:val="lowKashida"/>
        <w:rPr>
          <w:rFonts w:ascii="Times New Roman" w:hAnsi="Times New Roman" w:cs="Times New Roman"/>
          <w:bCs/>
          <w:sz w:val="24"/>
          <w:szCs w:val="24"/>
        </w:rPr>
      </w:pPr>
    </w:p>
    <w:p w:rsidR="00C21963" w:rsidRDefault="00C21963" w:rsidP="0056572B">
      <w:pPr>
        <w:spacing w:before="240" w:line="360" w:lineRule="auto"/>
        <w:ind w:firstLine="284"/>
        <w:jc w:val="lowKashida"/>
        <w:rPr>
          <w:rFonts w:ascii="Times New Roman" w:hAnsi="Times New Roman" w:cs="Times New Roman"/>
          <w:bCs/>
          <w:sz w:val="24"/>
          <w:szCs w:val="24"/>
        </w:rPr>
      </w:pPr>
    </w:p>
    <w:p w:rsidR="00C21963" w:rsidRPr="00773A0E" w:rsidRDefault="00C21963" w:rsidP="0056572B">
      <w:pPr>
        <w:spacing w:before="240" w:line="360" w:lineRule="auto"/>
        <w:ind w:firstLine="284"/>
        <w:jc w:val="lowKashida"/>
        <w:rPr>
          <w:rFonts w:ascii="Times New Roman" w:hAnsi="Times New Roman" w:cs="Times New Roman"/>
          <w:bCs/>
          <w:sz w:val="24"/>
          <w:szCs w:val="24"/>
        </w:rPr>
      </w:pPr>
    </w:p>
    <w:p w:rsidR="00FF7626" w:rsidRDefault="008A1C6B" w:rsidP="0056572B">
      <w:pPr>
        <w:keepNext/>
        <w:spacing w:before="240" w:after="120" w:line="360" w:lineRule="auto"/>
        <w:jc w:val="center"/>
      </w:pPr>
      <w:r>
        <w:rPr>
          <w:rFonts w:ascii="Times New Roman" w:hAnsi="Times New Roman" w:cs="Times New Roman"/>
          <w:b/>
          <w:noProof/>
          <w:color w:val="FF0000"/>
          <w:sz w:val="24"/>
          <w:szCs w:val="24"/>
        </w:rPr>
        <w:drawing>
          <wp:inline distT="0" distB="0" distL="0" distR="0">
            <wp:extent cx="5424551" cy="2207260"/>
            <wp:effectExtent l="18288" t="12192" r="11811" b="3048"/>
            <wp:docPr id="4"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130C" w:rsidRPr="00463B12" w:rsidRDefault="00FF7626" w:rsidP="0056572B">
      <w:pPr>
        <w:pStyle w:val="Lgende"/>
        <w:spacing w:before="240" w:line="360" w:lineRule="auto"/>
        <w:jc w:val="center"/>
        <w:rPr>
          <w:rFonts w:asciiTheme="majorBidi" w:hAnsiTheme="majorBidi" w:cstheme="majorBidi"/>
          <w:color w:val="auto"/>
          <w:sz w:val="24"/>
          <w:szCs w:val="24"/>
        </w:rPr>
      </w:pPr>
      <w:bookmarkStart w:id="183" w:name="_Toc252194939"/>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2</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w:t>
      </w:r>
      <w:r w:rsidR="00192810">
        <w:rPr>
          <w:rFonts w:asciiTheme="majorBidi" w:hAnsiTheme="majorBidi" w:cstheme="majorBidi"/>
          <w:color w:val="auto"/>
          <w:sz w:val="24"/>
          <w:szCs w:val="24"/>
        </w:rPr>
        <w:t xml:space="preserve"> </w:t>
      </w:r>
      <w:r w:rsidRPr="00463B12">
        <w:rPr>
          <w:rFonts w:asciiTheme="majorBidi" w:hAnsiTheme="majorBidi" w:cstheme="majorBidi"/>
          <w:color w:val="auto"/>
          <w:sz w:val="24"/>
          <w:szCs w:val="24"/>
        </w:rPr>
        <w:t>Evolution des superficies (ha) des cultures condimentaires dans la wilaya de Biskra de 1993 à 2009 (DSA, 2009).</w:t>
      </w:r>
      <w:bookmarkEnd w:id="183"/>
    </w:p>
    <w:p w:rsidR="008A1C6B" w:rsidRPr="0056572B" w:rsidRDefault="008A1C6B" w:rsidP="0056572B">
      <w:pPr>
        <w:spacing w:before="240" w:line="360" w:lineRule="auto"/>
        <w:ind w:firstLine="284"/>
        <w:jc w:val="lowKashida"/>
        <w:rPr>
          <w:rFonts w:ascii="Times New Roman" w:hAnsi="Times New Roman" w:cs="Times New Roman"/>
          <w:bCs/>
          <w:sz w:val="24"/>
          <w:szCs w:val="24"/>
        </w:rPr>
      </w:pPr>
      <w:r w:rsidRPr="00320C62">
        <w:rPr>
          <w:rFonts w:ascii="Times New Roman" w:hAnsi="Times New Roman" w:cs="Times New Roman"/>
          <w:bCs/>
          <w:sz w:val="24"/>
          <w:szCs w:val="24"/>
        </w:rPr>
        <w:t xml:space="preserve">L’évolution de la production suit celle de la superficie. La production est importante pour les trois premières campagnes (de 1993-1994 à 1995-1996), les campagnes 1997-1998 et 1998-1999 et les campagnes 2001-2002, 2002-2003 et 2003-2004 (Fig. 03). </w:t>
      </w:r>
    </w:p>
    <w:p w:rsidR="00FF7626" w:rsidRDefault="008A1C6B" w:rsidP="0056572B">
      <w:pPr>
        <w:keepNext/>
        <w:spacing w:before="240" w:after="120" w:line="360" w:lineRule="auto"/>
        <w:jc w:val="center"/>
      </w:pPr>
      <w:r>
        <w:rPr>
          <w:rFonts w:ascii="Times New Roman" w:hAnsi="Times New Roman" w:cs="Times New Roman"/>
          <w:b/>
          <w:bCs/>
          <w:noProof/>
          <w:color w:val="FF0000"/>
          <w:sz w:val="24"/>
          <w:szCs w:val="24"/>
        </w:rPr>
        <w:drawing>
          <wp:inline distT="0" distB="0" distL="0" distR="0">
            <wp:extent cx="5372354" cy="2396413"/>
            <wp:effectExtent l="18288" t="12247" r="10668" b="4975"/>
            <wp:docPr id="6"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51823" w:rsidRPr="00463B12" w:rsidRDefault="00FF7626" w:rsidP="0056572B">
      <w:pPr>
        <w:pStyle w:val="Lgende"/>
        <w:spacing w:before="240" w:line="360" w:lineRule="auto"/>
        <w:jc w:val="center"/>
        <w:rPr>
          <w:rFonts w:asciiTheme="majorBidi" w:hAnsiTheme="majorBidi" w:cstheme="majorBidi"/>
          <w:color w:val="auto"/>
          <w:sz w:val="24"/>
          <w:szCs w:val="24"/>
        </w:rPr>
      </w:pPr>
      <w:bookmarkStart w:id="184" w:name="_Toc252194940"/>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3</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w:t>
      </w:r>
      <w:r w:rsidR="00192810">
        <w:rPr>
          <w:rFonts w:asciiTheme="majorBidi" w:hAnsiTheme="majorBidi" w:cstheme="majorBidi"/>
          <w:color w:val="auto"/>
          <w:sz w:val="24"/>
          <w:szCs w:val="24"/>
        </w:rPr>
        <w:t xml:space="preserve"> </w:t>
      </w:r>
      <w:r w:rsidRPr="00463B12">
        <w:rPr>
          <w:rFonts w:asciiTheme="majorBidi" w:hAnsiTheme="majorBidi" w:cstheme="majorBidi"/>
          <w:color w:val="auto"/>
          <w:sz w:val="24"/>
          <w:szCs w:val="24"/>
        </w:rPr>
        <w:t>Evolution de la production (Qx) des cultures condimentaires dans la wilaya de Biskra de 1993 à 2009 (DSA, 2009).</w:t>
      </w:r>
      <w:bookmarkEnd w:id="184"/>
    </w:p>
    <w:p w:rsidR="008A1C6B" w:rsidRDefault="008A1C6B" w:rsidP="0056572B">
      <w:pPr>
        <w:spacing w:before="240" w:line="360" w:lineRule="auto"/>
        <w:ind w:firstLine="284"/>
        <w:jc w:val="lowKashida"/>
        <w:rPr>
          <w:rFonts w:ascii="Times New Roman" w:hAnsi="Times New Roman" w:cs="Times New Roman"/>
          <w:bCs/>
          <w:sz w:val="24"/>
          <w:szCs w:val="24"/>
        </w:rPr>
      </w:pPr>
      <w:r w:rsidRPr="00320C62">
        <w:rPr>
          <w:rFonts w:ascii="Times New Roman" w:hAnsi="Times New Roman" w:cs="Times New Roman"/>
          <w:bCs/>
          <w:sz w:val="24"/>
          <w:szCs w:val="24"/>
        </w:rPr>
        <w:t>L’histogramme suivant (Fig. 04)</w:t>
      </w:r>
      <w:r w:rsidRPr="00773A0E">
        <w:rPr>
          <w:rFonts w:ascii="Times New Roman" w:hAnsi="Times New Roman" w:cs="Times New Roman"/>
          <w:bCs/>
          <w:sz w:val="24"/>
          <w:szCs w:val="24"/>
        </w:rPr>
        <w:t xml:space="preserve"> fait apparaître la dominance de la culture de </w:t>
      </w:r>
      <w:r>
        <w:rPr>
          <w:rFonts w:ascii="Times New Roman" w:hAnsi="Times New Roman" w:cs="Times New Roman"/>
          <w:bCs/>
          <w:sz w:val="24"/>
          <w:szCs w:val="24"/>
        </w:rPr>
        <w:t>C</w:t>
      </w:r>
      <w:r w:rsidRPr="00773A0E">
        <w:rPr>
          <w:rFonts w:ascii="Times New Roman" w:hAnsi="Times New Roman" w:cs="Times New Roman"/>
          <w:bCs/>
          <w:sz w:val="24"/>
          <w:szCs w:val="24"/>
        </w:rPr>
        <w:t xml:space="preserve">oriandre, </w:t>
      </w:r>
      <w:r>
        <w:rPr>
          <w:rFonts w:ascii="Times New Roman" w:hAnsi="Times New Roman" w:cs="Times New Roman"/>
          <w:bCs/>
          <w:sz w:val="24"/>
          <w:szCs w:val="24"/>
        </w:rPr>
        <w:t xml:space="preserve">de </w:t>
      </w:r>
      <w:r w:rsidRPr="00773A0E">
        <w:rPr>
          <w:rFonts w:ascii="Times New Roman" w:hAnsi="Times New Roman" w:cs="Times New Roman"/>
          <w:bCs/>
          <w:sz w:val="24"/>
          <w:szCs w:val="24"/>
        </w:rPr>
        <w:t xml:space="preserve">l’Anis vert et </w:t>
      </w:r>
      <w:r>
        <w:rPr>
          <w:rFonts w:ascii="Times New Roman" w:hAnsi="Times New Roman" w:cs="Times New Roman"/>
          <w:bCs/>
          <w:sz w:val="24"/>
          <w:szCs w:val="24"/>
        </w:rPr>
        <w:t>du F</w:t>
      </w:r>
      <w:r w:rsidRPr="00773A0E">
        <w:rPr>
          <w:rFonts w:ascii="Times New Roman" w:hAnsi="Times New Roman" w:cs="Times New Roman"/>
          <w:bCs/>
          <w:sz w:val="24"/>
          <w:szCs w:val="24"/>
        </w:rPr>
        <w:t>enugrec</w:t>
      </w:r>
      <w:r>
        <w:rPr>
          <w:rFonts w:ascii="Times New Roman" w:hAnsi="Times New Roman" w:cs="Times New Roman"/>
          <w:bCs/>
          <w:sz w:val="24"/>
          <w:szCs w:val="24"/>
        </w:rPr>
        <w:t> ;</w:t>
      </w:r>
      <w:r w:rsidRPr="00773A0E">
        <w:rPr>
          <w:rFonts w:ascii="Times New Roman" w:hAnsi="Times New Roman" w:cs="Times New Roman"/>
          <w:bCs/>
          <w:sz w:val="24"/>
          <w:szCs w:val="24"/>
        </w:rPr>
        <w:t xml:space="preserve"> par contre</w:t>
      </w:r>
      <w:r>
        <w:rPr>
          <w:rFonts w:ascii="Times New Roman" w:hAnsi="Times New Roman" w:cs="Times New Roman"/>
          <w:bCs/>
          <w:sz w:val="24"/>
          <w:szCs w:val="24"/>
        </w:rPr>
        <w:t>,</w:t>
      </w:r>
      <w:r w:rsidRPr="00773A0E">
        <w:rPr>
          <w:rFonts w:ascii="Times New Roman" w:hAnsi="Times New Roman" w:cs="Times New Roman"/>
          <w:bCs/>
          <w:sz w:val="24"/>
          <w:szCs w:val="24"/>
        </w:rPr>
        <w:t xml:space="preserve"> le </w:t>
      </w:r>
      <w:r>
        <w:rPr>
          <w:rFonts w:ascii="Times New Roman" w:hAnsi="Times New Roman" w:cs="Times New Roman"/>
          <w:bCs/>
          <w:sz w:val="24"/>
          <w:szCs w:val="24"/>
        </w:rPr>
        <w:t>C</w:t>
      </w:r>
      <w:r w:rsidRPr="00773A0E">
        <w:rPr>
          <w:rFonts w:ascii="Times New Roman" w:hAnsi="Times New Roman" w:cs="Times New Roman"/>
          <w:bCs/>
          <w:sz w:val="24"/>
          <w:szCs w:val="24"/>
        </w:rPr>
        <w:t xml:space="preserve">arvi, le </w:t>
      </w:r>
      <w:r>
        <w:rPr>
          <w:rFonts w:ascii="Times New Roman" w:hAnsi="Times New Roman" w:cs="Times New Roman"/>
          <w:bCs/>
          <w:sz w:val="24"/>
          <w:szCs w:val="24"/>
        </w:rPr>
        <w:t>C</w:t>
      </w:r>
      <w:r w:rsidRPr="00773A0E">
        <w:rPr>
          <w:rFonts w:ascii="Times New Roman" w:hAnsi="Times New Roman" w:cs="Times New Roman"/>
          <w:bCs/>
          <w:sz w:val="24"/>
          <w:szCs w:val="24"/>
        </w:rPr>
        <w:t xml:space="preserve">umun et le </w:t>
      </w:r>
      <w:r>
        <w:rPr>
          <w:rFonts w:ascii="Times New Roman" w:hAnsi="Times New Roman" w:cs="Times New Roman"/>
          <w:bCs/>
          <w:sz w:val="24"/>
          <w:szCs w:val="24"/>
        </w:rPr>
        <w:t>C</w:t>
      </w:r>
      <w:r w:rsidRPr="00773A0E">
        <w:rPr>
          <w:rFonts w:ascii="Times New Roman" w:hAnsi="Times New Roman" w:cs="Times New Roman"/>
          <w:bCs/>
          <w:sz w:val="24"/>
          <w:szCs w:val="24"/>
        </w:rPr>
        <w:t>umun vert ont connu une faible occupation</w:t>
      </w:r>
      <w:r>
        <w:rPr>
          <w:rFonts w:ascii="Times New Roman" w:hAnsi="Times New Roman" w:cs="Times New Roman"/>
          <w:bCs/>
          <w:sz w:val="24"/>
          <w:szCs w:val="24"/>
        </w:rPr>
        <w:t xml:space="preserve"> des terres</w:t>
      </w:r>
      <w:r w:rsidRPr="00773A0E">
        <w:rPr>
          <w:rFonts w:ascii="Times New Roman" w:hAnsi="Times New Roman" w:cs="Times New Roman"/>
          <w:bCs/>
          <w:sz w:val="24"/>
          <w:szCs w:val="24"/>
        </w:rPr>
        <w:t xml:space="preserve">. </w:t>
      </w:r>
    </w:p>
    <w:p w:rsidR="00C21963" w:rsidRDefault="00C21963" w:rsidP="0056572B">
      <w:pPr>
        <w:spacing w:before="240" w:line="360" w:lineRule="auto"/>
        <w:ind w:firstLine="284"/>
        <w:jc w:val="lowKashida"/>
        <w:rPr>
          <w:rFonts w:ascii="Times New Roman" w:hAnsi="Times New Roman" w:cs="Times New Roman"/>
          <w:bCs/>
          <w:sz w:val="24"/>
          <w:szCs w:val="24"/>
        </w:rPr>
      </w:pPr>
    </w:p>
    <w:p w:rsidR="00C21963" w:rsidRPr="004747DA" w:rsidRDefault="00C21963" w:rsidP="0056572B">
      <w:pPr>
        <w:spacing w:before="240" w:line="360" w:lineRule="auto"/>
        <w:ind w:firstLine="284"/>
        <w:jc w:val="lowKashida"/>
        <w:rPr>
          <w:rFonts w:ascii="Times New Roman" w:hAnsi="Times New Roman" w:cs="Times New Roman"/>
          <w:bCs/>
          <w:sz w:val="24"/>
          <w:szCs w:val="24"/>
        </w:rPr>
      </w:pPr>
    </w:p>
    <w:p w:rsidR="00D03BFC" w:rsidRDefault="008A1C6B" w:rsidP="0056572B">
      <w:pPr>
        <w:keepNext/>
        <w:spacing w:before="240" w:line="360" w:lineRule="auto"/>
        <w:jc w:val="center"/>
      </w:pPr>
      <w:r>
        <w:rPr>
          <w:rFonts w:ascii="Times New Roman" w:hAnsi="Times New Roman" w:cs="Times New Roman"/>
          <w:b/>
          <w:noProof/>
          <w:sz w:val="24"/>
          <w:szCs w:val="24"/>
        </w:rPr>
        <w:drawing>
          <wp:inline distT="0" distB="0" distL="0" distR="0">
            <wp:extent cx="5807837" cy="2408047"/>
            <wp:effectExtent l="18288" t="12192" r="11430" b="4191"/>
            <wp:docPr id="7"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1C6B" w:rsidRPr="0056572B" w:rsidRDefault="00D03BFC" w:rsidP="0056572B">
      <w:pPr>
        <w:pStyle w:val="Lgende"/>
        <w:spacing w:before="240" w:line="360" w:lineRule="auto"/>
        <w:jc w:val="center"/>
        <w:rPr>
          <w:rFonts w:asciiTheme="majorBidi" w:hAnsiTheme="majorBidi" w:cstheme="majorBidi"/>
          <w:color w:val="auto"/>
          <w:sz w:val="24"/>
          <w:szCs w:val="24"/>
        </w:rPr>
      </w:pPr>
      <w:bookmarkStart w:id="185" w:name="_Toc252194941"/>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4</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w:t>
      </w:r>
      <w:r w:rsidR="00192810">
        <w:rPr>
          <w:rFonts w:asciiTheme="majorBidi" w:hAnsiTheme="majorBidi" w:cstheme="majorBidi"/>
          <w:color w:val="auto"/>
          <w:sz w:val="24"/>
          <w:szCs w:val="24"/>
        </w:rPr>
        <w:t xml:space="preserve"> </w:t>
      </w:r>
      <w:r w:rsidRPr="00463B12">
        <w:rPr>
          <w:rFonts w:asciiTheme="majorBidi" w:hAnsiTheme="majorBidi" w:cstheme="majorBidi"/>
          <w:color w:val="auto"/>
          <w:sz w:val="24"/>
          <w:szCs w:val="24"/>
        </w:rPr>
        <w:t>Evolution des superficies (ha) par espèce des cultures condimentaires dans la wilaya de Biskra de 1993 à 2009 (DSA, 2009).</w:t>
      </w:r>
      <w:bookmarkEnd w:id="185"/>
    </w:p>
    <w:p w:rsidR="008A1C6B" w:rsidRPr="00BD2CE3" w:rsidRDefault="008A1C6B" w:rsidP="0056572B">
      <w:pPr>
        <w:spacing w:before="240" w:line="360" w:lineRule="auto"/>
        <w:ind w:firstLine="284"/>
        <w:jc w:val="lowKashida"/>
        <w:rPr>
          <w:rFonts w:ascii="Times New Roman" w:hAnsi="Times New Roman" w:cs="Times New Roman"/>
          <w:bCs/>
          <w:sz w:val="24"/>
          <w:szCs w:val="24"/>
        </w:rPr>
      </w:pPr>
      <w:r w:rsidRPr="00773A0E">
        <w:rPr>
          <w:rFonts w:ascii="Times New Roman" w:hAnsi="Times New Roman" w:cs="Times New Roman"/>
          <w:bCs/>
          <w:sz w:val="24"/>
          <w:szCs w:val="24"/>
        </w:rPr>
        <w:t xml:space="preserve">L’évolution de la production suit celle de la superficie. Les accroissements les plus élevés sont enregistrés pour </w:t>
      </w:r>
      <w:smartTag w:uri="urn:schemas-microsoft-com:office:smarttags" w:element="PersonName">
        <w:smartTagPr>
          <w:attr w:name="ProductID" w:val="la Coriandre"/>
        </w:smartTagPr>
        <w:r w:rsidRPr="00773A0E">
          <w:rPr>
            <w:rFonts w:ascii="Times New Roman" w:hAnsi="Times New Roman" w:cs="Times New Roman"/>
            <w:bCs/>
            <w:sz w:val="24"/>
            <w:szCs w:val="24"/>
          </w:rPr>
          <w:t xml:space="preserve">la </w:t>
        </w:r>
        <w:r>
          <w:rPr>
            <w:rFonts w:ascii="Times New Roman" w:hAnsi="Times New Roman" w:cs="Times New Roman"/>
            <w:bCs/>
            <w:sz w:val="24"/>
            <w:szCs w:val="24"/>
          </w:rPr>
          <w:t>C</w:t>
        </w:r>
        <w:r w:rsidRPr="00773A0E">
          <w:rPr>
            <w:rFonts w:ascii="Times New Roman" w:hAnsi="Times New Roman" w:cs="Times New Roman"/>
            <w:bCs/>
            <w:sz w:val="24"/>
            <w:szCs w:val="24"/>
          </w:rPr>
          <w:t>oriandre</w:t>
        </w:r>
      </w:smartTag>
      <w:r w:rsidRPr="00773A0E">
        <w:rPr>
          <w:rFonts w:ascii="Times New Roman" w:hAnsi="Times New Roman" w:cs="Times New Roman"/>
          <w:bCs/>
          <w:sz w:val="24"/>
          <w:szCs w:val="24"/>
        </w:rPr>
        <w:t xml:space="preserve">, l’Anis vert et le </w:t>
      </w:r>
      <w:r w:rsidRPr="00320C62">
        <w:rPr>
          <w:rFonts w:ascii="Times New Roman" w:hAnsi="Times New Roman" w:cs="Times New Roman"/>
          <w:bCs/>
          <w:sz w:val="24"/>
          <w:szCs w:val="24"/>
        </w:rPr>
        <w:t>Fenugrec (Fig. 05).</w:t>
      </w:r>
    </w:p>
    <w:p w:rsidR="00D03BFC" w:rsidRDefault="008A1C6B" w:rsidP="0056572B">
      <w:pPr>
        <w:keepNext/>
        <w:spacing w:before="240" w:line="360" w:lineRule="auto"/>
        <w:jc w:val="center"/>
      </w:pPr>
      <w:r>
        <w:rPr>
          <w:rFonts w:ascii="Times New Roman" w:hAnsi="Times New Roman" w:cs="Times New Roman"/>
          <w:b/>
          <w:noProof/>
          <w:color w:val="FF0000"/>
          <w:sz w:val="24"/>
          <w:szCs w:val="24"/>
        </w:rPr>
        <w:drawing>
          <wp:inline distT="0" distB="0" distL="0" distR="0">
            <wp:extent cx="5807863" cy="2385750"/>
            <wp:effectExtent l="18272" t="12153" r="11420" b="4937"/>
            <wp:docPr id="8"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1C6B" w:rsidRDefault="00D03BFC" w:rsidP="0056572B">
      <w:pPr>
        <w:pStyle w:val="Lgende"/>
        <w:spacing w:before="240" w:line="360" w:lineRule="auto"/>
        <w:jc w:val="center"/>
        <w:rPr>
          <w:rFonts w:asciiTheme="majorBidi" w:hAnsiTheme="majorBidi" w:cstheme="majorBidi"/>
          <w:color w:val="auto"/>
          <w:sz w:val="24"/>
          <w:szCs w:val="24"/>
        </w:rPr>
      </w:pPr>
      <w:bookmarkStart w:id="186" w:name="_Toc252194942"/>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5</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w:t>
      </w:r>
      <w:r w:rsidR="00192810">
        <w:rPr>
          <w:rFonts w:asciiTheme="majorBidi" w:hAnsiTheme="majorBidi" w:cstheme="majorBidi"/>
          <w:color w:val="auto"/>
          <w:sz w:val="24"/>
          <w:szCs w:val="24"/>
        </w:rPr>
        <w:t xml:space="preserve"> </w:t>
      </w:r>
      <w:r w:rsidRPr="00463B12">
        <w:rPr>
          <w:rFonts w:asciiTheme="majorBidi" w:hAnsiTheme="majorBidi" w:cstheme="majorBidi"/>
          <w:color w:val="auto"/>
          <w:sz w:val="24"/>
          <w:szCs w:val="24"/>
        </w:rPr>
        <w:t>Evolution de la production (Qx) par espèce des cultures condimentaires dans la wilaya de Biskra de 1993 à 2009 (DSA, 2009).</w:t>
      </w:r>
      <w:bookmarkEnd w:id="186"/>
    </w:p>
    <w:p w:rsidR="00881E9B" w:rsidRDefault="00881E9B" w:rsidP="00881E9B"/>
    <w:p w:rsidR="00881E9B" w:rsidRPr="00881E9B" w:rsidRDefault="00881E9B" w:rsidP="00881E9B"/>
    <w:p w:rsidR="008A1C6B" w:rsidRPr="00526CFC" w:rsidRDefault="008A1C6B" w:rsidP="0056572B">
      <w:pPr>
        <w:pStyle w:val="Titre1"/>
        <w:numPr>
          <w:ilvl w:val="0"/>
          <w:numId w:val="3"/>
        </w:numPr>
        <w:spacing w:before="240" w:after="240" w:line="360" w:lineRule="auto"/>
        <w:rPr>
          <w:rFonts w:ascii="Times New Roman" w:hAnsi="Times New Roman"/>
          <w:color w:val="auto"/>
        </w:rPr>
      </w:pPr>
      <w:bookmarkStart w:id="187" w:name="_Toc251854992"/>
      <w:bookmarkStart w:id="188" w:name="_Toc251855402"/>
      <w:bookmarkStart w:id="189" w:name="_Toc126492569"/>
      <w:bookmarkStart w:id="190" w:name="_Toc126492984"/>
      <w:bookmarkStart w:id="191" w:name="_Toc126570484"/>
      <w:bookmarkStart w:id="192" w:name="_Toc126571792"/>
      <w:bookmarkStart w:id="193" w:name="_Toc126572573"/>
      <w:bookmarkStart w:id="194" w:name="_Toc126575207"/>
      <w:bookmarkStart w:id="195" w:name="_Toc126575884"/>
      <w:bookmarkStart w:id="196" w:name="_Toc126576759"/>
      <w:bookmarkStart w:id="197" w:name="_Toc252093968"/>
      <w:bookmarkStart w:id="198" w:name="_Toc252365364"/>
      <w:bookmarkStart w:id="199" w:name="_Toc252365623"/>
      <w:bookmarkStart w:id="200" w:name="_Toc252366168"/>
      <w:r w:rsidRPr="00526CFC">
        <w:rPr>
          <w:rFonts w:ascii="Times New Roman" w:hAnsi="Times New Roman"/>
          <w:color w:val="auto"/>
        </w:rPr>
        <w:lastRenderedPageBreak/>
        <w:t>Les espèces étudiées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526CFC">
        <w:rPr>
          <w:rFonts w:ascii="Times New Roman" w:hAnsi="Times New Roman"/>
          <w:color w:val="auto"/>
        </w:rPr>
        <w:t xml:space="preserve">  </w:t>
      </w:r>
    </w:p>
    <w:p w:rsidR="00511BD5" w:rsidRDefault="008A1C6B" w:rsidP="0056572B">
      <w:pPr>
        <w:pStyle w:val="Titre2"/>
        <w:numPr>
          <w:ilvl w:val="0"/>
          <w:numId w:val="7"/>
        </w:numPr>
        <w:spacing w:before="240" w:after="240" w:line="360" w:lineRule="auto"/>
        <w:rPr>
          <w:rFonts w:ascii="Times New Roman" w:hAnsi="Times New Roman"/>
          <w:color w:val="auto"/>
          <w:sz w:val="24"/>
          <w:szCs w:val="24"/>
        </w:rPr>
      </w:pPr>
      <w:bookmarkStart w:id="201" w:name="_Toc251854993"/>
      <w:bookmarkStart w:id="202" w:name="_Toc251855403"/>
      <w:bookmarkStart w:id="203" w:name="_Toc126492570"/>
      <w:bookmarkStart w:id="204" w:name="_Toc126492985"/>
      <w:bookmarkStart w:id="205" w:name="_Toc126570485"/>
      <w:bookmarkStart w:id="206" w:name="_Toc126571793"/>
      <w:bookmarkStart w:id="207" w:name="_Toc126572574"/>
      <w:bookmarkStart w:id="208" w:name="_Toc126575208"/>
      <w:bookmarkStart w:id="209" w:name="_Toc126575885"/>
      <w:bookmarkStart w:id="210" w:name="_Toc126576760"/>
      <w:bookmarkStart w:id="211" w:name="_Toc252093969"/>
      <w:bookmarkStart w:id="212" w:name="_Toc252365365"/>
      <w:bookmarkStart w:id="213" w:name="_Toc252365624"/>
      <w:bookmarkStart w:id="214" w:name="_Toc252366169"/>
      <w:r w:rsidRPr="00511BD5">
        <w:rPr>
          <w:rFonts w:ascii="Times New Roman" w:hAnsi="Times New Roman"/>
          <w:color w:val="auto"/>
          <w:sz w:val="24"/>
          <w:szCs w:val="24"/>
        </w:rPr>
        <w:t>Le Fenugrec</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511BD5">
        <w:rPr>
          <w:rFonts w:ascii="Times New Roman" w:hAnsi="Times New Roman"/>
          <w:color w:val="auto"/>
          <w:sz w:val="24"/>
          <w:szCs w:val="24"/>
        </w:rPr>
        <w:t xml:space="preserve">  </w:t>
      </w:r>
      <w:bookmarkStart w:id="215" w:name="_Toc251854994"/>
      <w:bookmarkStart w:id="216" w:name="_Toc251855404"/>
      <w:bookmarkStart w:id="217" w:name="_Toc126492571"/>
      <w:bookmarkStart w:id="218" w:name="_Toc126492986"/>
    </w:p>
    <w:p w:rsidR="008A1C6B" w:rsidRPr="00881E9B" w:rsidRDefault="008A1C6B" w:rsidP="00881E9B">
      <w:pPr>
        <w:pStyle w:val="Titre2"/>
        <w:numPr>
          <w:ilvl w:val="1"/>
          <w:numId w:val="7"/>
        </w:numPr>
        <w:spacing w:before="240" w:after="240" w:line="360" w:lineRule="auto"/>
        <w:rPr>
          <w:rFonts w:ascii="Times New Roman" w:hAnsi="Times New Roman"/>
          <w:color w:val="auto"/>
          <w:sz w:val="24"/>
          <w:szCs w:val="24"/>
        </w:rPr>
      </w:pPr>
      <w:bookmarkStart w:id="219" w:name="_Toc126570486"/>
      <w:bookmarkStart w:id="220" w:name="_Toc126571794"/>
      <w:bookmarkStart w:id="221" w:name="_Toc126572575"/>
      <w:bookmarkStart w:id="222" w:name="_Toc126575209"/>
      <w:bookmarkStart w:id="223" w:name="_Toc126575886"/>
      <w:bookmarkStart w:id="224" w:name="_Toc126576761"/>
      <w:bookmarkStart w:id="225" w:name="_Toc252093970"/>
      <w:bookmarkStart w:id="226" w:name="_Toc252365366"/>
      <w:bookmarkStart w:id="227" w:name="_Toc252365625"/>
      <w:bookmarkStart w:id="228" w:name="_Toc252366170"/>
      <w:r w:rsidRPr="00511BD5">
        <w:rPr>
          <w:rFonts w:ascii="Times New Roman" w:hAnsi="Times New Roman"/>
          <w:color w:val="auto"/>
          <w:sz w:val="24"/>
          <w:szCs w:val="24"/>
        </w:rPr>
        <w:t>Classification</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8A1C6B" w:rsidRPr="00773A0E" w:rsidRDefault="008A1C6B" w:rsidP="0056572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Classe : </w:t>
      </w:r>
      <w:r w:rsidRPr="00773A0E">
        <w:rPr>
          <w:rFonts w:ascii="Times New Roman" w:hAnsi="Times New Roman" w:cs="Times New Roman"/>
          <w:sz w:val="24"/>
          <w:szCs w:val="24"/>
        </w:rPr>
        <w:t>Dicotylédones</w:t>
      </w:r>
    </w:p>
    <w:p w:rsidR="008A1C6B" w:rsidRPr="00773A0E" w:rsidRDefault="008A1C6B" w:rsidP="0056572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Sous classe : </w:t>
      </w:r>
      <w:r w:rsidRPr="00773A0E">
        <w:rPr>
          <w:rFonts w:ascii="Times New Roman" w:hAnsi="Times New Roman" w:cs="Times New Roman"/>
          <w:sz w:val="24"/>
          <w:szCs w:val="24"/>
        </w:rPr>
        <w:t>Dialypétales</w:t>
      </w:r>
    </w:p>
    <w:p w:rsidR="008A1C6B" w:rsidRPr="00773A0E" w:rsidRDefault="008A1C6B" w:rsidP="0056572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Ordre : </w:t>
      </w:r>
      <w:r w:rsidRPr="00773A0E">
        <w:rPr>
          <w:rFonts w:ascii="Times New Roman" w:hAnsi="Times New Roman" w:cs="Times New Roman"/>
          <w:sz w:val="24"/>
          <w:szCs w:val="24"/>
        </w:rPr>
        <w:t>Rosales</w:t>
      </w:r>
    </w:p>
    <w:p w:rsidR="008A1C6B" w:rsidRPr="00773A0E" w:rsidRDefault="008A1C6B" w:rsidP="0056572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Famille : </w:t>
      </w:r>
      <w:r w:rsidRPr="00773A0E">
        <w:rPr>
          <w:rFonts w:ascii="Times New Roman" w:hAnsi="Times New Roman" w:cs="Times New Roman"/>
          <w:sz w:val="24"/>
          <w:szCs w:val="24"/>
        </w:rPr>
        <w:t xml:space="preserve">Légumineuses  </w:t>
      </w:r>
    </w:p>
    <w:p w:rsidR="008A1C6B" w:rsidRPr="00773A0E" w:rsidRDefault="008A1C6B" w:rsidP="0056572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Sous famille : </w:t>
      </w:r>
      <w:r w:rsidR="00233CAD" w:rsidRPr="00773A0E">
        <w:rPr>
          <w:rFonts w:ascii="Times New Roman" w:hAnsi="Times New Roman" w:cs="Times New Roman"/>
          <w:sz w:val="24"/>
          <w:szCs w:val="24"/>
        </w:rPr>
        <w:t>Papilionacées</w:t>
      </w:r>
      <w:r w:rsidRPr="00773A0E">
        <w:rPr>
          <w:rFonts w:ascii="Times New Roman" w:hAnsi="Times New Roman" w:cs="Times New Roman"/>
          <w:sz w:val="24"/>
          <w:szCs w:val="24"/>
        </w:rPr>
        <w:t xml:space="preserve"> </w:t>
      </w:r>
    </w:p>
    <w:p w:rsidR="008A1C6B" w:rsidRPr="00CD0473" w:rsidRDefault="008A1C6B" w:rsidP="0056572B">
      <w:pPr>
        <w:spacing w:before="240" w:line="360" w:lineRule="auto"/>
        <w:jc w:val="lowKashida"/>
        <w:rPr>
          <w:rFonts w:ascii="Times New Roman" w:hAnsi="Times New Roman" w:cs="Times New Roman"/>
          <w:b/>
          <w:bCs/>
          <w:sz w:val="24"/>
          <w:szCs w:val="24"/>
        </w:rPr>
      </w:pPr>
      <w:r w:rsidRPr="00CD0473">
        <w:rPr>
          <w:rFonts w:ascii="Times New Roman" w:hAnsi="Times New Roman" w:cs="Times New Roman"/>
          <w:b/>
          <w:bCs/>
          <w:sz w:val="24"/>
          <w:szCs w:val="24"/>
        </w:rPr>
        <w:t>Genre :</w:t>
      </w:r>
      <w:r w:rsidRPr="00CD0473">
        <w:rPr>
          <w:rFonts w:ascii="Times New Roman" w:hAnsi="Times New Roman" w:cs="Times New Roman"/>
          <w:i/>
          <w:iCs/>
          <w:sz w:val="24"/>
          <w:szCs w:val="24"/>
        </w:rPr>
        <w:t xml:space="preserve"> Trigonella</w:t>
      </w:r>
    </w:p>
    <w:p w:rsidR="008A1C6B" w:rsidRPr="00CD0473" w:rsidRDefault="008A1C6B" w:rsidP="0056572B">
      <w:pPr>
        <w:spacing w:before="240" w:line="360" w:lineRule="auto"/>
        <w:jc w:val="lowKashida"/>
        <w:rPr>
          <w:rFonts w:ascii="Times New Roman" w:hAnsi="Times New Roman" w:cs="Times New Roman"/>
          <w:b/>
          <w:bCs/>
          <w:sz w:val="24"/>
          <w:szCs w:val="24"/>
        </w:rPr>
      </w:pPr>
      <w:r w:rsidRPr="00CD0473">
        <w:rPr>
          <w:rFonts w:ascii="Times New Roman" w:hAnsi="Times New Roman" w:cs="Times New Roman"/>
          <w:b/>
          <w:bCs/>
          <w:sz w:val="24"/>
          <w:szCs w:val="24"/>
        </w:rPr>
        <w:t xml:space="preserve">Espèce : </w:t>
      </w:r>
      <w:r w:rsidRPr="00CD0473">
        <w:rPr>
          <w:rFonts w:ascii="Times New Roman" w:hAnsi="Times New Roman" w:cs="Times New Roman"/>
          <w:i/>
          <w:iCs/>
          <w:sz w:val="24"/>
          <w:szCs w:val="24"/>
        </w:rPr>
        <w:t>Trigonella foenum graecum</w:t>
      </w:r>
      <w:r w:rsidRPr="00CD0473">
        <w:rPr>
          <w:rFonts w:ascii="Times New Roman" w:hAnsi="Times New Roman" w:cs="Times New Roman"/>
          <w:sz w:val="24"/>
          <w:szCs w:val="24"/>
        </w:rPr>
        <w:t xml:space="preserve"> L</w:t>
      </w:r>
      <w:r w:rsidRPr="00CD0473">
        <w:rPr>
          <w:rFonts w:ascii="Times New Roman" w:hAnsi="Times New Roman" w:cs="Times New Roman"/>
          <w:b/>
          <w:bCs/>
          <w:sz w:val="24"/>
          <w:szCs w:val="24"/>
        </w:rPr>
        <w:t>.</w:t>
      </w:r>
    </w:p>
    <w:p w:rsidR="008A1C6B" w:rsidRPr="00CD0473" w:rsidRDefault="008A1C6B" w:rsidP="0056572B">
      <w:pPr>
        <w:spacing w:before="240" w:line="360" w:lineRule="auto"/>
        <w:jc w:val="lowKashida"/>
        <w:rPr>
          <w:rFonts w:ascii="Times New Roman" w:hAnsi="Times New Roman" w:cs="Times New Roman"/>
          <w:sz w:val="24"/>
          <w:szCs w:val="24"/>
        </w:rPr>
      </w:pPr>
      <w:r w:rsidRPr="00CD0473">
        <w:rPr>
          <w:rFonts w:ascii="Times New Roman" w:hAnsi="Times New Roman" w:cs="Times New Roman"/>
          <w:b/>
          <w:bCs/>
          <w:sz w:val="24"/>
          <w:szCs w:val="24"/>
        </w:rPr>
        <w:t>Nom latin</w:t>
      </w:r>
      <w:r w:rsidRPr="00CD0473">
        <w:rPr>
          <w:rFonts w:ascii="Times New Roman" w:hAnsi="Times New Roman" w:cs="Times New Roman"/>
          <w:sz w:val="24"/>
          <w:szCs w:val="24"/>
        </w:rPr>
        <w:t> : Trigonelle, Sénégrain, Foin grec</w:t>
      </w:r>
    </w:p>
    <w:p w:rsidR="008A1C6B" w:rsidRPr="00CD0473" w:rsidRDefault="008A1C6B" w:rsidP="0056572B">
      <w:pPr>
        <w:spacing w:before="240" w:line="360" w:lineRule="auto"/>
        <w:jc w:val="lowKashida"/>
        <w:rPr>
          <w:rFonts w:ascii="Times New Roman" w:hAnsi="Times New Roman" w:cs="Times New Roman"/>
          <w:sz w:val="24"/>
          <w:szCs w:val="24"/>
        </w:rPr>
      </w:pPr>
      <w:r w:rsidRPr="00CD0473">
        <w:rPr>
          <w:rFonts w:ascii="Times New Roman" w:hAnsi="Times New Roman" w:cs="Times New Roman"/>
          <w:b/>
          <w:bCs/>
          <w:sz w:val="24"/>
          <w:szCs w:val="24"/>
        </w:rPr>
        <w:t>Nom vernaculaire arabe</w:t>
      </w:r>
      <w:r w:rsidRPr="00CD0473">
        <w:rPr>
          <w:rFonts w:ascii="Times New Roman" w:hAnsi="Times New Roman" w:cs="Times New Roman"/>
          <w:sz w:val="24"/>
          <w:szCs w:val="24"/>
        </w:rPr>
        <w:t> : halba</w:t>
      </w:r>
    </w:p>
    <w:p w:rsidR="008A1C6B" w:rsidRPr="0056572B" w:rsidRDefault="008A1C6B" w:rsidP="0056572B">
      <w:pPr>
        <w:pStyle w:val="Titre2"/>
        <w:numPr>
          <w:ilvl w:val="1"/>
          <w:numId w:val="7"/>
        </w:numPr>
        <w:spacing w:before="240" w:after="240" w:line="360" w:lineRule="auto"/>
        <w:rPr>
          <w:rFonts w:ascii="Times New Roman" w:hAnsi="Times New Roman"/>
          <w:color w:val="auto"/>
          <w:sz w:val="24"/>
          <w:szCs w:val="24"/>
        </w:rPr>
      </w:pPr>
      <w:bookmarkStart w:id="229" w:name="_Toc251854995"/>
      <w:bookmarkStart w:id="230" w:name="_Toc251855405"/>
      <w:bookmarkStart w:id="231" w:name="_Toc126492572"/>
      <w:bookmarkStart w:id="232" w:name="_Toc126492987"/>
      <w:bookmarkStart w:id="233" w:name="_Toc126570487"/>
      <w:bookmarkStart w:id="234" w:name="_Toc126571795"/>
      <w:bookmarkStart w:id="235" w:name="_Toc126572576"/>
      <w:bookmarkStart w:id="236" w:name="_Toc126575210"/>
      <w:bookmarkStart w:id="237" w:name="_Toc126575887"/>
      <w:bookmarkStart w:id="238" w:name="_Toc126576762"/>
      <w:bookmarkStart w:id="239" w:name="_Toc252093971"/>
      <w:bookmarkStart w:id="240" w:name="_Toc252365367"/>
      <w:bookmarkStart w:id="241" w:name="_Toc252365626"/>
      <w:bookmarkStart w:id="242" w:name="_Toc252366171"/>
      <w:r w:rsidRPr="00511BD5">
        <w:rPr>
          <w:rFonts w:ascii="Times New Roman" w:hAnsi="Times New Roman"/>
          <w:color w:val="auto"/>
          <w:sz w:val="24"/>
          <w:szCs w:val="24"/>
        </w:rPr>
        <w:t>Origine et aire de répartition</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511BD5">
        <w:rPr>
          <w:rFonts w:ascii="Times New Roman" w:hAnsi="Times New Roman"/>
          <w:color w:val="auto"/>
          <w:sz w:val="24"/>
          <w:szCs w:val="24"/>
        </w:rPr>
        <w:t xml:space="preserve"> </w:t>
      </w:r>
    </w:p>
    <w:p w:rsidR="008A1C6B" w:rsidRPr="00320C62" w:rsidRDefault="008A1C6B" w:rsidP="0056572B">
      <w:pPr>
        <w:spacing w:before="240" w:line="360" w:lineRule="auto"/>
        <w:ind w:firstLine="284"/>
        <w:jc w:val="lowKashida"/>
        <w:rPr>
          <w:rFonts w:ascii="Times New Roman" w:hAnsi="Times New Roman" w:cs="Times New Roman"/>
          <w:sz w:val="24"/>
          <w:szCs w:val="24"/>
        </w:rPr>
      </w:pPr>
      <w:r w:rsidRPr="00CD0473">
        <w:rPr>
          <w:rFonts w:ascii="Times New Roman" w:hAnsi="Times New Roman" w:cs="Times New Roman"/>
          <w:sz w:val="24"/>
          <w:szCs w:val="24"/>
        </w:rPr>
        <w:t xml:space="preserve">Le Fenugrec est originaire du </w:t>
      </w:r>
      <w:hyperlink r:id="rId20" w:tooltip="Moyen-Orient" w:history="1">
        <w:r w:rsidRPr="00CD0473">
          <w:rPr>
            <w:rFonts w:ascii="Times New Roman" w:hAnsi="Times New Roman" w:cs="Times New Roman"/>
            <w:sz w:val="24"/>
            <w:szCs w:val="24"/>
          </w:rPr>
          <w:t>Moyen-Orient</w:t>
        </w:r>
      </w:hyperlink>
      <w:r w:rsidRPr="00CD0473">
        <w:rPr>
          <w:rFonts w:ascii="Times New Roman" w:hAnsi="Times New Roman" w:cs="Times New Roman"/>
          <w:sz w:val="24"/>
          <w:szCs w:val="24"/>
        </w:rPr>
        <w:t xml:space="preserve"> et d'</w:t>
      </w:r>
      <w:hyperlink r:id="rId21" w:tooltip="Inde" w:history="1">
        <w:r w:rsidRPr="00CD0473">
          <w:rPr>
            <w:rFonts w:ascii="Times New Roman" w:hAnsi="Times New Roman" w:cs="Times New Roman"/>
            <w:sz w:val="24"/>
            <w:szCs w:val="24"/>
          </w:rPr>
          <w:t>Inde</w:t>
        </w:r>
      </w:hyperlink>
      <w:r w:rsidRPr="00CD0473">
        <w:rPr>
          <w:rFonts w:ascii="Times New Roman" w:hAnsi="Times New Roman" w:cs="Times New Roman"/>
          <w:sz w:val="24"/>
          <w:szCs w:val="24"/>
        </w:rPr>
        <w:t xml:space="preserve">. Il pousse en région méditerranéenne (VIAL, 1998), en Inde et en </w:t>
      </w:r>
      <w:hyperlink r:id="rId22" w:tooltip="République populaire de Chine" w:history="1">
        <w:r w:rsidRPr="00CD0473">
          <w:rPr>
            <w:rFonts w:ascii="Times New Roman" w:hAnsi="Times New Roman" w:cs="Times New Roman"/>
            <w:sz w:val="24"/>
            <w:szCs w:val="24"/>
          </w:rPr>
          <w:t>Chine</w:t>
        </w:r>
      </w:hyperlink>
      <w:r w:rsidRPr="00CD0473">
        <w:rPr>
          <w:rFonts w:ascii="Times New Roman" w:hAnsi="Times New Roman" w:cs="Times New Roman"/>
          <w:sz w:val="24"/>
          <w:szCs w:val="24"/>
        </w:rPr>
        <w:t>.</w:t>
      </w:r>
      <w:r w:rsidRPr="00320C62">
        <w:rPr>
          <w:rFonts w:ascii="Times New Roman" w:hAnsi="Times New Roman" w:cs="Times New Roman"/>
          <w:sz w:val="24"/>
          <w:szCs w:val="24"/>
        </w:rPr>
        <w:t xml:space="preserve"> </w:t>
      </w:r>
    </w:p>
    <w:p w:rsidR="008A1C6B" w:rsidRPr="0056572B" w:rsidRDefault="008A1C6B" w:rsidP="0056572B">
      <w:pPr>
        <w:pStyle w:val="Titre2"/>
        <w:numPr>
          <w:ilvl w:val="1"/>
          <w:numId w:val="7"/>
        </w:numPr>
        <w:spacing w:before="240" w:after="240" w:line="360" w:lineRule="auto"/>
        <w:rPr>
          <w:rFonts w:ascii="Times New Roman" w:hAnsi="Times New Roman"/>
          <w:color w:val="auto"/>
          <w:sz w:val="24"/>
          <w:szCs w:val="24"/>
        </w:rPr>
      </w:pPr>
      <w:bookmarkStart w:id="243" w:name="_Toc251854996"/>
      <w:bookmarkStart w:id="244" w:name="_Toc251855406"/>
      <w:bookmarkStart w:id="245" w:name="_Toc126492573"/>
      <w:bookmarkStart w:id="246" w:name="_Toc126492988"/>
      <w:bookmarkStart w:id="247" w:name="_Toc126570488"/>
      <w:bookmarkStart w:id="248" w:name="_Toc126571796"/>
      <w:bookmarkStart w:id="249" w:name="_Toc126572577"/>
      <w:bookmarkStart w:id="250" w:name="_Toc126575211"/>
      <w:bookmarkStart w:id="251" w:name="_Toc126575888"/>
      <w:bookmarkStart w:id="252" w:name="_Toc126576763"/>
      <w:bookmarkStart w:id="253" w:name="_Toc252093972"/>
      <w:bookmarkStart w:id="254" w:name="_Toc252365368"/>
      <w:bookmarkStart w:id="255" w:name="_Toc252365627"/>
      <w:bookmarkStart w:id="256" w:name="_Toc252366172"/>
      <w:r w:rsidRPr="00320C62">
        <w:rPr>
          <w:rFonts w:ascii="Times New Roman" w:hAnsi="Times New Roman"/>
          <w:color w:val="auto"/>
          <w:sz w:val="24"/>
          <w:szCs w:val="24"/>
        </w:rPr>
        <w:t>Description</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320C62">
        <w:rPr>
          <w:rFonts w:ascii="Times New Roman" w:hAnsi="Times New Roman"/>
          <w:color w:val="auto"/>
          <w:sz w:val="24"/>
          <w:szCs w:val="24"/>
        </w:rPr>
        <w:t> </w:t>
      </w:r>
    </w:p>
    <w:p w:rsidR="008A1C6B" w:rsidRPr="00320C62" w:rsidRDefault="008A1C6B" w:rsidP="0056572B">
      <w:pPr>
        <w:spacing w:before="240" w:line="360" w:lineRule="auto"/>
        <w:ind w:firstLine="284"/>
        <w:jc w:val="lowKashida"/>
        <w:rPr>
          <w:rFonts w:ascii="Times New Roman" w:hAnsi="Times New Roman" w:cs="Times New Roman"/>
          <w:sz w:val="24"/>
          <w:szCs w:val="24"/>
        </w:rPr>
      </w:pPr>
      <w:r w:rsidRPr="00320C62">
        <w:rPr>
          <w:rFonts w:ascii="Times New Roman" w:hAnsi="Times New Roman" w:cs="Times New Roman"/>
          <w:sz w:val="24"/>
          <w:szCs w:val="24"/>
        </w:rPr>
        <w:t xml:space="preserve">C'est une </w:t>
      </w:r>
      <w:hyperlink r:id="rId23" w:tooltip="Plante annuelle" w:history="1">
        <w:r w:rsidRPr="00320C62">
          <w:rPr>
            <w:rFonts w:ascii="Times New Roman" w:hAnsi="Times New Roman" w:cs="Times New Roman"/>
            <w:sz w:val="24"/>
            <w:szCs w:val="24"/>
          </w:rPr>
          <w:t>plante annuelle</w:t>
        </w:r>
      </w:hyperlink>
      <w:r w:rsidRPr="00320C62">
        <w:rPr>
          <w:rFonts w:ascii="Times New Roman" w:hAnsi="Times New Roman" w:cs="Times New Roman"/>
          <w:sz w:val="24"/>
          <w:szCs w:val="24"/>
        </w:rPr>
        <w:t xml:space="preserve"> aux </w:t>
      </w:r>
      <w:hyperlink r:id="rId24" w:tooltip="Feuille" w:history="1">
        <w:r w:rsidRPr="00320C62">
          <w:rPr>
            <w:rFonts w:ascii="Times New Roman" w:hAnsi="Times New Roman" w:cs="Times New Roman"/>
            <w:sz w:val="24"/>
            <w:szCs w:val="24"/>
          </w:rPr>
          <w:t>feuilles</w:t>
        </w:r>
      </w:hyperlink>
      <w:r w:rsidRPr="00320C62">
        <w:rPr>
          <w:rFonts w:ascii="Times New Roman" w:hAnsi="Times New Roman" w:cs="Times New Roman"/>
          <w:sz w:val="24"/>
          <w:szCs w:val="24"/>
        </w:rPr>
        <w:t xml:space="preserve"> composées de trois </w:t>
      </w:r>
      <w:hyperlink r:id="rId25" w:tooltip="Foliole" w:history="1">
        <w:r w:rsidRPr="00320C62">
          <w:rPr>
            <w:rFonts w:ascii="Times New Roman" w:hAnsi="Times New Roman" w:cs="Times New Roman"/>
            <w:sz w:val="24"/>
            <w:szCs w:val="24"/>
          </w:rPr>
          <w:t>folioles</w:t>
        </w:r>
      </w:hyperlink>
      <w:r w:rsidRPr="00320C62">
        <w:rPr>
          <w:rFonts w:ascii="Times New Roman" w:hAnsi="Times New Roman" w:cs="Times New Roman"/>
          <w:sz w:val="24"/>
          <w:szCs w:val="24"/>
        </w:rPr>
        <w:t xml:space="preserve"> ovales, proches de celles du </w:t>
      </w:r>
      <w:hyperlink r:id="rId26" w:tooltip="Trèfle" w:history="1">
        <w:r w:rsidRPr="00320C62">
          <w:rPr>
            <w:rFonts w:ascii="Times New Roman" w:hAnsi="Times New Roman" w:cs="Times New Roman"/>
            <w:sz w:val="24"/>
            <w:szCs w:val="24"/>
          </w:rPr>
          <w:t>trèfle</w:t>
        </w:r>
      </w:hyperlink>
      <w:r>
        <w:rPr>
          <w:rFonts w:ascii="Times New Roman" w:hAnsi="Times New Roman" w:cs="Times New Roman"/>
          <w:sz w:val="24"/>
          <w:szCs w:val="24"/>
        </w:rPr>
        <w:t xml:space="preserve"> qui peut atteindre 5</w:t>
      </w:r>
      <w:r w:rsidRPr="00320C62">
        <w:rPr>
          <w:rFonts w:ascii="Times New Roman" w:hAnsi="Times New Roman" w:cs="Times New Roman"/>
          <w:sz w:val="24"/>
          <w:szCs w:val="24"/>
        </w:rPr>
        <w:t xml:space="preserve">0 cm de </w:t>
      </w:r>
      <w:r w:rsidRPr="00CD0473">
        <w:rPr>
          <w:rFonts w:ascii="Times New Roman" w:hAnsi="Times New Roman" w:cs="Times New Roman"/>
          <w:sz w:val="24"/>
          <w:szCs w:val="24"/>
        </w:rPr>
        <w:t>hauteur (WICHTL ET ANTON ,2003)</w:t>
      </w:r>
      <w:r>
        <w:rPr>
          <w:rFonts w:ascii="Times New Roman" w:hAnsi="Times New Roman" w:cs="Times New Roman"/>
          <w:sz w:val="24"/>
          <w:szCs w:val="24"/>
        </w:rPr>
        <w:t xml:space="preserve"> </w:t>
      </w:r>
      <w:r w:rsidRPr="00320C62">
        <w:rPr>
          <w:rFonts w:ascii="Times New Roman" w:hAnsi="Times New Roman" w:cs="Times New Roman"/>
          <w:sz w:val="24"/>
          <w:szCs w:val="24"/>
        </w:rPr>
        <w:t xml:space="preserve">(Fig. 06). </w:t>
      </w:r>
    </w:p>
    <w:p w:rsidR="008A1C6B" w:rsidRPr="00320C62" w:rsidRDefault="008A1C6B" w:rsidP="0056572B">
      <w:pPr>
        <w:spacing w:before="240" w:line="360" w:lineRule="auto"/>
        <w:ind w:firstLine="284"/>
        <w:jc w:val="lowKashida"/>
        <w:rPr>
          <w:rFonts w:ascii="Times New Roman" w:hAnsi="Times New Roman" w:cs="Times New Roman"/>
          <w:sz w:val="24"/>
          <w:szCs w:val="24"/>
        </w:rPr>
      </w:pPr>
      <w:r w:rsidRPr="00320C62">
        <w:rPr>
          <w:rFonts w:ascii="Times New Roman" w:hAnsi="Times New Roman" w:cs="Times New Roman"/>
          <w:sz w:val="24"/>
          <w:szCs w:val="24"/>
        </w:rPr>
        <w:t xml:space="preserve">Les </w:t>
      </w:r>
      <w:hyperlink r:id="rId27" w:tooltip="Fleur" w:history="1">
        <w:r w:rsidRPr="00320C62">
          <w:rPr>
            <w:rFonts w:ascii="Times New Roman" w:hAnsi="Times New Roman" w:cs="Times New Roman"/>
            <w:sz w:val="24"/>
            <w:szCs w:val="24"/>
          </w:rPr>
          <w:t>fleurs</w:t>
        </w:r>
      </w:hyperlink>
      <w:r w:rsidRPr="00320C62">
        <w:rPr>
          <w:rFonts w:ascii="Times New Roman" w:hAnsi="Times New Roman" w:cs="Times New Roman"/>
          <w:sz w:val="24"/>
          <w:szCs w:val="24"/>
        </w:rPr>
        <w:t xml:space="preserve"> d'un blanc jaunâtre (Fig. 06). Gousse droite terminée par un long bec et contenant plusieurs graines (polysperme) (LAPEYRONIE, 1982). Graines fortement tuberculées (OZENDA, 1960 ; QUEZEL et SANTA, 1962).</w:t>
      </w:r>
    </w:p>
    <w:p w:rsidR="00BC486A" w:rsidRDefault="008A1C6B" w:rsidP="0056572B">
      <w:pPr>
        <w:keepNext/>
        <w:spacing w:before="240" w:after="0" w:line="360" w:lineRule="auto"/>
        <w:jc w:val="center"/>
      </w:pPr>
      <w:r>
        <w:rPr>
          <w:noProof/>
        </w:rPr>
        <w:lastRenderedPageBreak/>
        <w:drawing>
          <wp:inline distT="0" distB="0" distL="0" distR="0">
            <wp:extent cx="2086434" cy="1773400"/>
            <wp:effectExtent l="38100" t="0" r="28116" b="512600"/>
            <wp:docPr id="9" name="Image 5" descr="DSC06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C06185"/>
                    <pic:cNvPicPr>
                      <a:picLocks noChangeAspect="1" noChangeArrowheads="1"/>
                    </pic:cNvPicPr>
                  </pic:nvPicPr>
                  <pic:blipFill>
                    <a:blip r:embed="rId28" cstate="print"/>
                    <a:srcRect/>
                    <a:stretch>
                      <a:fillRect/>
                    </a:stretch>
                  </pic:blipFill>
                  <pic:spPr bwMode="auto">
                    <a:xfrm>
                      <a:off x="0" y="0"/>
                      <a:ext cx="2086434" cy="1773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2037040" cy="1769596"/>
            <wp:effectExtent l="38100" t="0" r="20360" b="516404"/>
            <wp:docPr id="10" name="Image 4" descr="DSC05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C05917"/>
                    <pic:cNvPicPr>
                      <a:picLocks noChangeAspect="1" noChangeArrowheads="1"/>
                    </pic:cNvPicPr>
                  </pic:nvPicPr>
                  <pic:blipFill>
                    <a:blip r:embed="rId29" cstate="print"/>
                    <a:srcRect/>
                    <a:stretch>
                      <a:fillRect/>
                    </a:stretch>
                  </pic:blipFill>
                  <pic:spPr bwMode="auto">
                    <a:xfrm>
                      <a:off x="0" y="0"/>
                      <a:ext cx="2037040" cy="17695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1988927" cy="1772766"/>
            <wp:effectExtent l="38100" t="0" r="11323" b="513234"/>
            <wp:docPr id="11" name="Image 3" descr="DSC05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05910"/>
                    <pic:cNvPicPr>
                      <a:picLocks noChangeAspect="1" noChangeArrowheads="1"/>
                    </pic:cNvPicPr>
                  </pic:nvPicPr>
                  <pic:blipFill>
                    <a:blip r:embed="rId30" cstate="print"/>
                    <a:srcRect/>
                    <a:stretch>
                      <a:fillRect/>
                    </a:stretch>
                  </pic:blipFill>
                  <pic:spPr bwMode="auto">
                    <a:xfrm>
                      <a:off x="0" y="0"/>
                      <a:ext cx="1988927" cy="17727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A1C6B" w:rsidRPr="0056572B" w:rsidRDefault="00BC486A" w:rsidP="0056572B">
      <w:pPr>
        <w:pStyle w:val="Lgende"/>
        <w:spacing w:before="240" w:line="360" w:lineRule="auto"/>
        <w:jc w:val="center"/>
        <w:rPr>
          <w:rFonts w:asciiTheme="majorBidi" w:hAnsiTheme="majorBidi" w:cstheme="majorBidi"/>
          <w:color w:val="auto"/>
          <w:sz w:val="24"/>
          <w:szCs w:val="24"/>
        </w:rPr>
      </w:pPr>
      <w:bookmarkStart w:id="257" w:name="_Toc252194943"/>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6</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:Fenugrec : aspect de la plante entière, fleurs et graines (Images d’origines).</w:t>
      </w:r>
      <w:bookmarkEnd w:id="257"/>
    </w:p>
    <w:p w:rsidR="008A1C6B" w:rsidRPr="0056572B" w:rsidRDefault="008A1C6B" w:rsidP="0056572B">
      <w:pPr>
        <w:pStyle w:val="Titre2"/>
        <w:numPr>
          <w:ilvl w:val="1"/>
          <w:numId w:val="7"/>
        </w:numPr>
        <w:spacing w:before="240" w:after="240" w:line="360" w:lineRule="auto"/>
        <w:rPr>
          <w:rFonts w:ascii="Times New Roman" w:hAnsi="Times New Roman"/>
          <w:color w:val="auto"/>
          <w:sz w:val="24"/>
          <w:szCs w:val="24"/>
        </w:rPr>
      </w:pPr>
      <w:bookmarkStart w:id="258" w:name="_Toc251854997"/>
      <w:bookmarkStart w:id="259" w:name="_Toc251855407"/>
      <w:bookmarkStart w:id="260" w:name="_Toc126492574"/>
      <w:bookmarkStart w:id="261" w:name="_Toc126492989"/>
      <w:bookmarkStart w:id="262" w:name="_Toc126570489"/>
      <w:bookmarkStart w:id="263" w:name="_Toc126571797"/>
      <w:bookmarkStart w:id="264" w:name="_Toc126572578"/>
      <w:bookmarkStart w:id="265" w:name="_Toc126575212"/>
      <w:bookmarkStart w:id="266" w:name="_Toc126575889"/>
      <w:bookmarkStart w:id="267" w:name="_Toc126576764"/>
      <w:bookmarkStart w:id="268" w:name="_Toc252093973"/>
      <w:bookmarkStart w:id="269" w:name="_Toc252365369"/>
      <w:bookmarkStart w:id="270" w:name="_Toc252365628"/>
      <w:bookmarkStart w:id="271" w:name="_Toc252366173"/>
      <w:r w:rsidRPr="00511BD5">
        <w:rPr>
          <w:rFonts w:ascii="Times New Roman" w:hAnsi="Times New Roman"/>
          <w:color w:val="auto"/>
          <w:sz w:val="24"/>
          <w:szCs w:val="24"/>
        </w:rPr>
        <w:t>Propriété et usage</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511BD5">
        <w:rPr>
          <w:rFonts w:ascii="Times New Roman" w:hAnsi="Times New Roman"/>
          <w:color w:val="auto"/>
          <w:sz w:val="24"/>
          <w:szCs w:val="24"/>
        </w:rPr>
        <w:t> </w:t>
      </w:r>
    </w:p>
    <w:p w:rsidR="008A1C6B" w:rsidRPr="00320C62" w:rsidRDefault="008A1C6B" w:rsidP="0056572B">
      <w:pPr>
        <w:spacing w:before="240" w:line="360" w:lineRule="auto"/>
        <w:ind w:firstLine="284"/>
        <w:jc w:val="lowKashida"/>
        <w:rPr>
          <w:rFonts w:ascii="Times New Roman" w:hAnsi="Times New Roman" w:cs="Times New Roman"/>
          <w:b/>
          <w:bCs/>
          <w:sz w:val="24"/>
          <w:szCs w:val="24"/>
        </w:rPr>
      </w:pPr>
      <w:r w:rsidRPr="00320C62">
        <w:rPr>
          <w:rFonts w:ascii="Times New Roman" w:hAnsi="Times New Roman" w:cs="Times New Roman"/>
          <w:sz w:val="24"/>
          <w:szCs w:val="24"/>
        </w:rPr>
        <w:t xml:space="preserve">Les graines de Fenugrec sont connues par leurs propriétés : tonique, aphrodisiaque, astringent, émollient, </w:t>
      </w:r>
      <w:r w:rsidRPr="00CD0473">
        <w:rPr>
          <w:rFonts w:ascii="Times New Roman" w:hAnsi="Times New Roman" w:cs="Times New Roman"/>
          <w:sz w:val="24"/>
          <w:szCs w:val="24"/>
        </w:rPr>
        <w:t>expectorant (EDDE, 1985), adoucissantes</w:t>
      </w:r>
      <w:r w:rsidRPr="00320C62">
        <w:rPr>
          <w:rFonts w:ascii="Times New Roman" w:hAnsi="Times New Roman" w:cs="Times New Roman"/>
          <w:sz w:val="24"/>
          <w:szCs w:val="24"/>
        </w:rPr>
        <w:t xml:space="preserve"> (LECHEVALLIER, 1927), anti-inflammatoires et hepatoprotective (CIHAT ÖNER, 2008) et leurs propriétés hautement hypoglycémiantes (</w:t>
      </w:r>
      <w:r w:rsidRPr="009A3934">
        <w:rPr>
          <w:rFonts w:ascii="Times New Roman" w:hAnsi="Times New Roman" w:cs="Times New Roman"/>
          <w:sz w:val="24"/>
          <w:szCs w:val="24"/>
        </w:rPr>
        <w:t>ODYMNIMH</w:t>
      </w:r>
      <w:r w:rsidRPr="00320C62">
        <w:rPr>
          <w:rFonts w:ascii="Times New Roman" w:hAnsi="Times New Roman" w:cs="Times New Roman"/>
          <w:sz w:val="24"/>
          <w:szCs w:val="24"/>
        </w:rPr>
        <w:t xml:space="preserve">, 1994). Elles sont utiles contre les maladies pathologiques (GONZ´ALEZ-TEJERO </w:t>
      </w:r>
      <w:r w:rsidRPr="00320C62">
        <w:rPr>
          <w:rFonts w:ascii="Times New Roman" w:hAnsi="Times New Roman" w:cs="Times New Roman"/>
          <w:i/>
          <w:sz w:val="24"/>
          <w:szCs w:val="24"/>
        </w:rPr>
        <w:t xml:space="preserve">et </w:t>
      </w:r>
      <w:r w:rsidR="00E35E9B" w:rsidRPr="00320C62">
        <w:rPr>
          <w:rFonts w:ascii="Times New Roman" w:hAnsi="Times New Roman" w:cs="Times New Roman"/>
          <w:i/>
          <w:sz w:val="24"/>
          <w:szCs w:val="24"/>
        </w:rPr>
        <w:t>al.</w:t>
      </w:r>
      <w:r w:rsidR="00881E9B">
        <w:rPr>
          <w:rFonts w:ascii="Times New Roman" w:hAnsi="Times New Roman" w:cs="Times New Roman"/>
          <w:i/>
          <w:sz w:val="24"/>
          <w:szCs w:val="24"/>
        </w:rPr>
        <w:t>,</w:t>
      </w:r>
      <w:r w:rsidRPr="00320C62">
        <w:rPr>
          <w:rFonts w:ascii="Times New Roman" w:hAnsi="Times New Roman" w:cs="Times New Roman"/>
          <w:sz w:val="24"/>
          <w:szCs w:val="24"/>
        </w:rPr>
        <w:t xml:space="preserve"> 2008).</w:t>
      </w:r>
    </w:p>
    <w:p w:rsidR="008A1C6B" w:rsidRPr="00773A0E" w:rsidRDefault="008A1C6B" w:rsidP="0056572B">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La décoction de la poudre est également conseillée pour stimuler la production du lait maternel chez les nourrices (BELOUED</w:t>
      </w:r>
      <w:r>
        <w:rPr>
          <w:rFonts w:ascii="Times New Roman" w:hAnsi="Times New Roman" w:cs="Times New Roman"/>
          <w:sz w:val="24"/>
          <w:szCs w:val="24"/>
        </w:rPr>
        <w:t>,</w:t>
      </w:r>
      <w:r w:rsidRPr="00773A0E">
        <w:rPr>
          <w:rFonts w:ascii="Times New Roman" w:hAnsi="Times New Roman" w:cs="Times New Roman"/>
          <w:sz w:val="24"/>
          <w:szCs w:val="24"/>
        </w:rPr>
        <w:t xml:space="preserve"> 2001). La plante était utilisée comme fourrage dans l'</w:t>
      </w:r>
      <w:hyperlink r:id="rId31" w:tooltip="Antiquité" w:history="1">
        <w:r w:rsidRPr="00773A0E">
          <w:rPr>
            <w:rFonts w:ascii="Times New Roman" w:hAnsi="Times New Roman" w:cs="Times New Roman"/>
            <w:sz w:val="24"/>
            <w:szCs w:val="24"/>
          </w:rPr>
          <w:t>Antiquité</w:t>
        </w:r>
      </w:hyperlink>
      <w:r w:rsidRPr="00773A0E">
        <w:rPr>
          <w:rFonts w:ascii="Times New Roman" w:hAnsi="Times New Roman" w:cs="Times New Roman"/>
          <w:sz w:val="24"/>
          <w:szCs w:val="24"/>
        </w:rPr>
        <w:t xml:space="preserve"> ce qui lui vaut son nom de « foin grec », les graines sont mélangées avec de l’orge ou de l’avoine pour l’aliment </w:t>
      </w:r>
      <w:r w:rsidRPr="00CD0473">
        <w:rPr>
          <w:rFonts w:ascii="Times New Roman" w:hAnsi="Times New Roman" w:cs="Times New Roman"/>
          <w:sz w:val="24"/>
          <w:szCs w:val="24"/>
        </w:rPr>
        <w:t>de bétail (MOKKEDEM, 2004 a et 2004</w:t>
      </w:r>
      <w:r>
        <w:rPr>
          <w:rFonts w:ascii="Times New Roman" w:hAnsi="Times New Roman" w:cs="Times New Roman"/>
          <w:sz w:val="24"/>
          <w:szCs w:val="24"/>
        </w:rPr>
        <w:t xml:space="preserve"> </w:t>
      </w:r>
      <w:r w:rsidRPr="00CD0473">
        <w:rPr>
          <w:rFonts w:ascii="Times New Roman" w:hAnsi="Times New Roman" w:cs="Times New Roman"/>
          <w:sz w:val="24"/>
          <w:szCs w:val="24"/>
        </w:rPr>
        <w:t>d),</w:t>
      </w:r>
      <w:r w:rsidRPr="00773A0E">
        <w:rPr>
          <w:rFonts w:ascii="Times New Roman" w:hAnsi="Times New Roman" w:cs="Times New Roman"/>
          <w:sz w:val="24"/>
          <w:szCs w:val="24"/>
        </w:rPr>
        <w:t xml:space="preserve"> elle est utilisé aussi en </w:t>
      </w:r>
      <w:hyperlink r:id="rId32" w:tooltip="Agriculture biologique" w:history="1">
        <w:r w:rsidRPr="00773A0E">
          <w:rPr>
            <w:rFonts w:ascii="Times New Roman" w:hAnsi="Times New Roman" w:cs="Times New Roman"/>
            <w:sz w:val="24"/>
            <w:szCs w:val="24"/>
          </w:rPr>
          <w:t>agriculture biologique</w:t>
        </w:r>
      </w:hyperlink>
      <w:r w:rsidRPr="00773A0E">
        <w:rPr>
          <w:rFonts w:ascii="Times New Roman" w:hAnsi="Times New Roman" w:cs="Times New Roman"/>
          <w:sz w:val="24"/>
          <w:szCs w:val="24"/>
        </w:rPr>
        <w:t xml:space="preserve"> comme </w:t>
      </w:r>
      <w:hyperlink r:id="rId33" w:tooltip="Engrais vert" w:history="1">
        <w:r w:rsidRPr="00773A0E">
          <w:rPr>
            <w:rFonts w:ascii="Times New Roman" w:hAnsi="Times New Roman" w:cs="Times New Roman"/>
            <w:sz w:val="24"/>
            <w:szCs w:val="24"/>
          </w:rPr>
          <w:t>engrais vert</w:t>
        </w:r>
      </w:hyperlink>
      <w:r w:rsidRPr="00320C62">
        <w:rPr>
          <w:rFonts w:ascii="Times New Roman" w:hAnsi="Times New Roman" w:cs="Times New Roman"/>
          <w:sz w:val="24"/>
          <w:szCs w:val="24"/>
        </w:rPr>
        <w:t>, en Europe. Il est</w:t>
      </w:r>
      <w:r w:rsidRPr="00773A0E">
        <w:rPr>
          <w:rFonts w:ascii="Times New Roman" w:hAnsi="Times New Roman" w:cs="Times New Roman"/>
          <w:sz w:val="24"/>
          <w:szCs w:val="24"/>
        </w:rPr>
        <w:t xml:space="preserve"> également une </w:t>
      </w:r>
      <w:hyperlink r:id="rId34" w:tooltip="Plante tinctoriale" w:history="1">
        <w:r w:rsidRPr="00773A0E">
          <w:rPr>
            <w:rFonts w:ascii="Times New Roman" w:hAnsi="Times New Roman" w:cs="Times New Roman"/>
            <w:sz w:val="24"/>
            <w:szCs w:val="24"/>
          </w:rPr>
          <w:t>plante tinctoriale</w:t>
        </w:r>
      </w:hyperlink>
      <w:r w:rsidRPr="00773A0E">
        <w:rPr>
          <w:rFonts w:ascii="Times New Roman" w:hAnsi="Times New Roman" w:cs="Times New Roman"/>
          <w:sz w:val="24"/>
          <w:szCs w:val="24"/>
        </w:rPr>
        <w:t xml:space="preserve"> qui permet de teindre les textiles en un très beau rouge incarnat. Le fenugrec est une </w:t>
      </w:r>
      <w:hyperlink r:id="rId35" w:tooltip="Épice" w:history="1">
        <w:r w:rsidRPr="00773A0E">
          <w:rPr>
            <w:rFonts w:ascii="Times New Roman" w:hAnsi="Times New Roman" w:cs="Times New Roman"/>
            <w:sz w:val="24"/>
            <w:szCs w:val="24"/>
          </w:rPr>
          <w:t>épice</w:t>
        </w:r>
      </w:hyperlink>
      <w:r w:rsidRPr="00773A0E">
        <w:rPr>
          <w:rFonts w:ascii="Times New Roman" w:hAnsi="Times New Roman" w:cs="Times New Roman"/>
          <w:sz w:val="24"/>
          <w:szCs w:val="24"/>
        </w:rPr>
        <w:t xml:space="preserve"> très riche qui contient du </w:t>
      </w:r>
      <w:hyperlink r:id="rId36" w:tooltip="Phosphore" w:history="1">
        <w:r w:rsidRPr="00773A0E">
          <w:rPr>
            <w:rFonts w:ascii="Times New Roman" w:hAnsi="Times New Roman" w:cs="Times New Roman"/>
            <w:sz w:val="24"/>
            <w:szCs w:val="24"/>
          </w:rPr>
          <w:t>phosphore</w:t>
        </w:r>
      </w:hyperlink>
      <w:r w:rsidRPr="00773A0E">
        <w:rPr>
          <w:rFonts w:ascii="Times New Roman" w:hAnsi="Times New Roman" w:cs="Times New Roman"/>
          <w:sz w:val="24"/>
          <w:szCs w:val="24"/>
        </w:rPr>
        <w:t xml:space="preserve">, du </w:t>
      </w:r>
      <w:hyperlink r:id="rId37" w:tooltip="Fer" w:history="1">
        <w:r w:rsidRPr="00773A0E">
          <w:rPr>
            <w:rFonts w:ascii="Times New Roman" w:hAnsi="Times New Roman" w:cs="Times New Roman"/>
            <w:sz w:val="24"/>
            <w:szCs w:val="24"/>
          </w:rPr>
          <w:t>fer</w:t>
        </w:r>
      </w:hyperlink>
      <w:r w:rsidRPr="00773A0E">
        <w:rPr>
          <w:rFonts w:ascii="Times New Roman" w:hAnsi="Times New Roman" w:cs="Times New Roman"/>
          <w:sz w:val="24"/>
          <w:szCs w:val="24"/>
        </w:rPr>
        <w:t xml:space="preserve">, du </w:t>
      </w:r>
      <w:hyperlink r:id="rId38" w:tooltip="Soufre" w:history="1">
        <w:r w:rsidRPr="00773A0E">
          <w:rPr>
            <w:rFonts w:ascii="Times New Roman" w:hAnsi="Times New Roman" w:cs="Times New Roman"/>
            <w:sz w:val="24"/>
            <w:szCs w:val="24"/>
          </w:rPr>
          <w:t>soufre</w:t>
        </w:r>
      </w:hyperlink>
      <w:r w:rsidRPr="00773A0E">
        <w:rPr>
          <w:rFonts w:ascii="Times New Roman" w:hAnsi="Times New Roman" w:cs="Times New Roman"/>
          <w:sz w:val="24"/>
          <w:szCs w:val="24"/>
        </w:rPr>
        <w:t>, de l'</w:t>
      </w:r>
      <w:hyperlink r:id="rId39" w:tooltip="Acide nicotinique" w:history="1">
        <w:r w:rsidRPr="00773A0E">
          <w:rPr>
            <w:rFonts w:ascii="Times New Roman" w:hAnsi="Times New Roman" w:cs="Times New Roman"/>
            <w:sz w:val="24"/>
            <w:szCs w:val="24"/>
          </w:rPr>
          <w:t>acide nicotinique</w:t>
        </w:r>
      </w:hyperlink>
      <w:r w:rsidRPr="00773A0E">
        <w:rPr>
          <w:rFonts w:ascii="Times New Roman" w:hAnsi="Times New Roman" w:cs="Times New Roman"/>
          <w:sz w:val="24"/>
          <w:szCs w:val="24"/>
        </w:rPr>
        <w:t xml:space="preserve">, des </w:t>
      </w:r>
      <w:hyperlink r:id="rId40" w:tooltip="Alcaloïde" w:history="1">
        <w:r w:rsidRPr="00773A0E">
          <w:rPr>
            <w:rFonts w:ascii="Times New Roman" w:hAnsi="Times New Roman" w:cs="Times New Roman"/>
            <w:sz w:val="24"/>
            <w:szCs w:val="24"/>
          </w:rPr>
          <w:t>alcaloïdes</w:t>
        </w:r>
      </w:hyperlink>
      <w:r w:rsidRPr="00773A0E">
        <w:rPr>
          <w:rFonts w:ascii="Times New Roman" w:hAnsi="Times New Roman" w:cs="Times New Roman"/>
          <w:sz w:val="24"/>
          <w:szCs w:val="24"/>
        </w:rPr>
        <w:t xml:space="preserve">, </w:t>
      </w:r>
      <w:hyperlink r:id="rId41" w:tooltip="Saponine" w:history="1">
        <w:r w:rsidRPr="00773A0E">
          <w:rPr>
            <w:rFonts w:ascii="Times New Roman" w:hAnsi="Times New Roman" w:cs="Times New Roman"/>
            <w:sz w:val="24"/>
            <w:szCs w:val="24"/>
          </w:rPr>
          <w:t>saponines</w:t>
        </w:r>
      </w:hyperlink>
      <w:r w:rsidRPr="00773A0E">
        <w:rPr>
          <w:rFonts w:ascii="Times New Roman" w:hAnsi="Times New Roman" w:cs="Times New Roman"/>
          <w:sz w:val="24"/>
          <w:szCs w:val="24"/>
        </w:rPr>
        <w:t>.</w:t>
      </w:r>
    </w:p>
    <w:p w:rsidR="008A1C6B" w:rsidRPr="0056572B" w:rsidRDefault="008A1C6B" w:rsidP="0056572B">
      <w:pPr>
        <w:pStyle w:val="Titre2"/>
        <w:numPr>
          <w:ilvl w:val="1"/>
          <w:numId w:val="7"/>
        </w:numPr>
        <w:spacing w:before="240" w:after="240" w:line="360" w:lineRule="auto"/>
        <w:rPr>
          <w:rFonts w:ascii="Times New Roman" w:hAnsi="Times New Roman"/>
          <w:color w:val="auto"/>
          <w:sz w:val="24"/>
          <w:szCs w:val="24"/>
        </w:rPr>
      </w:pPr>
      <w:bookmarkStart w:id="272" w:name="_Toc251854998"/>
      <w:bookmarkStart w:id="273" w:name="_Toc251855408"/>
      <w:bookmarkStart w:id="274" w:name="_Toc126492575"/>
      <w:bookmarkStart w:id="275" w:name="_Toc126492990"/>
      <w:r w:rsidRPr="00526CFC">
        <w:rPr>
          <w:rFonts w:ascii="Times New Roman" w:hAnsi="Times New Roman"/>
          <w:color w:val="auto"/>
          <w:sz w:val="24"/>
          <w:szCs w:val="24"/>
        </w:rPr>
        <w:t xml:space="preserve"> </w:t>
      </w:r>
      <w:bookmarkStart w:id="276" w:name="_Toc126570490"/>
      <w:bookmarkStart w:id="277" w:name="_Toc126571798"/>
      <w:bookmarkStart w:id="278" w:name="_Toc126572579"/>
      <w:bookmarkStart w:id="279" w:name="_Toc126575213"/>
      <w:bookmarkStart w:id="280" w:name="_Toc126575890"/>
      <w:bookmarkStart w:id="281" w:name="_Toc126576765"/>
      <w:bookmarkStart w:id="282" w:name="_Toc252093974"/>
      <w:bookmarkStart w:id="283" w:name="_Toc252365370"/>
      <w:bookmarkStart w:id="284" w:name="_Toc252365629"/>
      <w:bookmarkStart w:id="285" w:name="_Toc252366174"/>
      <w:r w:rsidRPr="00526CFC">
        <w:rPr>
          <w:rFonts w:ascii="Times New Roman" w:hAnsi="Times New Roman"/>
          <w:color w:val="auto"/>
          <w:sz w:val="24"/>
          <w:szCs w:val="24"/>
        </w:rPr>
        <w:t>Composition biochimique de la graine</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8A1C6B" w:rsidRPr="005B40F5" w:rsidRDefault="008A1C6B" w:rsidP="0056572B">
      <w:pPr>
        <w:spacing w:before="240" w:line="360" w:lineRule="auto"/>
        <w:ind w:firstLine="284"/>
        <w:jc w:val="lowKashida"/>
        <w:rPr>
          <w:rFonts w:ascii="Times New Roman" w:hAnsi="Times New Roman" w:cs="Times New Roman"/>
          <w:sz w:val="24"/>
          <w:szCs w:val="24"/>
        </w:rPr>
      </w:pPr>
      <w:r>
        <w:rPr>
          <w:rFonts w:ascii="Times New Roman" w:hAnsi="Times New Roman" w:cs="Times New Roman"/>
          <w:sz w:val="24"/>
          <w:szCs w:val="24"/>
        </w:rPr>
        <w:t>L’h</w:t>
      </w:r>
      <w:r w:rsidRPr="00773A0E">
        <w:rPr>
          <w:rFonts w:ascii="Times New Roman" w:hAnsi="Times New Roman" w:cs="Times New Roman"/>
          <w:sz w:val="24"/>
          <w:szCs w:val="24"/>
        </w:rPr>
        <w:t>uile essentielle</w:t>
      </w:r>
      <w:r>
        <w:rPr>
          <w:rFonts w:ascii="Times New Roman" w:hAnsi="Times New Roman" w:cs="Times New Roman"/>
          <w:sz w:val="24"/>
          <w:szCs w:val="24"/>
        </w:rPr>
        <w:t xml:space="preserve">, </w:t>
      </w:r>
      <w:r w:rsidRPr="00773A0E">
        <w:rPr>
          <w:rFonts w:ascii="Times New Roman" w:hAnsi="Times New Roman" w:cs="Times New Roman"/>
          <w:sz w:val="24"/>
          <w:szCs w:val="24"/>
        </w:rPr>
        <w:t>entre 0.01 et 0.0</w:t>
      </w:r>
      <w:r w:rsidRPr="00320C62">
        <w:rPr>
          <w:rFonts w:ascii="Times New Roman" w:hAnsi="Times New Roman" w:cs="Times New Roman"/>
          <w:sz w:val="24"/>
          <w:szCs w:val="24"/>
        </w:rPr>
        <w:t xml:space="preserve">2%, renferme notamment du 4.5 diméthyle-3hydroxy-2(5H)-furanone et du 3-hydroxy-4-méthyl-2(5H)–furanone (responsable de l’odeur typique des graines) ; elles sont accompagnées de dihydroactinidines diolide, de dihydrobenzofurane. On note aussi la présence de 1.2 à 3 % de Saponines, 6 à 10 % des lipides, 23 à 30 % </w:t>
      </w:r>
      <w:r w:rsidR="009E3562">
        <w:rPr>
          <w:rFonts w:ascii="Times New Roman" w:hAnsi="Times New Roman" w:cs="Times New Roman"/>
          <w:sz w:val="24"/>
          <w:szCs w:val="24"/>
        </w:rPr>
        <w:t xml:space="preserve">de </w:t>
      </w:r>
      <w:r w:rsidRPr="00320C62">
        <w:rPr>
          <w:rFonts w:ascii="Times New Roman" w:hAnsi="Times New Roman" w:cs="Times New Roman"/>
          <w:sz w:val="24"/>
          <w:szCs w:val="24"/>
        </w:rPr>
        <w:t>protéines (COMPLAN, 1999).</w:t>
      </w:r>
    </w:p>
    <w:p w:rsidR="00511BD5" w:rsidRDefault="008A1C6B" w:rsidP="0056572B">
      <w:pPr>
        <w:pStyle w:val="Titre2"/>
        <w:numPr>
          <w:ilvl w:val="1"/>
          <w:numId w:val="7"/>
        </w:numPr>
        <w:spacing w:before="240" w:after="240" w:line="360" w:lineRule="auto"/>
        <w:rPr>
          <w:rFonts w:ascii="Times New Roman" w:hAnsi="Times New Roman"/>
          <w:color w:val="auto"/>
          <w:sz w:val="24"/>
          <w:szCs w:val="24"/>
        </w:rPr>
      </w:pPr>
      <w:bookmarkStart w:id="286" w:name="_Toc251854999"/>
      <w:bookmarkStart w:id="287" w:name="_Toc251855409"/>
      <w:bookmarkStart w:id="288" w:name="_Toc126492576"/>
      <w:bookmarkStart w:id="289" w:name="_Toc126492991"/>
      <w:bookmarkStart w:id="290" w:name="_Toc126570491"/>
      <w:bookmarkStart w:id="291" w:name="_Toc126571799"/>
      <w:bookmarkStart w:id="292" w:name="_Toc126572580"/>
      <w:bookmarkStart w:id="293" w:name="_Toc126575214"/>
      <w:bookmarkStart w:id="294" w:name="_Toc126575891"/>
      <w:bookmarkStart w:id="295" w:name="_Toc126576766"/>
      <w:bookmarkStart w:id="296" w:name="_Toc252093975"/>
      <w:bookmarkStart w:id="297" w:name="_Toc252365371"/>
      <w:bookmarkStart w:id="298" w:name="_Toc252365630"/>
      <w:bookmarkStart w:id="299" w:name="_Toc252366175"/>
      <w:r w:rsidRPr="00526CFC">
        <w:rPr>
          <w:rFonts w:ascii="Times New Roman" w:hAnsi="Times New Roman"/>
          <w:color w:val="auto"/>
          <w:sz w:val="24"/>
          <w:szCs w:val="24"/>
        </w:rPr>
        <w:lastRenderedPageBreak/>
        <w:t>La culture du Fenugrec</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511BD5" w:rsidRPr="00511BD5" w:rsidRDefault="008A1C6B" w:rsidP="0056572B">
      <w:pPr>
        <w:pStyle w:val="Titre2"/>
        <w:numPr>
          <w:ilvl w:val="2"/>
          <w:numId w:val="7"/>
        </w:numPr>
        <w:spacing w:before="240" w:after="240" w:line="360" w:lineRule="auto"/>
        <w:rPr>
          <w:rFonts w:ascii="Times New Roman" w:hAnsi="Times New Roman"/>
          <w:color w:val="auto"/>
          <w:sz w:val="24"/>
          <w:szCs w:val="24"/>
        </w:rPr>
      </w:pPr>
      <w:bookmarkStart w:id="300" w:name="_Toc126570492"/>
      <w:bookmarkStart w:id="301" w:name="_Toc126571800"/>
      <w:bookmarkStart w:id="302" w:name="_Toc126572581"/>
      <w:bookmarkStart w:id="303" w:name="_Toc126575215"/>
      <w:bookmarkStart w:id="304" w:name="_Toc126575892"/>
      <w:bookmarkStart w:id="305" w:name="_Toc126576767"/>
      <w:bookmarkStart w:id="306" w:name="_Toc252093976"/>
      <w:bookmarkStart w:id="307" w:name="_Toc252365372"/>
      <w:bookmarkStart w:id="308" w:name="_Toc252365631"/>
      <w:bookmarkStart w:id="309" w:name="_Toc252366176"/>
      <w:r w:rsidRPr="00511BD5">
        <w:rPr>
          <w:rFonts w:ascii="Times New Roman" w:hAnsi="Times New Roman"/>
          <w:color w:val="auto"/>
          <w:sz w:val="24"/>
          <w:szCs w:val="24"/>
        </w:rPr>
        <w:t>Les principaux pays producteurs</w:t>
      </w:r>
      <w:bookmarkEnd w:id="300"/>
      <w:bookmarkEnd w:id="301"/>
      <w:bookmarkEnd w:id="302"/>
      <w:bookmarkEnd w:id="303"/>
      <w:bookmarkEnd w:id="304"/>
      <w:bookmarkEnd w:id="305"/>
      <w:bookmarkEnd w:id="306"/>
      <w:bookmarkEnd w:id="307"/>
      <w:bookmarkEnd w:id="308"/>
      <w:bookmarkEnd w:id="309"/>
    </w:p>
    <w:p w:rsidR="008A1C6B" w:rsidRPr="00320C62" w:rsidRDefault="008A1C6B" w:rsidP="0056572B">
      <w:pPr>
        <w:spacing w:before="240" w:line="360" w:lineRule="auto"/>
        <w:ind w:firstLine="284"/>
        <w:jc w:val="lowKashida"/>
        <w:rPr>
          <w:rFonts w:ascii="Times New Roman" w:hAnsi="Times New Roman" w:cs="Times New Roman"/>
          <w:sz w:val="24"/>
          <w:szCs w:val="24"/>
        </w:rPr>
      </w:pPr>
      <w:r w:rsidRPr="00320C62">
        <w:rPr>
          <w:rFonts w:ascii="Times New Roman" w:hAnsi="Times New Roman" w:cs="Times New Roman"/>
          <w:sz w:val="24"/>
          <w:szCs w:val="24"/>
        </w:rPr>
        <w:t xml:space="preserve">Les principaux pays producteurs de Fenugrec sont les pays méditerranéens (Egypte, Turquie, Maroc, Syrie, Grèce, Sud de </w:t>
      </w:r>
      <w:smartTag w:uri="urn:schemas-microsoft-com:office:smarttags" w:element="PersonName">
        <w:smartTagPr>
          <w:attr w:name="ProductID" w:val="la France"/>
        </w:smartTagPr>
        <w:r w:rsidRPr="00320C62">
          <w:rPr>
            <w:rFonts w:ascii="Times New Roman" w:hAnsi="Times New Roman" w:cs="Times New Roman"/>
            <w:sz w:val="24"/>
            <w:szCs w:val="24"/>
          </w:rPr>
          <w:t>la France</w:t>
        </w:r>
      </w:smartTag>
      <w:r w:rsidRPr="00320C62">
        <w:rPr>
          <w:rFonts w:ascii="Times New Roman" w:hAnsi="Times New Roman" w:cs="Times New Roman"/>
          <w:sz w:val="24"/>
          <w:szCs w:val="24"/>
        </w:rPr>
        <w:t xml:space="preserve">), le Soudan, l’Asie Occidentale et Centrale, les pays Arabes, l’Inde, </w:t>
      </w:r>
      <w:smartTag w:uri="urn:schemas-microsoft-com:office:smarttags" w:element="PersonName">
        <w:smartTagPr>
          <w:attr w:name="ProductID" w:val="La Chine"/>
        </w:smartTagPr>
        <w:r w:rsidRPr="00320C62">
          <w:rPr>
            <w:rFonts w:ascii="Times New Roman" w:hAnsi="Times New Roman" w:cs="Times New Roman"/>
            <w:sz w:val="24"/>
            <w:szCs w:val="24"/>
          </w:rPr>
          <w:t>la Chine</w:t>
        </w:r>
      </w:smartTag>
      <w:r w:rsidRPr="00320C62">
        <w:rPr>
          <w:rFonts w:ascii="Times New Roman" w:hAnsi="Times New Roman" w:cs="Times New Roman"/>
          <w:sz w:val="24"/>
          <w:szCs w:val="24"/>
        </w:rPr>
        <w:t>, le Japon (COMPLAN, 1999).</w:t>
      </w:r>
    </w:p>
    <w:p w:rsidR="008A1C6B" w:rsidRPr="00511BD5" w:rsidRDefault="008A1C6B" w:rsidP="0056572B">
      <w:pPr>
        <w:pStyle w:val="Titre2"/>
        <w:numPr>
          <w:ilvl w:val="2"/>
          <w:numId w:val="7"/>
        </w:numPr>
        <w:spacing w:before="240" w:after="240" w:line="360" w:lineRule="auto"/>
        <w:rPr>
          <w:rFonts w:ascii="Times New Roman" w:hAnsi="Times New Roman"/>
          <w:color w:val="auto"/>
          <w:sz w:val="24"/>
          <w:szCs w:val="24"/>
        </w:rPr>
      </w:pPr>
      <w:bookmarkStart w:id="310" w:name="_Toc126570493"/>
      <w:bookmarkStart w:id="311" w:name="_Toc126571801"/>
      <w:bookmarkStart w:id="312" w:name="_Toc126572582"/>
      <w:bookmarkStart w:id="313" w:name="_Toc126575216"/>
      <w:bookmarkStart w:id="314" w:name="_Toc126575893"/>
      <w:bookmarkStart w:id="315" w:name="_Toc126576768"/>
      <w:bookmarkStart w:id="316" w:name="_Toc252093977"/>
      <w:bookmarkStart w:id="317" w:name="_Toc252365373"/>
      <w:bookmarkStart w:id="318" w:name="_Toc252365632"/>
      <w:bookmarkStart w:id="319" w:name="_Toc252366177"/>
      <w:r w:rsidRPr="00511BD5">
        <w:rPr>
          <w:rFonts w:ascii="Times New Roman" w:hAnsi="Times New Roman"/>
          <w:color w:val="auto"/>
          <w:sz w:val="24"/>
          <w:szCs w:val="24"/>
        </w:rPr>
        <w:t>Les principaux pays exportateurs</w:t>
      </w:r>
      <w:bookmarkEnd w:id="310"/>
      <w:bookmarkEnd w:id="311"/>
      <w:bookmarkEnd w:id="312"/>
      <w:bookmarkEnd w:id="313"/>
      <w:bookmarkEnd w:id="314"/>
      <w:bookmarkEnd w:id="315"/>
      <w:bookmarkEnd w:id="316"/>
      <w:bookmarkEnd w:id="317"/>
      <w:bookmarkEnd w:id="318"/>
      <w:bookmarkEnd w:id="319"/>
    </w:p>
    <w:p w:rsidR="008A1C6B" w:rsidRPr="00320C62" w:rsidRDefault="008A1C6B" w:rsidP="0056572B">
      <w:pPr>
        <w:spacing w:before="240" w:line="360" w:lineRule="auto"/>
        <w:ind w:firstLine="284"/>
        <w:jc w:val="lowKashida"/>
        <w:rPr>
          <w:rFonts w:ascii="Times New Roman" w:hAnsi="Times New Roman" w:cs="Times New Roman"/>
          <w:sz w:val="24"/>
          <w:szCs w:val="24"/>
        </w:rPr>
      </w:pPr>
      <w:r w:rsidRPr="00526CFC">
        <w:rPr>
          <w:rFonts w:ascii="Times New Roman" w:hAnsi="Times New Roman" w:cs="Times New Roman"/>
          <w:sz w:val="24"/>
          <w:szCs w:val="24"/>
        </w:rPr>
        <w:t xml:space="preserve">Les principaux </w:t>
      </w:r>
      <w:r w:rsidRPr="00320C62">
        <w:rPr>
          <w:rFonts w:ascii="Times New Roman" w:hAnsi="Times New Roman" w:cs="Times New Roman"/>
          <w:sz w:val="24"/>
          <w:szCs w:val="24"/>
        </w:rPr>
        <w:t xml:space="preserve">pays exportateurs de Fenugrec sont l’Inde, le Pakistan, </w:t>
      </w:r>
      <w:smartTag w:uri="urn:schemas-microsoft-com:office:smarttags" w:element="PersonName">
        <w:smartTagPr>
          <w:attr w:name="ProductID" w:val="La Chine"/>
        </w:smartTagPr>
        <w:r w:rsidRPr="00320C62">
          <w:rPr>
            <w:rFonts w:ascii="Times New Roman" w:hAnsi="Times New Roman" w:cs="Times New Roman"/>
            <w:sz w:val="24"/>
            <w:szCs w:val="24"/>
          </w:rPr>
          <w:t>la Chine</w:t>
        </w:r>
      </w:smartTag>
      <w:r w:rsidRPr="00320C62">
        <w:rPr>
          <w:rFonts w:ascii="Times New Roman" w:hAnsi="Times New Roman" w:cs="Times New Roman"/>
          <w:sz w:val="24"/>
          <w:szCs w:val="24"/>
        </w:rPr>
        <w:t xml:space="preserve">, le Maroc, la Turquie, </w:t>
      </w:r>
      <w:smartTag w:uri="urn:schemas-microsoft-com:office:smarttags" w:element="PersonName">
        <w:smartTagPr>
          <w:attr w:name="ProductID" w:val="la France"/>
        </w:smartTagPr>
        <w:r w:rsidRPr="00320C62">
          <w:rPr>
            <w:rFonts w:ascii="Times New Roman" w:hAnsi="Times New Roman" w:cs="Times New Roman"/>
            <w:sz w:val="24"/>
            <w:szCs w:val="24"/>
          </w:rPr>
          <w:t>la France</w:t>
        </w:r>
      </w:smartTag>
      <w:r w:rsidRPr="00320C62">
        <w:rPr>
          <w:rFonts w:ascii="Times New Roman" w:hAnsi="Times New Roman" w:cs="Times New Roman"/>
          <w:sz w:val="24"/>
          <w:szCs w:val="24"/>
        </w:rPr>
        <w:t>, l’Argentine (COMPLAN, 1999).</w:t>
      </w:r>
    </w:p>
    <w:p w:rsidR="008A1C6B" w:rsidRPr="00B8145D" w:rsidRDefault="008A1C6B" w:rsidP="0056572B">
      <w:pPr>
        <w:pStyle w:val="Titre2"/>
        <w:numPr>
          <w:ilvl w:val="2"/>
          <w:numId w:val="7"/>
        </w:numPr>
        <w:spacing w:before="240" w:after="240" w:line="360" w:lineRule="auto"/>
        <w:rPr>
          <w:rFonts w:ascii="Times New Roman" w:hAnsi="Times New Roman"/>
          <w:color w:val="auto"/>
          <w:sz w:val="24"/>
          <w:szCs w:val="24"/>
        </w:rPr>
      </w:pPr>
      <w:bookmarkStart w:id="320" w:name="_Toc126570494"/>
      <w:bookmarkStart w:id="321" w:name="_Toc126571802"/>
      <w:bookmarkStart w:id="322" w:name="_Toc126572583"/>
      <w:bookmarkStart w:id="323" w:name="_Toc126575217"/>
      <w:bookmarkStart w:id="324" w:name="_Toc126575894"/>
      <w:bookmarkStart w:id="325" w:name="_Toc126576769"/>
      <w:bookmarkStart w:id="326" w:name="_Toc252093978"/>
      <w:bookmarkStart w:id="327" w:name="_Toc252365374"/>
      <w:bookmarkStart w:id="328" w:name="_Toc252365633"/>
      <w:bookmarkStart w:id="329" w:name="_Toc252366178"/>
      <w:r w:rsidRPr="00B8145D">
        <w:rPr>
          <w:rFonts w:ascii="Times New Roman" w:hAnsi="Times New Roman"/>
          <w:color w:val="auto"/>
          <w:sz w:val="24"/>
          <w:szCs w:val="24"/>
        </w:rPr>
        <w:t>Le Fenugrec en Algérie</w:t>
      </w:r>
      <w:bookmarkEnd w:id="320"/>
      <w:bookmarkEnd w:id="321"/>
      <w:bookmarkEnd w:id="322"/>
      <w:bookmarkEnd w:id="323"/>
      <w:bookmarkEnd w:id="324"/>
      <w:bookmarkEnd w:id="325"/>
      <w:bookmarkEnd w:id="326"/>
      <w:bookmarkEnd w:id="327"/>
      <w:bookmarkEnd w:id="328"/>
      <w:bookmarkEnd w:id="329"/>
    </w:p>
    <w:p w:rsidR="008A1C6B" w:rsidRPr="00320C62" w:rsidRDefault="008A1C6B" w:rsidP="0056572B">
      <w:pPr>
        <w:spacing w:before="240" w:line="360" w:lineRule="auto"/>
        <w:ind w:firstLine="284"/>
        <w:jc w:val="lowKashida"/>
        <w:rPr>
          <w:rFonts w:ascii="Times New Roman" w:hAnsi="Times New Roman" w:cs="Times New Roman"/>
          <w:sz w:val="24"/>
          <w:szCs w:val="24"/>
        </w:rPr>
      </w:pPr>
      <w:r w:rsidRPr="00320C62">
        <w:rPr>
          <w:rFonts w:ascii="Times New Roman" w:hAnsi="Times New Roman" w:cs="Times New Roman"/>
          <w:sz w:val="24"/>
          <w:szCs w:val="24"/>
        </w:rPr>
        <w:t>En Algérie le Fenugrec est fréquemment cultivé et il est souvent sub-spontané (QUEZEL et SANTA, 1962). Il est utilisé traditionnellement comme plante fourragère, médicinale et condimentaire.</w:t>
      </w:r>
    </w:p>
    <w:p w:rsidR="008A1C6B" w:rsidRPr="00526CFC" w:rsidRDefault="00CD2B3E" w:rsidP="0056572B">
      <w:pPr>
        <w:pStyle w:val="Titre2"/>
        <w:numPr>
          <w:ilvl w:val="2"/>
          <w:numId w:val="7"/>
        </w:numPr>
        <w:spacing w:before="240" w:after="240" w:line="360" w:lineRule="auto"/>
        <w:rPr>
          <w:rFonts w:ascii="Times New Roman" w:hAnsi="Times New Roman"/>
          <w:color w:val="auto"/>
          <w:sz w:val="24"/>
          <w:szCs w:val="24"/>
        </w:rPr>
      </w:pPr>
      <w:bookmarkStart w:id="330" w:name="_Toc251855000"/>
      <w:bookmarkStart w:id="331" w:name="_Toc251855410"/>
      <w:bookmarkStart w:id="332" w:name="_Toc126492577"/>
      <w:bookmarkStart w:id="333" w:name="_Toc126492992"/>
      <w:bookmarkStart w:id="334" w:name="_Toc126570495"/>
      <w:bookmarkStart w:id="335" w:name="_Toc126571803"/>
      <w:bookmarkStart w:id="336" w:name="_Toc126572584"/>
      <w:bookmarkStart w:id="337" w:name="_Toc126575218"/>
      <w:bookmarkStart w:id="338" w:name="_Toc126575895"/>
      <w:bookmarkStart w:id="339" w:name="_Toc126576770"/>
      <w:bookmarkStart w:id="340" w:name="_Toc252093979"/>
      <w:bookmarkStart w:id="341" w:name="_Toc252365375"/>
      <w:bookmarkStart w:id="342" w:name="_Toc252365634"/>
      <w:bookmarkStart w:id="343" w:name="_Toc252366179"/>
      <w:r>
        <w:rPr>
          <w:rFonts w:ascii="Times New Roman" w:hAnsi="Times New Roman"/>
          <w:color w:val="auto"/>
          <w:sz w:val="24"/>
          <w:szCs w:val="24"/>
        </w:rPr>
        <w:t>Les e</w:t>
      </w:r>
      <w:r w:rsidRPr="00526CFC">
        <w:rPr>
          <w:rFonts w:ascii="Times New Roman" w:hAnsi="Times New Roman"/>
          <w:color w:val="auto"/>
          <w:sz w:val="24"/>
          <w:szCs w:val="24"/>
        </w:rPr>
        <w:t>xigences</w:t>
      </w:r>
      <w:r w:rsidR="008A1C6B" w:rsidRPr="00526CFC">
        <w:rPr>
          <w:rFonts w:ascii="Times New Roman" w:hAnsi="Times New Roman"/>
          <w:color w:val="auto"/>
          <w:sz w:val="24"/>
          <w:szCs w:val="24"/>
        </w:rPr>
        <w:t xml:space="preserve"> écologiques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8A1C6B" w:rsidRPr="00773A0E" w:rsidRDefault="008A1C6B" w:rsidP="0056572B">
      <w:pPr>
        <w:widowControl w:val="0"/>
        <w:autoSpaceDE w:val="0"/>
        <w:autoSpaceDN w:val="0"/>
        <w:adjustRightInd w:val="0"/>
        <w:spacing w:before="240" w:after="100" w:line="360" w:lineRule="auto"/>
        <w:ind w:firstLine="284"/>
        <w:rPr>
          <w:rFonts w:ascii="Times New Roman" w:hAnsi="Times New Roman" w:cs="Times New Roman"/>
          <w:sz w:val="24"/>
          <w:szCs w:val="24"/>
        </w:rPr>
      </w:pPr>
      <w:r w:rsidRPr="00773A0E">
        <w:rPr>
          <w:rFonts w:ascii="Times New Roman" w:hAnsi="Times New Roman" w:cs="Times New Roman"/>
          <w:sz w:val="24"/>
          <w:szCs w:val="24"/>
        </w:rPr>
        <w:t xml:space="preserve">D’après </w:t>
      </w:r>
      <w:r w:rsidRPr="00CD0473">
        <w:rPr>
          <w:rFonts w:ascii="Times New Roman" w:hAnsi="Times New Roman" w:cs="Times New Roman"/>
          <w:sz w:val="24"/>
          <w:szCs w:val="24"/>
        </w:rPr>
        <w:t>MOKKEDEM (2004a), le</w:t>
      </w:r>
      <w:r w:rsidRPr="00773A0E">
        <w:rPr>
          <w:rFonts w:ascii="Times New Roman" w:hAnsi="Times New Roman" w:cs="Times New Roman"/>
          <w:sz w:val="24"/>
          <w:szCs w:val="24"/>
        </w:rPr>
        <w:t xml:space="preserve"> </w:t>
      </w:r>
      <w:r>
        <w:rPr>
          <w:rFonts w:ascii="Times New Roman" w:hAnsi="Times New Roman" w:cs="Times New Roman"/>
          <w:sz w:val="24"/>
          <w:szCs w:val="24"/>
        </w:rPr>
        <w:t>F</w:t>
      </w:r>
      <w:r w:rsidRPr="00773A0E">
        <w:rPr>
          <w:rFonts w:ascii="Times New Roman" w:hAnsi="Times New Roman" w:cs="Times New Roman"/>
          <w:sz w:val="24"/>
          <w:szCs w:val="24"/>
        </w:rPr>
        <w:t>enugrec convient à tous les types de climat en Algérie.</w:t>
      </w:r>
    </w:p>
    <w:p w:rsidR="008A1C6B" w:rsidRPr="00773A0E" w:rsidRDefault="008A1C6B" w:rsidP="0056572B">
      <w:pPr>
        <w:widowControl w:val="0"/>
        <w:autoSpaceDE w:val="0"/>
        <w:autoSpaceDN w:val="0"/>
        <w:adjustRightInd w:val="0"/>
        <w:spacing w:before="240" w:after="100" w:line="360" w:lineRule="auto"/>
        <w:rPr>
          <w:rFonts w:ascii="Times New Roman" w:hAnsi="Times New Roman" w:cs="Times New Roman"/>
          <w:sz w:val="24"/>
          <w:szCs w:val="24"/>
        </w:rPr>
      </w:pPr>
      <w:r w:rsidRPr="00773A0E">
        <w:rPr>
          <w:rFonts w:ascii="Times New Roman" w:hAnsi="Times New Roman" w:cs="Times New Roman"/>
          <w:sz w:val="24"/>
          <w:szCs w:val="24"/>
        </w:rPr>
        <w:t>Elle demande des terres légères, silico-argileuses et argilo-calcaires et craint les sols lo</w:t>
      </w:r>
      <w:r>
        <w:rPr>
          <w:rFonts w:ascii="Times New Roman" w:hAnsi="Times New Roman" w:cs="Times New Roman"/>
          <w:sz w:val="24"/>
          <w:szCs w:val="24"/>
        </w:rPr>
        <w:t>urds, gorgés d'eau et d'acides.</w:t>
      </w:r>
    </w:p>
    <w:p w:rsidR="008A1C6B" w:rsidRPr="00B8145D" w:rsidRDefault="00CD2B3E" w:rsidP="0056572B">
      <w:pPr>
        <w:pStyle w:val="Titre2"/>
        <w:numPr>
          <w:ilvl w:val="2"/>
          <w:numId w:val="7"/>
        </w:numPr>
        <w:spacing w:before="240" w:after="240" w:line="360" w:lineRule="auto"/>
        <w:rPr>
          <w:rFonts w:ascii="Times New Roman" w:hAnsi="Times New Roman"/>
          <w:color w:val="auto"/>
          <w:sz w:val="24"/>
          <w:szCs w:val="24"/>
        </w:rPr>
      </w:pPr>
      <w:bookmarkStart w:id="344" w:name="_Toc126570496"/>
      <w:bookmarkStart w:id="345" w:name="_Toc126571804"/>
      <w:bookmarkStart w:id="346" w:name="_Toc126572585"/>
      <w:bookmarkStart w:id="347" w:name="_Toc126575219"/>
      <w:bookmarkStart w:id="348" w:name="_Toc126575896"/>
      <w:bookmarkStart w:id="349" w:name="_Toc126576771"/>
      <w:bookmarkStart w:id="350" w:name="_Toc252093980"/>
      <w:bookmarkStart w:id="351" w:name="_Toc252365376"/>
      <w:bookmarkStart w:id="352" w:name="_Toc252365635"/>
      <w:bookmarkStart w:id="353" w:name="_Toc252366180"/>
      <w:r>
        <w:rPr>
          <w:rFonts w:ascii="Times New Roman" w:hAnsi="Times New Roman"/>
          <w:color w:val="auto"/>
          <w:sz w:val="24"/>
          <w:szCs w:val="24"/>
        </w:rPr>
        <w:t>Les e</w:t>
      </w:r>
      <w:r w:rsidR="008A1C6B" w:rsidRPr="00B8145D">
        <w:rPr>
          <w:rFonts w:ascii="Times New Roman" w:hAnsi="Times New Roman"/>
          <w:color w:val="auto"/>
          <w:sz w:val="24"/>
          <w:szCs w:val="24"/>
        </w:rPr>
        <w:t>xigences culturales</w:t>
      </w:r>
      <w:bookmarkEnd w:id="344"/>
      <w:bookmarkEnd w:id="345"/>
      <w:bookmarkEnd w:id="346"/>
      <w:bookmarkEnd w:id="347"/>
      <w:bookmarkEnd w:id="348"/>
      <w:bookmarkEnd w:id="349"/>
      <w:bookmarkEnd w:id="350"/>
      <w:bookmarkEnd w:id="351"/>
      <w:bookmarkEnd w:id="352"/>
      <w:bookmarkEnd w:id="353"/>
    </w:p>
    <w:p w:rsidR="008A1C6B" w:rsidRPr="00773A0E" w:rsidRDefault="008A1C6B" w:rsidP="0056572B">
      <w:pPr>
        <w:numPr>
          <w:ilvl w:val="0"/>
          <w:numId w:val="1"/>
        </w:num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Préparation du sol </w:t>
      </w:r>
    </w:p>
    <w:p w:rsidR="008A1C6B" w:rsidRPr="00320C62" w:rsidRDefault="008A1C6B" w:rsidP="0056572B">
      <w:pPr>
        <w:spacing w:before="240" w:line="360" w:lineRule="auto"/>
        <w:ind w:firstLine="284"/>
        <w:jc w:val="lowKashida"/>
        <w:rPr>
          <w:rFonts w:ascii="Times New Roman" w:hAnsi="Times New Roman" w:cs="Times New Roman"/>
          <w:sz w:val="24"/>
          <w:szCs w:val="24"/>
        </w:rPr>
      </w:pPr>
      <w:r w:rsidRPr="00320C62">
        <w:rPr>
          <w:rFonts w:ascii="Times New Roman" w:hAnsi="Times New Roman" w:cs="Times New Roman"/>
          <w:sz w:val="24"/>
          <w:szCs w:val="24"/>
        </w:rPr>
        <w:t xml:space="preserve">Un labour moyen  de 30 à 40 cm doit être effectué avant la culture, il sera suivi d’un disquage pour ameublir et aplanir le </w:t>
      </w:r>
      <w:r w:rsidR="00FD53D2" w:rsidRPr="00320C62">
        <w:rPr>
          <w:rFonts w:ascii="Times New Roman" w:hAnsi="Times New Roman" w:cs="Times New Roman"/>
          <w:sz w:val="24"/>
          <w:szCs w:val="24"/>
        </w:rPr>
        <w:t>sol</w:t>
      </w:r>
      <w:r w:rsidR="00FD53D2" w:rsidRPr="00CD0473">
        <w:rPr>
          <w:rFonts w:ascii="Times New Roman" w:hAnsi="Times New Roman" w:cs="Times New Roman"/>
          <w:sz w:val="24"/>
          <w:szCs w:val="24"/>
        </w:rPr>
        <w:t xml:space="preserve"> (MOKKEDEM, 2004a</w:t>
      </w:r>
      <w:r w:rsidR="00FD53D2">
        <w:rPr>
          <w:rFonts w:ascii="Times New Roman" w:hAnsi="Times New Roman" w:cs="Times New Roman"/>
          <w:sz w:val="24"/>
          <w:szCs w:val="24"/>
        </w:rPr>
        <w:t>)</w:t>
      </w:r>
      <w:r w:rsidRPr="00320C62">
        <w:rPr>
          <w:rFonts w:ascii="Times New Roman" w:hAnsi="Times New Roman" w:cs="Times New Roman"/>
          <w:sz w:val="24"/>
          <w:szCs w:val="24"/>
        </w:rPr>
        <w:t>.</w:t>
      </w:r>
    </w:p>
    <w:p w:rsidR="008A1C6B" w:rsidRPr="00773A0E" w:rsidRDefault="008A1C6B" w:rsidP="0056572B">
      <w:pPr>
        <w:numPr>
          <w:ilvl w:val="0"/>
          <w:numId w:val="1"/>
        </w:numPr>
        <w:spacing w:before="240" w:line="360" w:lineRule="auto"/>
        <w:jc w:val="lowKashida"/>
        <w:rPr>
          <w:rFonts w:ascii="Times New Roman" w:hAnsi="Times New Roman" w:cs="Times New Roman"/>
          <w:sz w:val="24"/>
          <w:szCs w:val="24"/>
        </w:rPr>
      </w:pPr>
      <w:r w:rsidRPr="00773A0E">
        <w:rPr>
          <w:rFonts w:ascii="Times New Roman" w:hAnsi="Times New Roman" w:cs="Times New Roman"/>
          <w:b/>
          <w:bCs/>
          <w:sz w:val="24"/>
          <w:szCs w:val="24"/>
        </w:rPr>
        <w:t>Dose de semis </w:t>
      </w:r>
    </w:p>
    <w:p w:rsidR="008A1C6B" w:rsidRPr="00773A0E" w:rsidRDefault="008A1C6B" w:rsidP="0056572B">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La dose de semis </w:t>
      </w:r>
      <w:r w:rsidRPr="00320C62">
        <w:rPr>
          <w:rFonts w:ascii="Times New Roman" w:hAnsi="Times New Roman" w:cs="Times New Roman"/>
          <w:sz w:val="24"/>
          <w:szCs w:val="24"/>
        </w:rPr>
        <w:t>recommandée à l’hectare</w:t>
      </w:r>
      <w:r w:rsidRPr="00773A0E">
        <w:rPr>
          <w:rFonts w:ascii="Times New Roman" w:hAnsi="Times New Roman" w:cs="Times New Roman"/>
          <w:sz w:val="24"/>
          <w:szCs w:val="24"/>
        </w:rPr>
        <w:t xml:space="preserve"> est de 30 à </w:t>
      </w:r>
      <w:smartTag w:uri="urn:schemas-microsoft-com:office:smarttags" w:element="metricconverter">
        <w:smartTagPr>
          <w:attr w:name="ProductID" w:val="40 Kg"/>
        </w:smartTagPr>
        <w:r w:rsidRPr="00773A0E">
          <w:rPr>
            <w:rFonts w:ascii="Times New Roman" w:hAnsi="Times New Roman" w:cs="Times New Roman"/>
            <w:sz w:val="24"/>
            <w:szCs w:val="24"/>
          </w:rPr>
          <w:t>40 Kg</w:t>
        </w:r>
      </w:smartTag>
      <w:r w:rsidRPr="00CD0473">
        <w:rPr>
          <w:rFonts w:ascii="Times New Roman" w:hAnsi="Times New Roman" w:cs="Times New Roman"/>
          <w:sz w:val="24"/>
          <w:szCs w:val="24"/>
        </w:rPr>
        <w:t>. (MOKKEDEM, 2004a et 2004c)</w:t>
      </w:r>
    </w:p>
    <w:p w:rsidR="008A1C6B" w:rsidRPr="00773A0E" w:rsidRDefault="008A1C6B" w:rsidP="0056572B">
      <w:pPr>
        <w:numPr>
          <w:ilvl w:val="0"/>
          <w:numId w:val="1"/>
        </w:numPr>
        <w:spacing w:before="240" w:line="360" w:lineRule="auto"/>
        <w:jc w:val="lowKashida"/>
        <w:rPr>
          <w:rFonts w:ascii="Times New Roman" w:hAnsi="Times New Roman" w:cs="Times New Roman"/>
          <w:sz w:val="24"/>
          <w:szCs w:val="24"/>
        </w:rPr>
      </w:pPr>
      <w:r w:rsidRPr="00773A0E">
        <w:rPr>
          <w:rFonts w:ascii="Times New Roman" w:hAnsi="Times New Roman" w:cs="Times New Roman"/>
          <w:b/>
          <w:bCs/>
          <w:sz w:val="24"/>
          <w:szCs w:val="24"/>
        </w:rPr>
        <w:t>Epoque de semis </w:t>
      </w:r>
    </w:p>
    <w:p w:rsidR="008A1C6B" w:rsidRDefault="008A1C6B" w:rsidP="0056572B">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Le semis s’effectue d’octobre à décembre</w:t>
      </w:r>
      <w:r w:rsidR="00FD53D2">
        <w:rPr>
          <w:rFonts w:ascii="Times New Roman" w:hAnsi="Times New Roman" w:cs="Times New Roman"/>
          <w:sz w:val="24"/>
          <w:szCs w:val="24"/>
        </w:rPr>
        <w:t xml:space="preserve"> </w:t>
      </w:r>
      <w:r w:rsidR="00FD53D2" w:rsidRPr="00CD0473">
        <w:rPr>
          <w:rFonts w:ascii="Times New Roman" w:hAnsi="Times New Roman" w:cs="Times New Roman"/>
          <w:sz w:val="24"/>
          <w:szCs w:val="24"/>
        </w:rPr>
        <w:t>(MOKKEDEM, 2004a</w:t>
      </w:r>
      <w:r w:rsidR="00FD53D2">
        <w:rPr>
          <w:rFonts w:ascii="Times New Roman" w:hAnsi="Times New Roman" w:cs="Times New Roman"/>
          <w:sz w:val="24"/>
          <w:szCs w:val="24"/>
        </w:rPr>
        <w:t>)</w:t>
      </w:r>
      <w:r w:rsidRPr="00773A0E">
        <w:rPr>
          <w:rFonts w:ascii="Times New Roman" w:hAnsi="Times New Roman" w:cs="Times New Roman"/>
          <w:sz w:val="24"/>
          <w:szCs w:val="24"/>
        </w:rPr>
        <w:t>.</w:t>
      </w:r>
    </w:p>
    <w:p w:rsidR="00C21963" w:rsidRDefault="00C21963" w:rsidP="0056572B">
      <w:pPr>
        <w:spacing w:before="240" w:line="360" w:lineRule="auto"/>
        <w:ind w:firstLine="284"/>
        <w:jc w:val="lowKashida"/>
        <w:rPr>
          <w:rFonts w:ascii="Times New Roman" w:hAnsi="Times New Roman" w:cs="Times New Roman"/>
          <w:sz w:val="24"/>
          <w:szCs w:val="24"/>
        </w:rPr>
      </w:pPr>
    </w:p>
    <w:p w:rsidR="00C21963" w:rsidRDefault="00C21963" w:rsidP="0056572B">
      <w:pPr>
        <w:spacing w:before="240" w:line="360" w:lineRule="auto"/>
        <w:ind w:firstLine="284"/>
        <w:jc w:val="lowKashida"/>
        <w:rPr>
          <w:rFonts w:ascii="Times New Roman" w:hAnsi="Times New Roman" w:cs="Times New Roman"/>
          <w:sz w:val="24"/>
          <w:szCs w:val="24"/>
        </w:rPr>
      </w:pPr>
    </w:p>
    <w:p w:rsidR="008A1C6B" w:rsidRPr="00773A0E" w:rsidRDefault="008A1C6B" w:rsidP="0056572B">
      <w:pPr>
        <w:numPr>
          <w:ilvl w:val="0"/>
          <w:numId w:val="1"/>
        </w:numPr>
        <w:spacing w:before="240" w:after="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lastRenderedPageBreak/>
        <w:t>Fumure</w:t>
      </w:r>
    </w:p>
    <w:p w:rsidR="008A1C6B" w:rsidRDefault="008A1C6B" w:rsidP="0056572B">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On </w:t>
      </w:r>
      <w:r w:rsidRPr="00AD08F3">
        <w:rPr>
          <w:rFonts w:ascii="Times New Roman" w:hAnsi="Times New Roman" w:cs="Times New Roman"/>
          <w:sz w:val="24"/>
          <w:szCs w:val="24"/>
        </w:rPr>
        <w:t xml:space="preserve">épand </w:t>
      </w:r>
      <w:smartTag w:uri="urn:schemas-microsoft-com:office:smarttags" w:element="metricconverter">
        <w:smartTagPr>
          <w:attr w:name="ProductID" w:val="40 Kg"/>
        </w:smartTagPr>
        <w:r w:rsidRPr="00773A0E">
          <w:rPr>
            <w:rFonts w:ascii="Times New Roman" w:hAnsi="Times New Roman" w:cs="Times New Roman"/>
            <w:sz w:val="24"/>
            <w:szCs w:val="24"/>
          </w:rPr>
          <w:t>40 Kg</w:t>
        </w:r>
      </w:smartTag>
      <w:r w:rsidRPr="00773A0E">
        <w:rPr>
          <w:rFonts w:ascii="Times New Roman" w:hAnsi="Times New Roman" w:cs="Times New Roman"/>
          <w:sz w:val="24"/>
          <w:szCs w:val="24"/>
        </w:rPr>
        <w:t xml:space="preserve"> à l’hectare d’engrais phopho-potassique 0- 20-25 après le disquage croisé</w:t>
      </w:r>
      <w:r w:rsidR="00FD53D2">
        <w:rPr>
          <w:rFonts w:ascii="Times New Roman" w:hAnsi="Times New Roman" w:cs="Times New Roman"/>
          <w:sz w:val="24"/>
          <w:szCs w:val="24"/>
        </w:rPr>
        <w:t xml:space="preserve"> </w:t>
      </w:r>
      <w:r w:rsidR="00FD53D2" w:rsidRPr="00CD0473">
        <w:rPr>
          <w:rFonts w:ascii="Times New Roman" w:hAnsi="Times New Roman" w:cs="Times New Roman"/>
          <w:sz w:val="24"/>
          <w:szCs w:val="24"/>
        </w:rPr>
        <w:t>(MOKKEDEM, 2004a</w:t>
      </w:r>
      <w:r w:rsidR="00FD53D2">
        <w:rPr>
          <w:rFonts w:ascii="Times New Roman" w:hAnsi="Times New Roman" w:cs="Times New Roman"/>
          <w:sz w:val="24"/>
          <w:szCs w:val="24"/>
        </w:rPr>
        <w:t>)</w:t>
      </w:r>
      <w:r>
        <w:rPr>
          <w:rFonts w:ascii="Times New Roman" w:hAnsi="Times New Roman" w:cs="Times New Roman"/>
          <w:sz w:val="24"/>
          <w:szCs w:val="24"/>
        </w:rPr>
        <w:t>.</w:t>
      </w:r>
    </w:p>
    <w:p w:rsidR="008A1C6B" w:rsidRPr="00881E9B" w:rsidRDefault="008A1C6B" w:rsidP="00881E9B">
      <w:pPr>
        <w:pStyle w:val="Titre2"/>
        <w:numPr>
          <w:ilvl w:val="0"/>
          <w:numId w:val="7"/>
        </w:numPr>
        <w:spacing w:before="240" w:after="240" w:line="360" w:lineRule="auto"/>
        <w:rPr>
          <w:rFonts w:ascii="Times New Roman" w:hAnsi="Times New Roman"/>
          <w:color w:val="auto"/>
          <w:sz w:val="24"/>
          <w:szCs w:val="24"/>
        </w:rPr>
      </w:pPr>
      <w:bookmarkStart w:id="354" w:name="_Toc251855001"/>
      <w:bookmarkStart w:id="355" w:name="_Toc251855411"/>
      <w:bookmarkStart w:id="356" w:name="_Toc126492578"/>
      <w:bookmarkStart w:id="357" w:name="_Toc126492993"/>
      <w:bookmarkStart w:id="358" w:name="_Toc126570497"/>
      <w:bookmarkStart w:id="359" w:name="_Toc126571805"/>
      <w:bookmarkStart w:id="360" w:name="_Toc126572586"/>
      <w:bookmarkStart w:id="361" w:name="_Toc126575220"/>
      <w:bookmarkStart w:id="362" w:name="_Toc126575897"/>
      <w:bookmarkStart w:id="363" w:name="_Toc126576772"/>
      <w:bookmarkStart w:id="364" w:name="_Toc252093981"/>
      <w:bookmarkStart w:id="365" w:name="_Toc252365377"/>
      <w:bookmarkStart w:id="366" w:name="_Toc252365636"/>
      <w:bookmarkStart w:id="367" w:name="_Toc252366181"/>
      <w:r w:rsidRPr="00526CFC">
        <w:rPr>
          <w:rFonts w:ascii="Times New Roman" w:hAnsi="Times New Roman"/>
          <w:color w:val="auto"/>
          <w:sz w:val="24"/>
          <w:szCs w:val="24"/>
        </w:rPr>
        <w:t>Carthame</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8A1C6B"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368" w:name="_Toc252365637"/>
      <w:bookmarkStart w:id="369" w:name="_Toc252366182"/>
      <w:r w:rsidRPr="00C82FD1">
        <w:rPr>
          <w:rFonts w:ascii="Times New Roman" w:hAnsi="Times New Roman"/>
          <w:color w:val="auto"/>
          <w:sz w:val="24"/>
          <w:szCs w:val="24"/>
        </w:rPr>
        <w:t>Classification</w:t>
      </w:r>
      <w:bookmarkEnd w:id="368"/>
      <w:bookmarkEnd w:id="369"/>
    </w:p>
    <w:p w:rsidR="008A1C6B" w:rsidRPr="00773A0E" w:rsidRDefault="008A1C6B" w:rsidP="00E35E9B">
      <w:pPr>
        <w:spacing w:after="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Classe : </w:t>
      </w:r>
      <w:r w:rsidRPr="00773A0E">
        <w:rPr>
          <w:rFonts w:ascii="Times New Roman" w:hAnsi="Times New Roman" w:cs="Times New Roman"/>
          <w:sz w:val="24"/>
          <w:szCs w:val="24"/>
        </w:rPr>
        <w:t>Dicotylédones</w:t>
      </w:r>
    </w:p>
    <w:p w:rsidR="008A1C6B" w:rsidRPr="00773A0E" w:rsidRDefault="008A1C6B" w:rsidP="00E35E9B">
      <w:pPr>
        <w:spacing w:after="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Sous classe : </w:t>
      </w:r>
      <w:r w:rsidRPr="00773A0E">
        <w:rPr>
          <w:rFonts w:ascii="Times New Roman" w:hAnsi="Times New Roman" w:cs="Times New Roman"/>
          <w:sz w:val="24"/>
          <w:szCs w:val="24"/>
        </w:rPr>
        <w:t>Gamopétales</w:t>
      </w:r>
    </w:p>
    <w:p w:rsidR="008A1C6B" w:rsidRPr="00773A0E" w:rsidRDefault="008A1C6B" w:rsidP="00E35E9B">
      <w:pPr>
        <w:spacing w:after="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Ordre : /</w:t>
      </w:r>
    </w:p>
    <w:p w:rsidR="008A1C6B" w:rsidRPr="00773A0E" w:rsidRDefault="008A1C6B" w:rsidP="00E35E9B">
      <w:pPr>
        <w:spacing w:after="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Famille : </w:t>
      </w:r>
      <w:r w:rsidRPr="00773A0E">
        <w:rPr>
          <w:rFonts w:ascii="Times New Roman" w:hAnsi="Times New Roman" w:cs="Times New Roman"/>
          <w:sz w:val="24"/>
          <w:szCs w:val="24"/>
        </w:rPr>
        <w:t xml:space="preserve">Composées (Astéracées)  </w:t>
      </w:r>
    </w:p>
    <w:p w:rsidR="008A1C6B" w:rsidRPr="00773A0E" w:rsidRDefault="008A1C6B" w:rsidP="00E35E9B">
      <w:pPr>
        <w:spacing w:after="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Sous famille : </w:t>
      </w:r>
      <w:r w:rsidRPr="00773A0E">
        <w:rPr>
          <w:rFonts w:ascii="Times New Roman" w:hAnsi="Times New Roman" w:cs="Times New Roman"/>
          <w:sz w:val="24"/>
          <w:szCs w:val="24"/>
        </w:rPr>
        <w:t xml:space="preserve">Radiées  </w:t>
      </w:r>
    </w:p>
    <w:p w:rsidR="008A1C6B" w:rsidRPr="00773A0E" w:rsidRDefault="008A1C6B" w:rsidP="00E35E9B">
      <w:pPr>
        <w:spacing w:after="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Genre :</w:t>
      </w:r>
      <w:r w:rsidRPr="00773A0E">
        <w:rPr>
          <w:rFonts w:ascii="Times New Roman" w:hAnsi="Times New Roman" w:cs="Times New Roman"/>
          <w:b/>
          <w:bCs/>
          <w:i/>
          <w:iCs/>
          <w:sz w:val="24"/>
          <w:szCs w:val="24"/>
        </w:rPr>
        <w:t xml:space="preserve"> </w:t>
      </w:r>
      <w:r w:rsidRPr="009C72F8">
        <w:rPr>
          <w:rFonts w:ascii="Times New Roman" w:hAnsi="Times New Roman" w:cs="Times New Roman"/>
          <w:i/>
          <w:iCs/>
          <w:sz w:val="24"/>
          <w:szCs w:val="24"/>
        </w:rPr>
        <w:t>Carthamus</w:t>
      </w:r>
    </w:p>
    <w:p w:rsidR="008A1C6B" w:rsidRPr="00773A0E" w:rsidRDefault="008A1C6B" w:rsidP="00E35E9B">
      <w:pPr>
        <w:spacing w:after="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Espèce : </w:t>
      </w:r>
      <w:r w:rsidRPr="00773A0E">
        <w:rPr>
          <w:rFonts w:ascii="Times New Roman" w:hAnsi="Times New Roman" w:cs="Times New Roman"/>
          <w:i/>
          <w:iCs/>
          <w:sz w:val="24"/>
          <w:szCs w:val="24"/>
        </w:rPr>
        <w:t>Carthamus tinctorius</w:t>
      </w:r>
      <w:r w:rsidRPr="00773A0E">
        <w:rPr>
          <w:rFonts w:ascii="Times New Roman" w:hAnsi="Times New Roman" w:cs="Times New Roman"/>
          <w:sz w:val="24"/>
          <w:szCs w:val="24"/>
        </w:rPr>
        <w:t xml:space="preserve"> L.</w:t>
      </w:r>
    </w:p>
    <w:p w:rsidR="008A1C6B" w:rsidRPr="00320C62" w:rsidRDefault="008A1C6B" w:rsidP="00E35E9B">
      <w:pPr>
        <w:spacing w:after="240" w:line="360" w:lineRule="auto"/>
        <w:jc w:val="lowKashida"/>
        <w:rPr>
          <w:rFonts w:ascii="Times New Roman" w:hAnsi="Times New Roman" w:cs="Times New Roman"/>
          <w:sz w:val="24"/>
          <w:szCs w:val="24"/>
        </w:rPr>
      </w:pPr>
      <w:r w:rsidRPr="00320C62">
        <w:rPr>
          <w:rFonts w:ascii="Times New Roman" w:hAnsi="Times New Roman" w:cs="Times New Roman"/>
          <w:b/>
          <w:bCs/>
          <w:sz w:val="24"/>
          <w:szCs w:val="24"/>
        </w:rPr>
        <w:t xml:space="preserve">Nom latin : </w:t>
      </w:r>
      <w:r w:rsidRPr="00320C62">
        <w:rPr>
          <w:rFonts w:ascii="Times New Roman" w:hAnsi="Times New Roman" w:cs="Times New Roman"/>
          <w:sz w:val="24"/>
          <w:szCs w:val="24"/>
        </w:rPr>
        <w:t>Faux safran, Safran mexicain, carthame des teinturiers, Safran bâtard, Graine des perroquets</w:t>
      </w:r>
    </w:p>
    <w:p w:rsidR="008A1C6B" w:rsidRPr="00320C62" w:rsidRDefault="008A1C6B" w:rsidP="00E35E9B">
      <w:pPr>
        <w:spacing w:after="240" w:line="360" w:lineRule="auto"/>
        <w:jc w:val="lowKashida"/>
        <w:rPr>
          <w:rFonts w:ascii="Times New Roman" w:hAnsi="Times New Roman" w:cs="Times New Roman"/>
          <w:sz w:val="24"/>
          <w:szCs w:val="24"/>
        </w:rPr>
      </w:pPr>
      <w:r w:rsidRPr="00320C62">
        <w:rPr>
          <w:rFonts w:ascii="Times New Roman" w:hAnsi="Times New Roman" w:cs="Times New Roman"/>
          <w:b/>
          <w:bCs/>
          <w:sz w:val="24"/>
          <w:szCs w:val="24"/>
        </w:rPr>
        <w:t>Nom vernaculaire arabe</w:t>
      </w:r>
      <w:r w:rsidRPr="00320C62">
        <w:rPr>
          <w:rFonts w:ascii="Times New Roman" w:hAnsi="Times New Roman" w:cs="Times New Roman"/>
          <w:sz w:val="24"/>
          <w:szCs w:val="24"/>
        </w:rPr>
        <w:t> : Zaâfer</w:t>
      </w:r>
    </w:p>
    <w:p w:rsidR="008A1C6B"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370" w:name="_Toc252365638"/>
      <w:bookmarkStart w:id="371" w:name="_Toc252366183"/>
      <w:r w:rsidRPr="00C82FD1">
        <w:rPr>
          <w:rFonts w:ascii="Times New Roman" w:hAnsi="Times New Roman"/>
          <w:color w:val="auto"/>
          <w:sz w:val="24"/>
          <w:szCs w:val="24"/>
        </w:rPr>
        <w:t>Origine et aire de répartition</w:t>
      </w:r>
      <w:bookmarkEnd w:id="370"/>
      <w:bookmarkEnd w:id="371"/>
      <w:r w:rsidRPr="00C82FD1">
        <w:rPr>
          <w:rFonts w:ascii="Times New Roman" w:hAnsi="Times New Roman"/>
          <w:color w:val="auto"/>
          <w:sz w:val="24"/>
          <w:szCs w:val="24"/>
        </w:rPr>
        <w:t xml:space="preserve"> </w:t>
      </w:r>
    </w:p>
    <w:p w:rsidR="008A1C6B" w:rsidRPr="00320C62" w:rsidRDefault="008A1C6B" w:rsidP="00E35E9B">
      <w:pPr>
        <w:spacing w:after="240" w:line="360" w:lineRule="auto"/>
        <w:ind w:firstLine="284"/>
        <w:jc w:val="lowKashida"/>
        <w:rPr>
          <w:rFonts w:ascii="Times New Roman" w:hAnsi="Times New Roman" w:cs="Times New Roman"/>
          <w:sz w:val="24"/>
          <w:szCs w:val="24"/>
        </w:rPr>
      </w:pPr>
      <w:r w:rsidRPr="00320C62">
        <w:rPr>
          <w:rFonts w:ascii="Times New Roman" w:hAnsi="Times New Roman" w:cs="Times New Roman"/>
          <w:sz w:val="24"/>
          <w:szCs w:val="24"/>
        </w:rPr>
        <w:t xml:space="preserve">Le Carthame est originaire du Moyen-Orient et d’Asie du Sud (MÜNDEL, 2004). Il est cultivé </w:t>
      </w:r>
      <w:r w:rsidRPr="00CD0473">
        <w:rPr>
          <w:rFonts w:ascii="Times New Roman" w:hAnsi="Times New Roman" w:cs="Times New Roman"/>
          <w:sz w:val="24"/>
          <w:szCs w:val="24"/>
        </w:rPr>
        <w:t>notamment en Turquie, en Egypte et en Afrique du Nord (GIRRE, 2001), au Mexique, en Inde et aux États-Unis (LAFFITTE, 1999).</w:t>
      </w:r>
    </w:p>
    <w:p w:rsidR="008A1C6B"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372" w:name="_Toc252365639"/>
      <w:bookmarkStart w:id="373" w:name="_Toc252366184"/>
      <w:r w:rsidRPr="00C82FD1">
        <w:rPr>
          <w:rFonts w:ascii="Times New Roman" w:hAnsi="Times New Roman"/>
          <w:color w:val="auto"/>
          <w:sz w:val="24"/>
          <w:szCs w:val="24"/>
        </w:rPr>
        <w:t>Description</w:t>
      </w:r>
      <w:bookmarkEnd w:id="372"/>
      <w:bookmarkEnd w:id="373"/>
    </w:p>
    <w:p w:rsidR="00E24B0B" w:rsidRDefault="008A1C6B" w:rsidP="00E35E9B">
      <w:pPr>
        <w:spacing w:after="240" w:line="360" w:lineRule="auto"/>
        <w:ind w:firstLine="284"/>
        <w:jc w:val="lowKashida"/>
        <w:rPr>
          <w:rFonts w:ascii="Times New Roman" w:hAnsi="Times New Roman" w:cs="Times New Roman"/>
          <w:sz w:val="24"/>
          <w:szCs w:val="24"/>
        </w:rPr>
      </w:pPr>
      <w:r w:rsidRPr="00320C62">
        <w:rPr>
          <w:rFonts w:ascii="Times New Roman" w:hAnsi="Times New Roman" w:cs="Times New Roman"/>
          <w:sz w:val="24"/>
          <w:szCs w:val="24"/>
        </w:rPr>
        <w:t xml:space="preserve">Le carthame est une plante annuelle, à tige droite, ramifiée à son sommet, de 60 à </w:t>
      </w:r>
      <w:smartTag w:uri="urn:schemas-microsoft-com:office:smarttags" w:element="metricconverter">
        <w:smartTagPr>
          <w:attr w:name="ProductID" w:val="80 cm"/>
        </w:smartTagPr>
        <w:r w:rsidRPr="00320C62">
          <w:rPr>
            <w:rFonts w:ascii="Times New Roman" w:hAnsi="Times New Roman" w:cs="Times New Roman"/>
            <w:sz w:val="24"/>
            <w:szCs w:val="24"/>
          </w:rPr>
          <w:t>80 cm</w:t>
        </w:r>
      </w:smartTag>
      <w:r w:rsidRPr="00320C62">
        <w:rPr>
          <w:rFonts w:ascii="Times New Roman" w:hAnsi="Times New Roman" w:cs="Times New Roman"/>
          <w:sz w:val="24"/>
          <w:szCs w:val="24"/>
        </w:rPr>
        <w:t xml:space="preserve"> de hauteur. Les feuilles alternes, sont coriaces et épineuses. Les inflorescences sont des capitules terminaux piriformes (Fig. 07). Les fleurs contiennent deux matières colorantes : l’une jaune, soluble dans l’eau et l’autre rouge, insoluble dans l’eau, peu soluble dans l’alcool et qui peut être employée pour teindre les étoffes de soie ou de coton (LAROUSSE, 1981). Les graines sont blanches et luisantes, elles mûrissent en </w:t>
      </w:r>
      <w:r w:rsidRPr="00CD0473">
        <w:rPr>
          <w:rFonts w:ascii="Times New Roman" w:hAnsi="Times New Roman" w:cs="Times New Roman"/>
          <w:sz w:val="24"/>
          <w:szCs w:val="24"/>
        </w:rPr>
        <w:t>été (MESSOUDI, 2005).</w:t>
      </w:r>
    </w:p>
    <w:p w:rsidR="008A1C6B" w:rsidRPr="00E24B0B" w:rsidRDefault="008A1C6B" w:rsidP="00E35E9B">
      <w:pPr>
        <w:spacing w:after="240" w:line="360" w:lineRule="auto"/>
        <w:jc w:val="center"/>
        <w:rPr>
          <w:rFonts w:ascii="Times New Roman" w:hAnsi="Times New Roman" w:cs="Times New Roman"/>
          <w:sz w:val="24"/>
          <w:szCs w:val="24"/>
        </w:rPr>
      </w:pPr>
    </w:p>
    <w:p w:rsidR="00B16C26" w:rsidRDefault="008A1C6B" w:rsidP="00E35E9B">
      <w:pPr>
        <w:keepNext/>
        <w:spacing w:after="240" w:line="360" w:lineRule="auto"/>
        <w:jc w:val="center"/>
        <w:outlineLvl w:val="0"/>
      </w:pPr>
      <w:r>
        <w:rPr>
          <w:noProof/>
        </w:rPr>
        <w:drawing>
          <wp:inline distT="0" distB="0" distL="0" distR="0">
            <wp:extent cx="1835856" cy="1916377"/>
            <wp:effectExtent l="38100" t="0" r="11994" b="579173"/>
            <wp:docPr id="12" name="Image 15" descr="C:\Documents and Settings\lahmadi\Bureau\védio1\DSC072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Documents and Settings\lahmadi\Bureau\védio1\DSC07277.JPG"/>
                    <pic:cNvPicPr>
                      <a:picLocks noChangeAspect="1" noChangeArrowheads="1"/>
                    </pic:cNvPicPr>
                  </pic:nvPicPr>
                  <pic:blipFill>
                    <a:blip r:embed="rId42" cstate="print"/>
                    <a:srcRect/>
                    <a:stretch>
                      <a:fillRect/>
                    </a:stretch>
                  </pic:blipFill>
                  <pic:spPr bwMode="auto">
                    <a:xfrm>
                      <a:off x="0" y="0"/>
                      <a:ext cx="1839089" cy="19197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2123777" cy="1914455"/>
            <wp:effectExtent l="38100" t="0" r="9823" b="562045"/>
            <wp:docPr id="13" name="Image 6" descr="DSC05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SC05912"/>
                    <pic:cNvPicPr>
                      <a:picLocks noChangeAspect="1" noChangeArrowheads="1"/>
                    </pic:cNvPicPr>
                  </pic:nvPicPr>
                  <pic:blipFill>
                    <a:blip r:embed="rId43" cstate="print"/>
                    <a:srcRect/>
                    <a:stretch>
                      <a:fillRect/>
                    </a:stretch>
                  </pic:blipFill>
                  <pic:spPr bwMode="auto">
                    <a:xfrm>
                      <a:off x="0" y="0"/>
                      <a:ext cx="2129653" cy="19197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2056644" cy="1913906"/>
            <wp:effectExtent l="38100" t="0" r="19806" b="562594"/>
            <wp:docPr id="14" name="Image 10" descr="DSC01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SC01690"/>
                    <pic:cNvPicPr>
                      <a:picLocks noChangeAspect="1" noChangeArrowheads="1"/>
                    </pic:cNvPicPr>
                  </pic:nvPicPr>
                  <pic:blipFill>
                    <a:blip r:embed="rId44" cstate="print"/>
                    <a:srcRect/>
                    <a:stretch>
                      <a:fillRect/>
                    </a:stretch>
                  </pic:blipFill>
                  <pic:spPr bwMode="auto">
                    <a:xfrm>
                      <a:off x="0" y="0"/>
                      <a:ext cx="2056644" cy="1913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374" w:name="_Toc251855002"/>
      <w:bookmarkStart w:id="375" w:name="_Toc251855412"/>
    </w:p>
    <w:p w:rsidR="00E24B0B" w:rsidRPr="00E35E9B" w:rsidRDefault="00B16C26" w:rsidP="00E35E9B">
      <w:pPr>
        <w:pStyle w:val="Lgende"/>
        <w:spacing w:after="240" w:line="360" w:lineRule="auto"/>
        <w:jc w:val="center"/>
        <w:rPr>
          <w:rFonts w:asciiTheme="majorBidi" w:hAnsiTheme="majorBidi" w:cstheme="majorBidi"/>
          <w:color w:val="auto"/>
          <w:sz w:val="24"/>
          <w:szCs w:val="24"/>
        </w:rPr>
      </w:pPr>
      <w:bookmarkStart w:id="376" w:name="_Toc252194944"/>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7</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:Carthame : aspect de la plante entière au stade floraison, graines et capitule fleuri (Images d’origines).</w:t>
      </w:r>
      <w:bookmarkEnd w:id="374"/>
      <w:bookmarkEnd w:id="375"/>
      <w:bookmarkEnd w:id="376"/>
    </w:p>
    <w:p w:rsidR="008A1C6B"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377" w:name="_Toc252365640"/>
      <w:bookmarkStart w:id="378" w:name="_Toc252366185"/>
      <w:r w:rsidRPr="00C82FD1">
        <w:rPr>
          <w:rFonts w:ascii="Times New Roman" w:hAnsi="Times New Roman"/>
          <w:color w:val="auto"/>
          <w:sz w:val="24"/>
          <w:szCs w:val="24"/>
        </w:rPr>
        <w:t>Propriété et usage</w:t>
      </w:r>
      <w:bookmarkEnd w:id="377"/>
      <w:bookmarkEnd w:id="378"/>
      <w:r w:rsidRPr="00C82FD1">
        <w:rPr>
          <w:rFonts w:ascii="Times New Roman" w:hAnsi="Times New Roman"/>
          <w:color w:val="auto"/>
          <w:sz w:val="24"/>
          <w:szCs w:val="24"/>
        </w:rPr>
        <w:t> </w:t>
      </w:r>
    </w:p>
    <w:p w:rsidR="008A1C6B" w:rsidRPr="00773A0E" w:rsidRDefault="008A1C6B" w:rsidP="00E35E9B">
      <w:pPr>
        <w:spacing w:before="240" w:after="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Le </w:t>
      </w:r>
      <w:r w:rsidRPr="00C833F4">
        <w:rPr>
          <w:rFonts w:ascii="Times New Roman" w:hAnsi="Times New Roman" w:cs="Times New Roman"/>
          <w:sz w:val="24"/>
          <w:szCs w:val="24"/>
        </w:rPr>
        <w:t>Carthame a des propriétés adoucissantes, purgatives, laxatives, sudorifiques. Ses f</w:t>
      </w:r>
      <w:r>
        <w:rPr>
          <w:rFonts w:ascii="Times New Roman" w:hAnsi="Times New Roman" w:cs="Times New Roman"/>
          <w:sz w:val="24"/>
          <w:szCs w:val="24"/>
        </w:rPr>
        <w:t xml:space="preserve">leurs </w:t>
      </w:r>
      <w:r w:rsidRPr="00C833F4">
        <w:rPr>
          <w:rFonts w:ascii="Times New Roman" w:hAnsi="Times New Roman" w:cs="Times New Roman"/>
          <w:sz w:val="24"/>
          <w:szCs w:val="24"/>
        </w:rPr>
        <w:t>servent à parfumer les fromages, le pain et sont ajoutées</w:t>
      </w:r>
      <w:r w:rsidRPr="00773A0E">
        <w:rPr>
          <w:rFonts w:ascii="Times New Roman" w:hAnsi="Times New Roman" w:cs="Times New Roman"/>
          <w:sz w:val="24"/>
          <w:szCs w:val="24"/>
        </w:rPr>
        <w:t xml:space="preserve"> comme condiment aux légumes (LAROUSSE, 1981</w:t>
      </w:r>
      <w:r>
        <w:rPr>
          <w:rFonts w:ascii="Times New Roman" w:hAnsi="Times New Roman" w:cs="Times New Roman"/>
          <w:sz w:val="24"/>
          <w:szCs w:val="24"/>
        </w:rPr>
        <w:t> ;</w:t>
      </w:r>
      <w:r w:rsidRPr="00773A0E">
        <w:rPr>
          <w:rFonts w:ascii="Times New Roman" w:hAnsi="Times New Roman" w:cs="Times New Roman"/>
          <w:sz w:val="24"/>
          <w:szCs w:val="24"/>
        </w:rPr>
        <w:t>)</w:t>
      </w:r>
      <w:r>
        <w:rPr>
          <w:rFonts w:ascii="Times New Roman" w:hAnsi="Times New Roman" w:cs="Times New Roman"/>
          <w:sz w:val="24"/>
          <w:szCs w:val="24"/>
        </w:rPr>
        <w:t>.</w:t>
      </w:r>
      <w:r w:rsidRPr="00773A0E">
        <w:rPr>
          <w:rFonts w:ascii="Times New Roman" w:hAnsi="Times New Roman" w:cs="Times New Roman"/>
          <w:sz w:val="24"/>
          <w:szCs w:val="24"/>
        </w:rPr>
        <w:t xml:space="preserve"> Les feuilles </w:t>
      </w:r>
      <w:r>
        <w:rPr>
          <w:rFonts w:ascii="Times New Roman" w:hAnsi="Times New Roman" w:cs="Times New Roman"/>
          <w:sz w:val="24"/>
          <w:szCs w:val="24"/>
        </w:rPr>
        <w:t xml:space="preserve">et les fleurs </w:t>
      </w:r>
      <w:r w:rsidRPr="00773A0E">
        <w:rPr>
          <w:rFonts w:ascii="Times New Roman" w:hAnsi="Times New Roman" w:cs="Times New Roman"/>
          <w:sz w:val="24"/>
          <w:szCs w:val="24"/>
        </w:rPr>
        <w:t xml:space="preserve">de cette espèce sont parfois utilisées en cuisines pour donner aux préparations une couleur appétissante, mais elles servent aussi à teindre la laine et d’autres fibres naturelles en jaunes. En médicine naturelle, le </w:t>
      </w:r>
      <w:r>
        <w:rPr>
          <w:rFonts w:ascii="Times New Roman" w:hAnsi="Times New Roman" w:cs="Times New Roman"/>
          <w:sz w:val="24"/>
          <w:szCs w:val="24"/>
        </w:rPr>
        <w:t>C</w:t>
      </w:r>
      <w:r w:rsidRPr="00773A0E">
        <w:rPr>
          <w:rFonts w:ascii="Times New Roman" w:hAnsi="Times New Roman" w:cs="Times New Roman"/>
          <w:sz w:val="24"/>
          <w:szCs w:val="24"/>
        </w:rPr>
        <w:t>arthame sert à stimuler la menstruation et à soulager les douleurs dans le bas-</w:t>
      </w:r>
      <w:r w:rsidRPr="00CD0473">
        <w:rPr>
          <w:rFonts w:ascii="Times New Roman" w:hAnsi="Times New Roman" w:cs="Times New Roman"/>
          <w:sz w:val="24"/>
          <w:szCs w:val="24"/>
        </w:rPr>
        <w:t>ventre (KOTHE</w:t>
      </w:r>
      <w:r w:rsidRPr="00CD0473">
        <w:rPr>
          <w:bCs/>
        </w:rPr>
        <w:t xml:space="preserve"> </w:t>
      </w:r>
      <w:r w:rsidRPr="00CD0473">
        <w:rPr>
          <w:rFonts w:ascii="Times New Roman" w:hAnsi="Times New Roman" w:cs="Times New Roman"/>
          <w:sz w:val="24"/>
          <w:szCs w:val="24"/>
        </w:rPr>
        <w:t>HANS, 2007).</w:t>
      </w:r>
      <w:r w:rsidRPr="00BC3149">
        <w:rPr>
          <w:rFonts w:ascii="Times New Roman" w:hAnsi="Times New Roman" w:cs="Times New Roman"/>
          <w:sz w:val="24"/>
          <w:szCs w:val="24"/>
          <w:shd w:val="clear" w:color="auto" w:fill="00B0F0"/>
        </w:rPr>
        <w:t xml:space="preserve"> </w:t>
      </w:r>
    </w:p>
    <w:p w:rsidR="008A1C6B"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379" w:name="_Toc252365641"/>
      <w:bookmarkStart w:id="380" w:name="_Toc252366186"/>
      <w:r w:rsidRPr="00C82FD1">
        <w:rPr>
          <w:rFonts w:ascii="Times New Roman" w:hAnsi="Times New Roman"/>
          <w:color w:val="auto"/>
          <w:sz w:val="24"/>
          <w:szCs w:val="24"/>
        </w:rPr>
        <w:t>Composition biochimique de la graine</w:t>
      </w:r>
      <w:bookmarkEnd w:id="379"/>
      <w:bookmarkEnd w:id="380"/>
    </w:p>
    <w:p w:rsidR="008A1C6B" w:rsidRPr="00C833F4" w:rsidRDefault="008A1C6B" w:rsidP="00E35E9B">
      <w:pPr>
        <w:spacing w:after="240" w:line="360" w:lineRule="auto"/>
        <w:ind w:firstLine="284"/>
        <w:jc w:val="lowKashida"/>
        <w:rPr>
          <w:rFonts w:ascii="Times New Roman" w:hAnsi="Times New Roman" w:cs="Times New Roman"/>
          <w:sz w:val="24"/>
          <w:szCs w:val="24"/>
        </w:rPr>
      </w:pPr>
      <w:r w:rsidRPr="00C833F4">
        <w:rPr>
          <w:rFonts w:ascii="Times New Roman" w:hAnsi="Times New Roman" w:cs="Times New Roman"/>
          <w:sz w:val="24"/>
          <w:szCs w:val="24"/>
        </w:rPr>
        <w:t xml:space="preserve">La teneur en huile dans les graines de carthame </w:t>
      </w:r>
      <w:r>
        <w:rPr>
          <w:rFonts w:ascii="Times New Roman" w:hAnsi="Times New Roman" w:cs="Times New Roman"/>
          <w:sz w:val="24"/>
          <w:szCs w:val="24"/>
        </w:rPr>
        <w:t>est entre 29% et 35.2</w:t>
      </w:r>
      <w:r w:rsidRPr="00C833F4">
        <w:rPr>
          <w:rFonts w:ascii="Times New Roman" w:hAnsi="Times New Roman" w:cs="Times New Roman"/>
          <w:sz w:val="24"/>
          <w:szCs w:val="24"/>
        </w:rPr>
        <w:t>% selon les cultivars</w:t>
      </w:r>
      <w:r w:rsidRPr="008A5DB3">
        <w:rPr>
          <w:rFonts w:ascii="Times New Roman" w:hAnsi="Times New Roman" w:cs="Times New Roman"/>
          <w:sz w:val="24"/>
          <w:szCs w:val="24"/>
        </w:rPr>
        <w:t xml:space="preserve"> </w:t>
      </w:r>
      <w:r w:rsidRPr="003075B1">
        <w:rPr>
          <w:rFonts w:ascii="Times New Roman" w:hAnsi="Times New Roman" w:cs="Times New Roman"/>
          <w:sz w:val="24"/>
          <w:szCs w:val="24"/>
        </w:rPr>
        <w:t>(BURHAN, 2007).</w:t>
      </w:r>
      <w:r w:rsidRPr="00C6639F">
        <w:rPr>
          <w:rFonts w:ascii="Times New Roman" w:hAnsi="Times New Roman" w:cs="Times New Roman"/>
          <w:sz w:val="24"/>
          <w:szCs w:val="24"/>
        </w:rPr>
        <w:t xml:space="preserve"> Les acides gras linoléiques présentent le pourcentage le plus élevé</w:t>
      </w:r>
      <w:r>
        <w:rPr>
          <w:rFonts w:ascii="Times New Roman" w:hAnsi="Times New Roman" w:cs="Times New Roman"/>
          <w:sz w:val="24"/>
          <w:szCs w:val="24"/>
        </w:rPr>
        <w:t>,</w:t>
      </w:r>
      <w:r w:rsidRPr="00C6639F">
        <w:rPr>
          <w:rFonts w:ascii="Times New Roman" w:hAnsi="Times New Roman" w:cs="Times New Roman"/>
          <w:sz w:val="24"/>
          <w:szCs w:val="24"/>
        </w:rPr>
        <w:t xml:space="preserve"> </w:t>
      </w:r>
      <w:r w:rsidRPr="003075B1">
        <w:rPr>
          <w:rFonts w:ascii="Times New Roman" w:hAnsi="Times New Roman" w:cs="Times New Roman"/>
          <w:sz w:val="24"/>
          <w:szCs w:val="24"/>
        </w:rPr>
        <w:t>70%</w:t>
      </w:r>
      <w:r w:rsidRPr="00C6639F">
        <w:rPr>
          <w:rFonts w:ascii="Times New Roman" w:hAnsi="Times New Roman" w:cs="Times New Roman"/>
          <w:sz w:val="24"/>
          <w:szCs w:val="24"/>
        </w:rPr>
        <w:t xml:space="preserve"> selon SINGH (2006) et </w:t>
      </w:r>
      <w:r w:rsidRPr="003075B1">
        <w:rPr>
          <w:rFonts w:ascii="Times New Roman" w:hAnsi="Times New Roman" w:cs="Times New Roman"/>
          <w:sz w:val="24"/>
          <w:szCs w:val="24"/>
        </w:rPr>
        <w:t>76%</w:t>
      </w:r>
      <w:r w:rsidRPr="00C6639F">
        <w:rPr>
          <w:rFonts w:ascii="Times New Roman" w:hAnsi="Times New Roman" w:cs="Times New Roman"/>
          <w:sz w:val="24"/>
          <w:szCs w:val="24"/>
        </w:rPr>
        <w:t xml:space="preserve"> selon DJENDER (2003).</w:t>
      </w:r>
      <w:r w:rsidRPr="00C833F4">
        <w:rPr>
          <w:rFonts w:ascii="Times New Roman" w:hAnsi="Times New Roman" w:cs="Times New Roman"/>
          <w:sz w:val="24"/>
          <w:szCs w:val="24"/>
        </w:rPr>
        <w:t xml:space="preserve"> La date de semis a aussi un effet sur la teneur en huile ; lorsque le semis est précoce, la teneur en huile des graines est élevée (COŞGE </w:t>
      </w:r>
      <w:r w:rsidRPr="00C833F4">
        <w:rPr>
          <w:rFonts w:ascii="Times New Roman" w:hAnsi="Times New Roman" w:cs="Times New Roman"/>
          <w:i/>
          <w:iCs/>
          <w:sz w:val="24"/>
          <w:szCs w:val="24"/>
        </w:rPr>
        <w:t xml:space="preserve">et </w:t>
      </w:r>
      <w:r w:rsidR="00E35E9B" w:rsidRPr="00C833F4">
        <w:rPr>
          <w:rFonts w:ascii="Times New Roman" w:hAnsi="Times New Roman" w:cs="Times New Roman"/>
          <w:i/>
          <w:iCs/>
          <w:sz w:val="24"/>
          <w:szCs w:val="24"/>
        </w:rPr>
        <w:t>al</w:t>
      </w:r>
      <w:r w:rsidR="00E35E9B">
        <w:rPr>
          <w:rFonts w:ascii="Times New Roman" w:hAnsi="Times New Roman" w:cs="Times New Roman"/>
          <w:i/>
          <w:iCs/>
          <w:sz w:val="24"/>
          <w:szCs w:val="24"/>
        </w:rPr>
        <w:t>.,</w:t>
      </w:r>
      <w:r w:rsidRPr="00C833F4">
        <w:rPr>
          <w:rFonts w:ascii="Times New Roman" w:hAnsi="Times New Roman" w:cs="Times New Roman"/>
          <w:sz w:val="24"/>
          <w:szCs w:val="24"/>
        </w:rPr>
        <w:t xml:space="preserve"> 2007).</w:t>
      </w:r>
    </w:p>
    <w:p w:rsidR="008A1C6B" w:rsidRPr="00C833F4" w:rsidRDefault="008A1C6B" w:rsidP="00E35E9B">
      <w:pPr>
        <w:spacing w:after="240" w:line="360" w:lineRule="auto"/>
        <w:ind w:firstLine="284"/>
        <w:jc w:val="lowKashida"/>
        <w:rPr>
          <w:rFonts w:ascii="Times New Roman" w:hAnsi="Times New Roman" w:cs="Times New Roman"/>
          <w:sz w:val="24"/>
          <w:szCs w:val="24"/>
        </w:rPr>
      </w:pPr>
      <w:r w:rsidRPr="00C833F4">
        <w:rPr>
          <w:rFonts w:ascii="Times New Roman" w:hAnsi="Times New Roman" w:cs="Times New Roman"/>
          <w:sz w:val="24"/>
          <w:szCs w:val="24"/>
        </w:rPr>
        <w:t xml:space="preserve">D’après l’étude de MATALLAH (1983), le cultivar local d’Algérie du carthame contient 25.7% d’huile. </w:t>
      </w:r>
    </w:p>
    <w:p w:rsidR="00260BF9" w:rsidRPr="00773A0E" w:rsidRDefault="00260BF9" w:rsidP="00580AC2">
      <w:pPr>
        <w:spacing w:after="240" w:line="360" w:lineRule="auto"/>
        <w:jc w:val="lowKashida"/>
        <w:rPr>
          <w:rFonts w:ascii="Times New Roman" w:hAnsi="Times New Roman" w:cs="Times New Roman"/>
          <w:b/>
          <w:bCs/>
          <w:sz w:val="24"/>
          <w:szCs w:val="24"/>
        </w:rPr>
      </w:pPr>
    </w:p>
    <w:p w:rsidR="00612046"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381" w:name="_Toc252365642"/>
      <w:bookmarkStart w:id="382" w:name="_Toc252366187"/>
      <w:r w:rsidRPr="00C82FD1">
        <w:rPr>
          <w:rFonts w:ascii="Times New Roman" w:hAnsi="Times New Roman"/>
          <w:color w:val="auto"/>
          <w:sz w:val="24"/>
          <w:szCs w:val="24"/>
        </w:rPr>
        <w:lastRenderedPageBreak/>
        <w:t>La culture du carthame</w:t>
      </w:r>
      <w:bookmarkEnd w:id="381"/>
      <w:bookmarkEnd w:id="382"/>
    </w:p>
    <w:p w:rsidR="008A1C6B" w:rsidRPr="001C393F" w:rsidRDefault="00260BF9" w:rsidP="00E35E9B">
      <w:pPr>
        <w:pStyle w:val="Titre2"/>
        <w:numPr>
          <w:ilvl w:val="2"/>
          <w:numId w:val="7"/>
        </w:numPr>
        <w:spacing w:after="240" w:line="360" w:lineRule="auto"/>
        <w:rPr>
          <w:rFonts w:ascii="Times New Roman" w:hAnsi="Times New Roman"/>
          <w:color w:val="auto"/>
          <w:sz w:val="24"/>
          <w:szCs w:val="24"/>
        </w:rPr>
      </w:pPr>
      <w:bookmarkStart w:id="383" w:name="_Toc126570498"/>
      <w:bookmarkStart w:id="384" w:name="_Toc126571806"/>
      <w:bookmarkStart w:id="385" w:name="_Toc126572587"/>
      <w:bookmarkStart w:id="386" w:name="_Toc126575221"/>
      <w:bookmarkStart w:id="387" w:name="_Toc126575898"/>
      <w:bookmarkStart w:id="388" w:name="_Toc126576773"/>
      <w:bookmarkStart w:id="389" w:name="_Toc252093982"/>
      <w:bookmarkStart w:id="390" w:name="_Toc252365378"/>
      <w:bookmarkStart w:id="391" w:name="_Toc252365643"/>
      <w:bookmarkStart w:id="392" w:name="_Toc252366188"/>
      <w:r>
        <w:rPr>
          <w:rFonts w:ascii="Times New Roman" w:hAnsi="Times New Roman"/>
          <w:color w:val="auto"/>
          <w:sz w:val="24"/>
          <w:szCs w:val="24"/>
        </w:rPr>
        <w:t>Les p</w:t>
      </w:r>
      <w:r w:rsidR="008A1C6B" w:rsidRPr="001C393F">
        <w:rPr>
          <w:rFonts w:ascii="Times New Roman" w:hAnsi="Times New Roman"/>
          <w:color w:val="auto"/>
          <w:sz w:val="24"/>
          <w:szCs w:val="24"/>
        </w:rPr>
        <w:t>rincipaux pays producteurs</w:t>
      </w:r>
      <w:bookmarkEnd w:id="383"/>
      <w:bookmarkEnd w:id="384"/>
      <w:bookmarkEnd w:id="385"/>
      <w:bookmarkEnd w:id="386"/>
      <w:bookmarkEnd w:id="387"/>
      <w:bookmarkEnd w:id="388"/>
      <w:bookmarkEnd w:id="389"/>
      <w:bookmarkEnd w:id="390"/>
      <w:bookmarkEnd w:id="391"/>
      <w:bookmarkEnd w:id="392"/>
      <w:r w:rsidR="008A1C6B" w:rsidRPr="001C393F">
        <w:rPr>
          <w:rFonts w:ascii="Times New Roman" w:hAnsi="Times New Roman"/>
          <w:color w:val="auto"/>
          <w:sz w:val="24"/>
          <w:szCs w:val="24"/>
        </w:rPr>
        <w:t> </w:t>
      </w:r>
    </w:p>
    <w:p w:rsidR="008A1C6B" w:rsidRPr="001D7310" w:rsidRDefault="008A1C6B" w:rsidP="00E35E9B">
      <w:pPr>
        <w:spacing w:after="240" w:line="360" w:lineRule="auto"/>
        <w:ind w:firstLine="284"/>
        <w:jc w:val="both"/>
        <w:rPr>
          <w:rFonts w:ascii="Times New Roman" w:hAnsi="Times New Roman" w:cs="Times New Roman"/>
          <w:sz w:val="24"/>
          <w:szCs w:val="24"/>
        </w:rPr>
      </w:pPr>
      <w:r w:rsidRPr="001D7310">
        <w:rPr>
          <w:rFonts w:ascii="Times New Roman" w:hAnsi="Times New Roman" w:cs="Times New Roman"/>
          <w:sz w:val="24"/>
          <w:szCs w:val="24"/>
        </w:rPr>
        <w:t>L'Inde est parmi les plus grands producteurs de carthame dans le monde, avec 68% (0,2 millions de tonnes) avec une surface cultivée de 60% (0,43 millions d’hectares) (MAHASI, 2009), à côté du Mexique, des Etats-Unis, du Kazakhstan, de l’Australie, de l’Ethiopie, de la Chine, du Kirghizistan, du Canada et de l’Iran (COMPLAN, 1999 ; EKIN, 2005 ET  FRICK ; 2005).</w:t>
      </w:r>
    </w:p>
    <w:p w:rsidR="008A1C6B" w:rsidRPr="001C393F" w:rsidRDefault="008A1C6B" w:rsidP="00E35E9B">
      <w:pPr>
        <w:pStyle w:val="Titre2"/>
        <w:numPr>
          <w:ilvl w:val="2"/>
          <w:numId w:val="7"/>
        </w:numPr>
        <w:spacing w:after="240" w:line="360" w:lineRule="auto"/>
        <w:rPr>
          <w:rFonts w:ascii="Times New Roman" w:hAnsi="Times New Roman"/>
          <w:color w:val="auto"/>
          <w:sz w:val="24"/>
          <w:szCs w:val="24"/>
        </w:rPr>
      </w:pPr>
      <w:bookmarkStart w:id="393" w:name="_Toc126570499"/>
      <w:bookmarkStart w:id="394" w:name="_Toc126571807"/>
      <w:bookmarkStart w:id="395" w:name="_Toc126572588"/>
      <w:bookmarkStart w:id="396" w:name="_Toc126575222"/>
      <w:bookmarkStart w:id="397" w:name="_Toc126575899"/>
      <w:bookmarkStart w:id="398" w:name="_Toc126576774"/>
      <w:bookmarkStart w:id="399" w:name="_Toc252093983"/>
      <w:bookmarkStart w:id="400" w:name="_Toc252365379"/>
      <w:bookmarkStart w:id="401" w:name="_Toc252365644"/>
      <w:bookmarkStart w:id="402" w:name="_Toc252366189"/>
      <w:r w:rsidRPr="001C393F">
        <w:rPr>
          <w:rFonts w:ascii="Times New Roman" w:hAnsi="Times New Roman"/>
          <w:color w:val="auto"/>
          <w:sz w:val="24"/>
          <w:szCs w:val="24"/>
        </w:rPr>
        <w:t>La culture du carthame en Algérie</w:t>
      </w:r>
      <w:bookmarkEnd w:id="393"/>
      <w:bookmarkEnd w:id="394"/>
      <w:bookmarkEnd w:id="395"/>
      <w:bookmarkEnd w:id="396"/>
      <w:bookmarkEnd w:id="397"/>
      <w:bookmarkEnd w:id="398"/>
      <w:bookmarkEnd w:id="399"/>
      <w:bookmarkEnd w:id="400"/>
      <w:bookmarkEnd w:id="401"/>
      <w:bookmarkEnd w:id="402"/>
      <w:r w:rsidRPr="001C393F">
        <w:rPr>
          <w:rFonts w:ascii="Times New Roman" w:hAnsi="Times New Roman"/>
          <w:color w:val="auto"/>
          <w:sz w:val="24"/>
          <w:szCs w:val="24"/>
        </w:rPr>
        <w:t xml:space="preserve"> </w:t>
      </w:r>
    </w:p>
    <w:p w:rsidR="008A1C6B" w:rsidRPr="00773A0E" w:rsidRDefault="008A1C6B" w:rsidP="00E35E9B">
      <w:pPr>
        <w:spacing w:after="240" w:line="360" w:lineRule="auto"/>
        <w:ind w:firstLine="284"/>
        <w:jc w:val="both"/>
        <w:rPr>
          <w:rFonts w:ascii="Times New Roman" w:hAnsi="Times New Roman" w:cs="Times New Roman"/>
          <w:sz w:val="24"/>
          <w:szCs w:val="24"/>
        </w:rPr>
      </w:pPr>
      <w:r w:rsidRPr="00773A0E">
        <w:rPr>
          <w:rFonts w:ascii="Times New Roman" w:hAnsi="Times New Roman" w:cs="Times New Roman"/>
          <w:sz w:val="24"/>
          <w:szCs w:val="24"/>
        </w:rPr>
        <w:t>En Algérie la culture des espèces oléagineuses (tournesol, colz</w:t>
      </w:r>
      <w:r>
        <w:rPr>
          <w:rFonts w:ascii="Times New Roman" w:hAnsi="Times New Roman" w:cs="Times New Roman"/>
          <w:sz w:val="24"/>
          <w:szCs w:val="24"/>
        </w:rPr>
        <w:t xml:space="preserve">a et carthame) n’a débuté qu’en </w:t>
      </w:r>
      <w:r w:rsidRPr="00773A0E">
        <w:rPr>
          <w:rFonts w:ascii="Times New Roman" w:hAnsi="Times New Roman" w:cs="Times New Roman"/>
          <w:sz w:val="24"/>
          <w:szCs w:val="24"/>
        </w:rPr>
        <w:t>1965 pour être abandonnée à cause des contraintes techniques</w:t>
      </w:r>
      <w:r>
        <w:rPr>
          <w:rFonts w:ascii="Times New Roman" w:hAnsi="Times New Roman" w:cs="Times New Roman"/>
          <w:sz w:val="24"/>
          <w:szCs w:val="24"/>
        </w:rPr>
        <w:t xml:space="preserve"> d</w:t>
      </w:r>
      <w:r w:rsidRPr="00773A0E">
        <w:rPr>
          <w:rFonts w:ascii="Times New Roman" w:hAnsi="Times New Roman" w:cs="Times New Roman"/>
          <w:sz w:val="24"/>
          <w:szCs w:val="24"/>
        </w:rPr>
        <w:t xml:space="preserve">e transformation et d’organisation (AMEROUN, 2003) en 1983. La culture du carthame a été introduite en Algérie en 1975. Cette introduction avait pour </w:t>
      </w:r>
      <w:r w:rsidRPr="00C833F4">
        <w:rPr>
          <w:rFonts w:ascii="Times New Roman" w:hAnsi="Times New Roman" w:cs="Times New Roman"/>
          <w:sz w:val="24"/>
          <w:szCs w:val="24"/>
        </w:rPr>
        <w:t>but, selon BENZOHRA (2001) :</w:t>
      </w:r>
    </w:p>
    <w:p w:rsidR="008A1C6B" w:rsidRPr="00DF445C" w:rsidRDefault="008A1C6B" w:rsidP="00E35E9B">
      <w:pPr>
        <w:pStyle w:val="Paragraphedeliste"/>
        <w:numPr>
          <w:ilvl w:val="0"/>
          <w:numId w:val="2"/>
        </w:numPr>
        <w:spacing w:after="240" w:line="360" w:lineRule="auto"/>
        <w:jc w:val="both"/>
        <w:rPr>
          <w:rFonts w:ascii="Times New Roman" w:hAnsi="Times New Roman" w:cs="Times New Roman"/>
          <w:sz w:val="24"/>
          <w:szCs w:val="24"/>
        </w:rPr>
      </w:pPr>
      <w:r w:rsidRPr="00DF445C">
        <w:rPr>
          <w:rFonts w:ascii="Times New Roman" w:hAnsi="Times New Roman" w:cs="Times New Roman"/>
          <w:sz w:val="24"/>
          <w:szCs w:val="24"/>
        </w:rPr>
        <w:t>Production de l’huile pour l’alimentation humaine</w:t>
      </w:r>
      <w:r>
        <w:rPr>
          <w:rFonts w:ascii="Times New Roman" w:hAnsi="Times New Roman" w:cs="Times New Roman"/>
          <w:sz w:val="24"/>
          <w:szCs w:val="24"/>
        </w:rPr>
        <w:t> ;</w:t>
      </w:r>
    </w:p>
    <w:p w:rsidR="008A1C6B" w:rsidRPr="00DF445C" w:rsidRDefault="008A1C6B" w:rsidP="00E35E9B">
      <w:pPr>
        <w:pStyle w:val="Paragraphedeliste"/>
        <w:numPr>
          <w:ilvl w:val="0"/>
          <w:numId w:val="2"/>
        </w:numPr>
        <w:spacing w:after="240" w:line="360" w:lineRule="auto"/>
        <w:jc w:val="both"/>
        <w:rPr>
          <w:rFonts w:ascii="Times New Roman" w:hAnsi="Times New Roman" w:cs="Times New Roman"/>
          <w:sz w:val="24"/>
          <w:szCs w:val="24"/>
        </w:rPr>
      </w:pPr>
      <w:r w:rsidRPr="00DF445C">
        <w:rPr>
          <w:rFonts w:ascii="Times New Roman" w:hAnsi="Times New Roman" w:cs="Times New Roman"/>
          <w:sz w:val="24"/>
          <w:szCs w:val="24"/>
        </w:rPr>
        <w:t>Production de tourteau pour l’alimentation animale</w:t>
      </w:r>
      <w:r>
        <w:rPr>
          <w:rFonts w:ascii="Times New Roman" w:hAnsi="Times New Roman" w:cs="Times New Roman"/>
          <w:sz w:val="24"/>
          <w:szCs w:val="24"/>
        </w:rPr>
        <w:t> ;</w:t>
      </w:r>
    </w:p>
    <w:p w:rsidR="008A1C6B" w:rsidRPr="001C393F" w:rsidRDefault="008A1C6B" w:rsidP="00E35E9B">
      <w:pPr>
        <w:pStyle w:val="Paragraphedeliste"/>
        <w:numPr>
          <w:ilvl w:val="0"/>
          <w:numId w:val="2"/>
        </w:numPr>
        <w:spacing w:after="240" w:line="360" w:lineRule="auto"/>
        <w:jc w:val="both"/>
        <w:rPr>
          <w:rFonts w:ascii="Times New Roman" w:hAnsi="Times New Roman" w:cs="Times New Roman"/>
          <w:sz w:val="24"/>
          <w:szCs w:val="24"/>
        </w:rPr>
      </w:pPr>
      <w:r w:rsidRPr="00DF445C">
        <w:rPr>
          <w:rFonts w:ascii="Times New Roman" w:hAnsi="Times New Roman" w:cs="Times New Roman"/>
          <w:sz w:val="24"/>
          <w:szCs w:val="24"/>
        </w:rPr>
        <w:t>La valorisation de la jachère.</w:t>
      </w:r>
    </w:p>
    <w:p w:rsidR="008A1C6B" w:rsidRPr="001C393F" w:rsidRDefault="00785804" w:rsidP="00E35E9B">
      <w:pPr>
        <w:pStyle w:val="Titre2"/>
        <w:numPr>
          <w:ilvl w:val="2"/>
          <w:numId w:val="7"/>
        </w:numPr>
        <w:spacing w:after="240" w:line="360" w:lineRule="auto"/>
        <w:rPr>
          <w:rFonts w:ascii="Times New Roman" w:hAnsi="Times New Roman"/>
          <w:color w:val="auto"/>
          <w:sz w:val="24"/>
          <w:szCs w:val="24"/>
        </w:rPr>
      </w:pPr>
      <w:bookmarkStart w:id="403" w:name="_Toc126570500"/>
      <w:bookmarkStart w:id="404" w:name="_Toc126571808"/>
      <w:bookmarkStart w:id="405" w:name="_Toc126572589"/>
      <w:bookmarkStart w:id="406" w:name="_Toc126575223"/>
      <w:bookmarkStart w:id="407" w:name="_Toc126575900"/>
      <w:bookmarkStart w:id="408" w:name="_Toc126576775"/>
      <w:bookmarkStart w:id="409" w:name="_Toc252093984"/>
      <w:bookmarkStart w:id="410" w:name="_Toc252365380"/>
      <w:bookmarkStart w:id="411" w:name="_Toc252365645"/>
      <w:bookmarkStart w:id="412" w:name="_Toc252366190"/>
      <w:r>
        <w:rPr>
          <w:rFonts w:ascii="Times New Roman" w:hAnsi="Times New Roman"/>
          <w:color w:val="auto"/>
          <w:sz w:val="24"/>
          <w:szCs w:val="24"/>
        </w:rPr>
        <w:t>Les e</w:t>
      </w:r>
      <w:r w:rsidRPr="001C393F">
        <w:rPr>
          <w:rFonts w:ascii="Times New Roman" w:hAnsi="Times New Roman"/>
          <w:color w:val="auto"/>
          <w:sz w:val="24"/>
          <w:szCs w:val="24"/>
        </w:rPr>
        <w:t>xigences</w:t>
      </w:r>
      <w:r w:rsidR="008A1C6B" w:rsidRPr="001C393F">
        <w:rPr>
          <w:rFonts w:ascii="Times New Roman" w:hAnsi="Times New Roman"/>
          <w:color w:val="auto"/>
          <w:sz w:val="24"/>
          <w:szCs w:val="24"/>
        </w:rPr>
        <w:t xml:space="preserve"> écologique</w:t>
      </w:r>
      <w:bookmarkEnd w:id="403"/>
      <w:bookmarkEnd w:id="404"/>
      <w:bookmarkEnd w:id="405"/>
      <w:bookmarkEnd w:id="406"/>
      <w:bookmarkEnd w:id="407"/>
      <w:bookmarkEnd w:id="408"/>
      <w:bookmarkEnd w:id="409"/>
      <w:bookmarkEnd w:id="410"/>
      <w:bookmarkEnd w:id="411"/>
      <w:bookmarkEnd w:id="412"/>
      <w:r>
        <w:rPr>
          <w:rFonts w:ascii="Times New Roman" w:hAnsi="Times New Roman"/>
          <w:color w:val="auto"/>
          <w:sz w:val="24"/>
          <w:szCs w:val="24"/>
        </w:rPr>
        <w:t>s</w:t>
      </w:r>
      <w:r w:rsidR="008A1C6B" w:rsidRPr="001C393F">
        <w:rPr>
          <w:rFonts w:ascii="Times New Roman" w:hAnsi="Times New Roman"/>
          <w:color w:val="auto"/>
          <w:sz w:val="24"/>
          <w:szCs w:val="24"/>
        </w:rPr>
        <w:t xml:space="preserve"> </w:t>
      </w:r>
    </w:p>
    <w:p w:rsidR="008A1C6B" w:rsidRPr="00773A0E" w:rsidRDefault="008A1C6B" w:rsidP="00E35E9B">
      <w:pPr>
        <w:spacing w:after="240" w:line="360" w:lineRule="auto"/>
        <w:ind w:firstLine="284"/>
        <w:jc w:val="lowKashida"/>
        <w:rPr>
          <w:rFonts w:ascii="Times New Roman" w:hAnsi="Times New Roman" w:cs="Times New Roman"/>
          <w:sz w:val="24"/>
          <w:szCs w:val="24"/>
        </w:rPr>
      </w:pPr>
      <w:r w:rsidRPr="00C833F4">
        <w:rPr>
          <w:rFonts w:ascii="Times New Roman" w:hAnsi="Times New Roman" w:cs="Times New Roman"/>
          <w:sz w:val="24"/>
          <w:szCs w:val="24"/>
        </w:rPr>
        <w:t xml:space="preserve">Le carthame demande un climat sec et chaud avec une pluviométrie totale de 500 à </w:t>
      </w:r>
      <w:smartTag w:uri="urn:schemas-microsoft-com:office:smarttags" w:element="metricconverter">
        <w:smartTagPr>
          <w:attr w:name="ProductID" w:val="800 mm"/>
        </w:smartTagPr>
        <w:r w:rsidRPr="00C833F4">
          <w:rPr>
            <w:rFonts w:ascii="Times New Roman" w:hAnsi="Times New Roman" w:cs="Times New Roman"/>
            <w:sz w:val="24"/>
            <w:szCs w:val="24"/>
          </w:rPr>
          <w:t>800 mm</w:t>
        </w:r>
      </w:smartTag>
      <w:r w:rsidRPr="00C833F4">
        <w:rPr>
          <w:rFonts w:ascii="Times New Roman" w:hAnsi="Times New Roman" w:cs="Times New Roman"/>
          <w:sz w:val="24"/>
          <w:szCs w:val="24"/>
        </w:rPr>
        <w:t xml:space="preserve"> sur des sols sableux et bien drainés, 300 à </w:t>
      </w:r>
      <w:smartTag w:uri="urn:schemas-microsoft-com:office:smarttags" w:element="metricconverter">
        <w:smartTagPr>
          <w:attr w:name="ProductID" w:val="400 mm"/>
        </w:smartTagPr>
        <w:r w:rsidRPr="00C833F4">
          <w:rPr>
            <w:rFonts w:ascii="Times New Roman" w:hAnsi="Times New Roman" w:cs="Times New Roman"/>
            <w:sz w:val="24"/>
            <w:szCs w:val="24"/>
          </w:rPr>
          <w:t>400 mm</w:t>
        </w:r>
      </w:smartTag>
      <w:r w:rsidRPr="00C833F4">
        <w:rPr>
          <w:rFonts w:ascii="Times New Roman" w:hAnsi="Times New Roman" w:cs="Times New Roman"/>
          <w:sz w:val="24"/>
          <w:szCs w:val="24"/>
        </w:rPr>
        <w:t xml:space="preserve"> suffisent pendant le cycle végétatif, surtout si les sols possèdent une réserve d’eau. Le carthame est légèrement moins tolérant de la salinité que l'orge et le mais et plus tolérant que le blé (MÜNDEL </w:t>
      </w:r>
      <w:r w:rsidRPr="00C833F4">
        <w:rPr>
          <w:rFonts w:ascii="Times New Roman" w:hAnsi="Times New Roman" w:cs="Times New Roman"/>
          <w:i/>
          <w:iCs/>
          <w:sz w:val="24"/>
          <w:szCs w:val="24"/>
        </w:rPr>
        <w:t>et al.</w:t>
      </w:r>
      <w:r w:rsidRPr="00C833F4">
        <w:rPr>
          <w:rFonts w:ascii="Times New Roman" w:hAnsi="Times New Roman" w:cs="Times New Roman"/>
          <w:sz w:val="24"/>
          <w:szCs w:val="24"/>
        </w:rPr>
        <w:t>, 2004</w:t>
      </w:r>
      <w:r w:rsidRPr="00773A0E">
        <w:rPr>
          <w:rFonts w:ascii="Times New Roman" w:hAnsi="Times New Roman" w:cs="Times New Roman"/>
          <w:sz w:val="24"/>
          <w:szCs w:val="24"/>
        </w:rPr>
        <w:t>). La température minimale de germination</w:t>
      </w:r>
      <w:r>
        <w:rPr>
          <w:rFonts w:ascii="Times New Roman" w:hAnsi="Times New Roman" w:cs="Times New Roman"/>
          <w:sz w:val="24"/>
          <w:szCs w:val="24"/>
        </w:rPr>
        <w:t xml:space="preserve"> est </w:t>
      </w:r>
      <w:r w:rsidRPr="00773A0E">
        <w:rPr>
          <w:rFonts w:ascii="Times New Roman" w:hAnsi="Times New Roman" w:cs="Times New Roman"/>
          <w:sz w:val="24"/>
          <w:szCs w:val="24"/>
        </w:rPr>
        <w:t>2-</w:t>
      </w:r>
      <w:r w:rsidRPr="001D7310">
        <w:rPr>
          <w:rFonts w:ascii="Times New Roman" w:hAnsi="Times New Roman" w:cs="Times New Roman"/>
          <w:sz w:val="24"/>
          <w:szCs w:val="24"/>
        </w:rPr>
        <w:t>5 c° (LI  ET HANS-HENNING, 1996).</w:t>
      </w:r>
      <w:r w:rsidRPr="00773A0E">
        <w:rPr>
          <w:rFonts w:ascii="Times New Roman" w:hAnsi="Times New Roman" w:cs="Times New Roman"/>
          <w:sz w:val="24"/>
          <w:szCs w:val="24"/>
        </w:rPr>
        <w:t xml:space="preserve"> </w:t>
      </w:r>
    </w:p>
    <w:p w:rsidR="008A1C6B" w:rsidRPr="00E35E9B" w:rsidRDefault="00785804" w:rsidP="00E35E9B">
      <w:pPr>
        <w:pStyle w:val="Titre2"/>
        <w:numPr>
          <w:ilvl w:val="2"/>
          <w:numId w:val="7"/>
        </w:numPr>
        <w:spacing w:after="240" w:line="360" w:lineRule="auto"/>
        <w:rPr>
          <w:rFonts w:ascii="Times New Roman" w:hAnsi="Times New Roman"/>
          <w:color w:val="auto"/>
          <w:sz w:val="24"/>
          <w:szCs w:val="24"/>
        </w:rPr>
      </w:pPr>
      <w:bookmarkStart w:id="413" w:name="_Toc126570501"/>
      <w:bookmarkStart w:id="414" w:name="_Toc126571809"/>
      <w:bookmarkStart w:id="415" w:name="_Toc126572590"/>
      <w:bookmarkStart w:id="416" w:name="_Toc126575224"/>
      <w:bookmarkStart w:id="417" w:name="_Toc126575901"/>
      <w:bookmarkStart w:id="418" w:name="_Toc126576776"/>
      <w:bookmarkStart w:id="419" w:name="_Toc252093985"/>
      <w:bookmarkStart w:id="420" w:name="_Toc252365381"/>
      <w:bookmarkStart w:id="421" w:name="_Toc252365646"/>
      <w:bookmarkStart w:id="422" w:name="_Toc252366191"/>
      <w:r>
        <w:rPr>
          <w:rFonts w:ascii="Times New Roman" w:hAnsi="Times New Roman"/>
          <w:color w:val="auto"/>
          <w:sz w:val="24"/>
          <w:szCs w:val="24"/>
        </w:rPr>
        <w:t>Les e</w:t>
      </w:r>
      <w:r w:rsidRPr="001C393F">
        <w:rPr>
          <w:rFonts w:ascii="Times New Roman" w:hAnsi="Times New Roman"/>
          <w:color w:val="auto"/>
          <w:sz w:val="24"/>
          <w:szCs w:val="24"/>
        </w:rPr>
        <w:t>xigences</w:t>
      </w:r>
      <w:r w:rsidR="008A1C6B" w:rsidRPr="001C393F">
        <w:rPr>
          <w:rFonts w:ascii="Times New Roman" w:hAnsi="Times New Roman"/>
          <w:color w:val="auto"/>
          <w:sz w:val="24"/>
          <w:szCs w:val="24"/>
        </w:rPr>
        <w:t xml:space="preserve"> culturale</w:t>
      </w:r>
      <w:bookmarkEnd w:id="413"/>
      <w:bookmarkEnd w:id="414"/>
      <w:bookmarkEnd w:id="415"/>
      <w:bookmarkEnd w:id="416"/>
      <w:bookmarkEnd w:id="417"/>
      <w:bookmarkEnd w:id="418"/>
      <w:bookmarkEnd w:id="419"/>
      <w:bookmarkEnd w:id="420"/>
      <w:bookmarkEnd w:id="421"/>
      <w:bookmarkEnd w:id="422"/>
      <w:r>
        <w:rPr>
          <w:rFonts w:ascii="Times New Roman" w:hAnsi="Times New Roman"/>
          <w:color w:val="auto"/>
          <w:sz w:val="24"/>
          <w:szCs w:val="24"/>
        </w:rPr>
        <w:t>s</w:t>
      </w:r>
      <w:r w:rsidR="008A1C6B" w:rsidRPr="001C393F">
        <w:rPr>
          <w:rFonts w:ascii="Times New Roman" w:hAnsi="Times New Roman"/>
          <w:color w:val="auto"/>
          <w:sz w:val="24"/>
          <w:szCs w:val="24"/>
        </w:rPr>
        <w:t xml:space="preserve"> </w:t>
      </w:r>
    </w:p>
    <w:p w:rsidR="008A1C6B" w:rsidRPr="00DF445C" w:rsidRDefault="008A1C6B" w:rsidP="00E35E9B">
      <w:pPr>
        <w:pStyle w:val="Paragraphedeliste"/>
        <w:numPr>
          <w:ilvl w:val="0"/>
          <w:numId w:val="1"/>
        </w:numPr>
        <w:spacing w:before="240" w:after="240" w:line="360" w:lineRule="auto"/>
        <w:jc w:val="lowKashida"/>
        <w:rPr>
          <w:rFonts w:ascii="Times New Roman" w:hAnsi="Times New Roman" w:cs="Times New Roman"/>
          <w:b/>
          <w:bCs/>
          <w:sz w:val="24"/>
          <w:szCs w:val="24"/>
        </w:rPr>
      </w:pPr>
      <w:r w:rsidRPr="00DF445C">
        <w:rPr>
          <w:rFonts w:ascii="Times New Roman" w:hAnsi="Times New Roman" w:cs="Times New Roman"/>
          <w:b/>
          <w:bCs/>
          <w:sz w:val="24"/>
          <w:szCs w:val="24"/>
        </w:rPr>
        <w:t xml:space="preserve">La place dans l’assolement </w:t>
      </w:r>
    </w:p>
    <w:p w:rsidR="008A1C6B" w:rsidRDefault="008A1C6B" w:rsidP="00E35E9B">
      <w:pPr>
        <w:spacing w:after="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Le carthame, dans l’assolement, prend la place d’une céréale ; il peut suivre une culture irriguée. Un enfouissement de jachère lui est favorable avec une préparation soignée du sol en profondeur</w:t>
      </w:r>
      <w:r>
        <w:rPr>
          <w:rFonts w:ascii="Times New Roman" w:hAnsi="Times New Roman" w:cs="Times New Roman"/>
          <w:sz w:val="24"/>
          <w:szCs w:val="24"/>
        </w:rPr>
        <w:t xml:space="preserve"> </w:t>
      </w:r>
      <w:r w:rsidRPr="00801367">
        <w:rPr>
          <w:rFonts w:ascii="Times New Roman" w:hAnsi="Times New Roman" w:cs="Times New Roman"/>
          <w:sz w:val="24"/>
          <w:szCs w:val="24"/>
        </w:rPr>
        <w:t>(MATALLAH, 1983)</w:t>
      </w:r>
      <w:r w:rsidRPr="00773A0E">
        <w:rPr>
          <w:rFonts w:ascii="Times New Roman" w:hAnsi="Times New Roman" w:cs="Times New Roman"/>
          <w:sz w:val="24"/>
          <w:szCs w:val="24"/>
        </w:rPr>
        <w:t>.</w:t>
      </w:r>
    </w:p>
    <w:p w:rsidR="008A1C6B" w:rsidRPr="00DF445C" w:rsidRDefault="008A1C6B" w:rsidP="00E35E9B">
      <w:pPr>
        <w:pStyle w:val="Paragraphedeliste"/>
        <w:numPr>
          <w:ilvl w:val="0"/>
          <w:numId w:val="1"/>
        </w:numPr>
        <w:spacing w:before="240" w:after="240" w:line="360" w:lineRule="auto"/>
        <w:jc w:val="lowKashida"/>
        <w:rPr>
          <w:rFonts w:ascii="Times New Roman" w:hAnsi="Times New Roman" w:cs="Times New Roman"/>
          <w:b/>
          <w:bCs/>
          <w:sz w:val="24"/>
          <w:szCs w:val="24"/>
        </w:rPr>
      </w:pPr>
      <w:r w:rsidRPr="00DF445C">
        <w:rPr>
          <w:rFonts w:ascii="Times New Roman" w:hAnsi="Times New Roman" w:cs="Times New Roman"/>
          <w:b/>
          <w:bCs/>
          <w:sz w:val="24"/>
          <w:szCs w:val="24"/>
        </w:rPr>
        <w:t>Préparation du sol</w:t>
      </w:r>
    </w:p>
    <w:p w:rsidR="008A1C6B" w:rsidRPr="00773A0E" w:rsidRDefault="008A1C6B" w:rsidP="00E35E9B">
      <w:pPr>
        <w:spacing w:after="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Le rendement du carthame est directement conditionné par l’intensité du travail avant semis. Les labours se font de préférence tôt, avant l’époque des pluies, entre 30 et </w:t>
      </w:r>
      <w:smartTag w:uri="urn:schemas-microsoft-com:office:smarttags" w:element="metricconverter">
        <w:smartTagPr>
          <w:attr w:name="ProductID" w:val="35 cm"/>
        </w:smartTagPr>
        <w:r w:rsidRPr="00773A0E">
          <w:rPr>
            <w:rFonts w:ascii="Times New Roman" w:hAnsi="Times New Roman" w:cs="Times New Roman"/>
            <w:sz w:val="24"/>
            <w:szCs w:val="24"/>
          </w:rPr>
          <w:t>35 cm</w:t>
        </w:r>
      </w:smartTag>
      <w:r w:rsidRPr="00773A0E">
        <w:rPr>
          <w:rFonts w:ascii="Times New Roman" w:hAnsi="Times New Roman" w:cs="Times New Roman"/>
          <w:sz w:val="24"/>
          <w:szCs w:val="24"/>
        </w:rPr>
        <w:t xml:space="preserve"> de profondeur pour </w:t>
      </w:r>
      <w:r w:rsidRPr="00773A0E">
        <w:rPr>
          <w:rFonts w:ascii="Times New Roman" w:hAnsi="Times New Roman" w:cs="Times New Roman"/>
          <w:sz w:val="24"/>
          <w:szCs w:val="24"/>
        </w:rPr>
        <w:lastRenderedPageBreak/>
        <w:t>obtenir une pénétration maximale de l’eau de pluies et la possibilité du développement normal des racines</w:t>
      </w:r>
      <w:r>
        <w:rPr>
          <w:rFonts w:ascii="Times New Roman" w:hAnsi="Times New Roman" w:cs="Times New Roman"/>
          <w:sz w:val="24"/>
          <w:szCs w:val="24"/>
        </w:rPr>
        <w:t xml:space="preserve"> </w:t>
      </w:r>
      <w:r w:rsidRPr="00801367">
        <w:rPr>
          <w:rFonts w:ascii="Times New Roman" w:hAnsi="Times New Roman" w:cs="Times New Roman"/>
          <w:sz w:val="24"/>
          <w:szCs w:val="24"/>
        </w:rPr>
        <w:t>(MATALLAH, 1983)</w:t>
      </w:r>
      <w:r w:rsidRPr="00773A0E">
        <w:rPr>
          <w:rFonts w:ascii="Times New Roman" w:hAnsi="Times New Roman" w:cs="Times New Roman"/>
          <w:sz w:val="24"/>
          <w:szCs w:val="24"/>
        </w:rPr>
        <w:t>.</w:t>
      </w:r>
    </w:p>
    <w:p w:rsidR="008A1C6B" w:rsidRPr="00DF445C" w:rsidRDefault="008A1C6B" w:rsidP="00E35E9B">
      <w:pPr>
        <w:pStyle w:val="Paragraphedeliste"/>
        <w:numPr>
          <w:ilvl w:val="0"/>
          <w:numId w:val="1"/>
        </w:numPr>
        <w:spacing w:before="240" w:after="240" w:line="360" w:lineRule="auto"/>
        <w:jc w:val="lowKashida"/>
        <w:rPr>
          <w:rFonts w:ascii="Times New Roman" w:hAnsi="Times New Roman" w:cs="Times New Roman"/>
          <w:b/>
          <w:bCs/>
          <w:sz w:val="24"/>
          <w:szCs w:val="24"/>
        </w:rPr>
      </w:pPr>
      <w:r w:rsidRPr="00DF445C">
        <w:rPr>
          <w:rFonts w:ascii="Times New Roman" w:hAnsi="Times New Roman" w:cs="Times New Roman"/>
          <w:b/>
          <w:bCs/>
          <w:sz w:val="24"/>
          <w:szCs w:val="24"/>
        </w:rPr>
        <w:t>Densité de semis </w:t>
      </w:r>
    </w:p>
    <w:p w:rsidR="008A1C6B" w:rsidRPr="00773A0E" w:rsidRDefault="008A1C6B" w:rsidP="00E35E9B">
      <w:pPr>
        <w:spacing w:after="240" w:line="360" w:lineRule="auto"/>
        <w:ind w:firstLine="284"/>
        <w:jc w:val="lowKashida"/>
        <w:rPr>
          <w:rFonts w:ascii="Times New Roman" w:hAnsi="Times New Roman" w:cs="Times New Roman"/>
          <w:b/>
          <w:bCs/>
          <w:sz w:val="24"/>
          <w:szCs w:val="24"/>
        </w:rPr>
      </w:pPr>
      <w:r w:rsidRPr="00773A0E">
        <w:rPr>
          <w:rFonts w:ascii="Times New Roman" w:hAnsi="Times New Roman" w:cs="Times New Roman"/>
          <w:sz w:val="24"/>
          <w:szCs w:val="24"/>
        </w:rPr>
        <w:t xml:space="preserve">La densité de semis est de 8 à </w:t>
      </w:r>
      <w:smartTag w:uri="urn:schemas-microsoft-com:office:smarttags" w:element="metricconverter">
        <w:smartTagPr>
          <w:attr w:name="ProductID" w:val="15 kg"/>
        </w:smartTagPr>
        <w:r w:rsidRPr="00773A0E">
          <w:rPr>
            <w:rFonts w:ascii="Times New Roman" w:hAnsi="Times New Roman" w:cs="Times New Roman"/>
            <w:sz w:val="24"/>
            <w:szCs w:val="24"/>
          </w:rPr>
          <w:t>15 kg</w:t>
        </w:r>
      </w:smartTag>
      <w:r w:rsidRPr="00773A0E">
        <w:rPr>
          <w:rFonts w:ascii="Times New Roman" w:hAnsi="Times New Roman" w:cs="Times New Roman"/>
          <w:sz w:val="24"/>
          <w:szCs w:val="24"/>
        </w:rPr>
        <w:t xml:space="preserve"> de semen</w:t>
      </w:r>
      <w:r w:rsidR="00580AC2">
        <w:rPr>
          <w:rFonts w:ascii="Times New Roman" w:hAnsi="Times New Roman" w:cs="Times New Roman"/>
          <w:sz w:val="24"/>
          <w:szCs w:val="24"/>
        </w:rPr>
        <w:t>ces à l’hectare en culture pure</w:t>
      </w:r>
      <w:r w:rsidR="00580AC2" w:rsidRPr="00580AC2">
        <w:rPr>
          <w:rFonts w:ascii="Times New Roman" w:hAnsi="Times New Roman" w:cs="Times New Roman"/>
          <w:sz w:val="24"/>
          <w:szCs w:val="24"/>
        </w:rPr>
        <w:t xml:space="preserve"> </w:t>
      </w:r>
      <w:r w:rsidR="00580AC2" w:rsidRPr="00CD0473">
        <w:rPr>
          <w:rFonts w:ascii="Times New Roman" w:hAnsi="Times New Roman" w:cs="Times New Roman"/>
          <w:sz w:val="24"/>
          <w:szCs w:val="24"/>
        </w:rPr>
        <w:t>(MOKKEDEM, 2004a</w:t>
      </w:r>
      <w:r w:rsidR="00580AC2">
        <w:rPr>
          <w:rFonts w:ascii="Times New Roman" w:hAnsi="Times New Roman" w:cs="Times New Roman"/>
          <w:sz w:val="24"/>
          <w:szCs w:val="24"/>
        </w:rPr>
        <w:t>).</w:t>
      </w:r>
    </w:p>
    <w:p w:rsidR="008A1C6B" w:rsidRPr="00DF445C" w:rsidRDefault="008A1C6B" w:rsidP="00E35E9B">
      <w:pPr>
        <w:pStyle w:val="Paragraphedeliste"/>
        <w:numPr>
          <w:ilvl w:val="0"/>
          <w:numId w:val="1"/>
        </w:numPr>
        <w:spacing w:before="240" w:after="240" w:line="360" w:lineRule="auto"/>
        <w:jc w:val="lowKashida"/>
        <w:rPr>
          <w:rFonts w:ascii="Times New Roman" w:hAnsi="Times New Roman" w:cs="Times New Roman"/>
          <w:b/>
          <w:bCs/>
          <w:sz w:val="24"/>
          <w:szCs w:val="24"/>
        </w:rPr>
      </w:pPr>
      <w:r w:rsidRPr="00DF445C">
        <w:rPr>
          <w:rFonts w:ascii="Times New Roman" w:hAnsi="Times New Roman" w:cs="Times New Roman"/>
          <w:b/>
          <w:bCs/>
          <w:sz w:val="24"/>
          <w:szCs w:val="24"/>
        </w:rPr>
        <w:t>Epoque de semis </w:t>
      </w:r>
    </w:p>
    <w:p w:rsidR="008A1C6B" w:rsidRPr="00C833F4" w:rsidRDefault="008A1C6B" w:rsidP="00E35E9B">
      <w:pPr>
        <w:spacing w:after="240" w:line="360" w:lineRule="auto"/>
        <w:ind w:firstLine="284"/>
        <w:jc w:val="lowKashida"/>
        <w:rPr>
          <w:rFonts w:ascii="Times New Roman" w:hAnsi="Times New Roman" w:cs="Times New Roman"/>
          <w:sz w:val="24"/>
          <w:szCs w:val="24"/>
        </w:rPr>
      </w:pPr>
      <w:r w:rsidRPr="00C833F4">
        <w:rPr>
          <w:rFonts w:ascii="Times New Roman" w:hAnsi="Times New Roman" w:cs="Times New Roman"/>
          <w:sz w:val="24"/>
          <w:szCs w:val="24"/>
        </w:rPr>
        <w:t>L’époque de semis est variable selon les régions et les conditions climatiques. En Algérie, la meilleure époque dans les hauts plateaux sera les mois de janvier-février. Dans lez zones de moindre altitude (</w:t>
      </w:r>
      <w:smartTag w:uri="urn:schemas-microsoft-com:office:smarttags" w:element="metricconverter">
        <w:smartTagPr>
          <w:attr w:name="ProductID" w:val="300 m"/>
        </w:smartTagPr>
        <w:r w:rsidRPr="00C833F4">
          <w:rPr>
            <w:rFonts w:ascii="Times New Roman" w:hAnsi="Times New Roman" w:cs="Times New Roman"/>
            <w:sz w:val="24"/>
            <w:szCs w:val="24"/>
          </w:rPr>
          <w:t>300 m</w:t>
        </w:r>
      </w:smartTag>
      <w:r w:rsidR="00BC4792">
        <w:rPr>
          <w:rFonts w:ascii="Times New Roman" w:hAnsi="Times New Roman" w:cs="Times New Roman"/>
          <w:sz w:val="24"/>
          <w:szCs w:val="24"/>
        </w:rPr>
        <w:t>) se sera la période Novembre–D</w:t>
      </w:r>
      <w:r w:rsidRPr="00C833F4">
        <w:rPr>
          <w:rFonts w:ascii="Times New Roman" w:hAnsi="Times New Roman" w:cs="Times New Roman"/>
          <w:sz w:val="24"/>
          <w:szCs w:val="24"/>
        </w:rPr>
        <w:t>écembre (MATALLAH, 1983).</w:t>
      </w:r>
    </w:p>
    <w:p w:rsidR="008A1C6B" w:rsidRPr="00C833F4" w:rsidRDefault="008A1C6B" w:rsidP="00E35E9B">
      <w:pPr>
        <w:pStyle w:val="Paragraphedeliste"/>
        <w:numPr>
          <w:ilvl w:val="0"/>
          <w:numId w:val="1"/>
        </w:numPr>
        <w:spacing w:before="240" w:after="240" w:line="360" w:lineRule="auto"/>
        <w:jc w:val="lowKashida"/>
        <w:rPr>
          <w:rFonts w:ascii="Times New Roman" w:hAnsi="Times New Roman" w:cs="Times New Roman"/>
          <w:b/>
          <w:bCs/>
          <w:sz w:val="24"/>
          <w:szCs w:val="24"/>
          <w:lang w:val="en-GB"/>
        </w:rPr>
      </w:pPr>
      <w:r w:rsidRPr="00C833F4">
        <w:rPr>
          <w:rFonts w:ascii="Times New Roman" w:hAnsi="Times New Roman" w:cs="Times New Roman"/>
          <w:b/>
          <w:bCs/>
          <w:sz w:val="24"/>
          <w:szCs w:val="24"/>
          <w:lang w:val="en-GB"/>
        </w:rPr>
        <w:t>Fumure</w:t>
      </w:r>
    </w:p>
    <w:p w:rsidR="008A1C6B" w:rsidRPr="00E35E9B" w:rsidRDefault="008A1C6B" w:rsidP="00E35E9B">
      <w:pPr>
        <w:spacing w:before="240" w:after="240" w:line="360" w:lineRule="auto"/>
        <w:ind w:firstLine="284"/>
        <w:jc w:val="lowKashida"/>
        <w:rPr>
          <w:rFonts w:ascii="Times New Roman" w:hAnsi="Times New Roman" w:cs="Times New Roman"/>
          <w:sz w:val="24"/>
          <w:szCs w:val="24"/>
        </w:rPr>
      </w:pPr>
      <w:r w:rsidRPr="00C833F4">
        <w:rPr>
          <w:rFonts w:ascii="Times New Roman" w:hAnsi="Times New Roman" w:cs="Times New Roman"/>
          <w:sz w:val="24"/>
          <w:szCs w:val="24"/>
        </w:rPr>
        <w:t>On épand 20–30 kg/ha d’engrais azoté</w:t>
      </w:r>
      <w:r>
        <w:rPr>
          <w:rFonts w:ascii="Times New Roman" w:hAnsi="Times New Roman" w:cs="Times New Roman"/>
          <w:sz w:val="24"/>
          <w:szCs w:val="24"/>
        </w:rPr>
        <w:t xml:space="preserve">, </w:t>
      </w:r>
      <w:r w:rsidRPr="00DF445C">
        <w:rPr>
          <w:rFonts w:ascii="Times New Roman" w:hAnsi="Times New Roman" w:cs="Times New Roman"/>
          <w:sz w:val="24"/>
          <w:szCs w:val="24"/>
        </w:rPr>
        <w:t xml:space="preserve">0-75 kg/ha </w:t>
      </w:r>
      <w:r w:rsidRPr="00773A0E">
        <w:rPr>
          <w:rFonts w:ascii="Times New Roman" w:hAnsi="Times New Roman" w:cs="Times New Roman"/>
          <w:sz w:val="24"/>
          <w:szCs w:val="24"/>
        </w:rPr>
        <w:t xml:space="preserve">d’engrais </w:t>
      </w:r>
      <w:r>
        <w:rPr>
          <w:rFonts w:ascii="Times New Roman" w:hAnsi="Times New Roman" w:cs="Times New Roman"/>
          <w:sz w:val="24"/>
          <w:szCs w:val="24"/>
        </w:rPr>
        <w:t xml:space="preserve">potassique </w:t>
      </w:r>
      <w:r w:rsidRPr="00DF445C">
        <w:rPr>
          <w:rFonts w:ascii="Times New Roman" w:hAnsi="Times New Roman" w:cs="Times New Roman"/>
          <w:sz w:val="24"/>
          <w:szCs w:val="24"/>
        </w:rPr>
        <w:t xml:space="preserve">et </w:t>
      </w:r>
      <w:r w:rsidRPr="00773A0E">
        <w:rPr>
          <w:rFonts w:ascii="Times New Roman" w:hAnsi="Times New Roman" w:cs="Times New Roman"/>
          <w:sz w:val="24"/>
          <w:szCs w:val="24"/>
        </w:rPr>
        <w:t>60-80 kg/ha</w:t>
      </w:r>
      <w:r>
        <w:rPr>
          <w:rFonts w:ascii="Times New Roman" w:hAnsi="Times New Roman" w:cs="Times New Roman"/>
          <w:sz w:val="24"/>
          <w:szCs w:val="24"/>
        </w:rPr>
        <w:t xml:space="preserve"> p</w:t>
      </w:r>
      <w:r w:rsidRPr="00820473">
        <w:rPr>
          <w:rFonts w:ascii="Times New Roman" w:hAnsi="Times New Roman" w:cs="Times New Roman"/>
          <w:sz w:val="24"/>
          <w:szCs w:val="24"/>
        </w:rPr>
        <w:t xml:space="preserve">hosphatique </w:t>
      </w:r>
      <w:r w:rsidRPr="00AD08F3">
        <w:rPr>
          <w:rFonts w:ascii="Times New Roman" w:hAnsi="Times New Roman" w:cs="Times New Roman"/>
          <w:sz w:val="24"/>
          <w:szCs w:val="24"/>
        </w:rPr>
        <w:t>(MEMENTO</w:t>
      </w:r>
      <w:r>
        <w:rPr>
          <w:rFonts w:ascii="Times New Roman" w:hAnsi="Times New Roman" w:cs="Times New Roman"/>
          <w:sz w:val="24"/>
          <w:szCs w:val="24"/>
        </w:rPr>
        <w:t>,</w:t>
      </w:r>
      <w:r w:rsidRPr="00AD08F3">
        <w:rPr>
          <w:rFonts w:ascii="Times New Roman" w:hAnsi="Times New Roman" w:cs="Times New Roman"/>
          <w:sz w:val="24"/>
          <w:szCs w:val="24"/>
        </w:rPr>
        <w:t xml:space="preserve"> 1991)</w:t>
      </w:r>
      <w:r>
        <w:rPr>
          <w:rFonts w:ascii="Times New Roman" w:hAnsi="Times New Roman" w:cs="Times New Roman"/>
          <w:sz w:val="24"/>
          <w:szCs w:val="24"/>
        </w:rPr>
        <w:t>.</w:t>
      </w:r>
    </w:p>
    <w:p w:rsidR="008A1C6B" w:rsidRPr="002373D1" w:rsidRDefault="008A1C6B" w:rsidP="00E35E9B">
      <w:pPr>
        <w:pStyle w:val="Titre2"/>
        <w:numPr>
          <w:ilvl w:val="0"/>
          <w:numId w:val="7"/>
        </w:numPr>
        <w:spacing w:before="240" w:after="240" w:line="360" w:lineRule="auto"/>
        <w:rPr>
          <w:rFonts w:ascii="Times New Roman" w:hAnsi="Times New Roman"/>
          <w:color w:val="auto"/>
          <w:sz w:val="24"/>
          <w:szCs w:val="24"/>
        </w:rPr>
      </w:pPr>
      <w:bookmarkStart w:id="423" w:name="_Toc251855003"/>
      <w:bookmarkStart w:id="424" w:name="_Toc251855413"/>
      <w:bookmarkStart w:id="425" w:name="_Toc126492579"/>
      <w:bookmarkStart w:id="426" w:name="_Toc126492994"/>
      <w:bookmarkStart w:id="427" w:name="_Toc126570502"/>
      <w:bookmarkStart w:id="428" w:name="_Toc126571810"/>
      <w:bookmarkStart w:id="429" w:name="_Toc126572591"/>
      <w:bookmarkStart w:id="430" w:name="_Toc126575225"/>
      <w:bookmarkStart w:id="431" w:name="_Toc126575902"/>
      <w:bookmarkStart w:id="432" w:name="_Toc126576777"/>
      <w:bookmarkStart w:id="433" w:name="_Toc252093986"/>
      <w:bookmarkStart w:id="434" w:name="_Toc252365382"/>
      <w:bookmarkStart w:id="435" w:name="_Toc252365647"/>
      <w:bookmarkStart w:id="436" w:name="_Toc252366192"/>
      <w:r w:rsidRPr="002373D1">
        <w:rPr>
          <w:rFonts w:ascii="Times New Roman" w:hAnsi="Times New Roman"/>
          <w:color w:val="auto"/>
          <w:sz w:val="24"/>
          <w:szCs w:val="24"/>
        </w:rPr>
        <w:t>La Nigelle</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8A1C6B"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437" w:name="_Toc126570503"/>
      <w:bookmarkStart w:id="438" w:name="_Toc126571811"/>
      <w:bookmarkStart w:id="439" w:name="_Toc126572592"/>
      <w:bookmarkStart w:id="440" w:name="_Toc126575226"/>
      <w:bookmarkStart w:id="441" w:name="_Toc126575903"/>
      <w:bookmarkStart w:id="442" w:name="_Toc126576778"/>
      <w:bookmarkStart w:id="443" w:name="_Toc252093987"/>
      <w:bookmarkStart w:id="444" w:name="_Toc252365648"/>
      <w:bookmarkStart w:id="445" w:name="_Toc252366193"/>
      <w:r w:rsidRPr="00C82FD1">
        <w:rPr>
          <w:rFonts w:ascii="Times New Roman" w:hAnsi="Times New Roman"/>
          <w:color w:val="auto"/>
          <w:sz w:val="24"/>
          <w:szCs w:val="24"/>
        </w:rPr>
        <w:t>Classification</w:t>
      </w:r>
      <w:bookmarkEnd w:id="437"/>
      <w:bookmarkEnd w:id="438"/>
      <w:bookmarkEnd w:id="439"/>
      <w:bookmarkEnd w:id="440"/>
      <w:bookmarkEnd w:id="441"/>
      <w:bookmarkEnd w:id="442"/>
      <w:bookmarkEnd w:id="443"/>
      <w:bookmarkEnd w:id="444"/>
      <w:bookmarkEnd w:id="445"/>
    </w:p>
    <w:p w:rsidR="008A1C6B" w:rsidRPr="00773A0E" w:rsidRDefault="008A1C6B" w:rsidP="00E35E9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Classe : </w:t>
      </w:r>
      <w:r w:rsidRPr="00773A0E">
        <w:rPr>
          <w:rFonts w:ascii="Times New Roman" w:hAnsi="Times New Roman" w:cs="Times New Roman"/>
          <w:sz w:val="24"/>
          <w:szCs w:val="24"/>
        </w:rPr>
        <w:t>Dicotylédones</w:t>
      </w:r>
    </w:p>
    <w:p w:rsidR="008A1C6B" w:rsidRPr="00773A0E" w:rsidRDefault="008A1C6B" w:rsidP="00E35E9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Sous classe : </w:t>
      </w:r>
      <w:r w:rsidRPr="00773A0E">
        <w:rPr>
          <w:rFonts w:ascii="Times New Roman" w:hAnsi="Times New Roman" w:cs="Times New Roman"/>
          <w:sz w:val="24"/>
          <w:szCs w:val="24"/>
        </w:rPr>
        <w:t>Gamopétales</w:t>
      </w:r>
    </w:p>
    <w:p w:rsidR="008A1C6B" w:rsidRPr="00773A0E" w:rsidRDefault="008A1C6B" w:rsidP="00E35E9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Ordre : </w:t>
      </w:r>
      <w:r w:rsidRPr="00773A0E">
        <w:rPr>
          <w:rFonts w:ascii="Times New Roman" w:hAnsi="Times New Roman" w:cs="Times New Roman"/>
          <w:sz w:val="24"/>
          <w:szCs w:val="24"/>
        </w:rPr>
        <w:t xml:space="preserve">Ranales </w:t>
      </w:r>
    </w:p>
    <w:p w:rsidR="008A1C6B" w:rsidRPr="00773A0E" w:rsidRDefault="008A1C6B" w:rsidP="00E35E9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Famille : </w:t>
      </w:r>
      <w:r w:rsidRPr="0032498C">
        <w:rPr>
          <w:rFonts w:ascii="Times New Roman" w:hAnsi="Times New Roman" w:cs="Times New Roman"/>
          <w:sz w:val="24"/>
          <w:szCs w:val="24"/>
        </w:rPr>
        <w:t>Renonculacées (SPICHIGER, 2002)</w:t>
      </w:r>
      <w:r w:rsidRPr="00A456A7">
        <w:rPr>
          <w:rFonts w:ascii="Times New Roman" w:hAnsi="Times New Roman" w:cs="Times New Roman"/>
          <w:sz w:val="24"/>
          <w:szCs w:val="24"/>
          <w:shd w:val="clear" w:color="auto" w:fill="00B050"/>
        </w:rPr>
        <w:t xml:space="preserve"> </w:t>
      </w:r>
    </w:p>
    <w:p w:rsidR="008A1C6B" w:rsidRPr="00773A0E" w:rsidRDefault="008A1C6B" w:rsidP="00E35E9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Tribus : </w:t>
      </w:r>
      <w:r w:rsidRPr="00773A0E">
        <w:rPr>
          <w:rFonts w:ascii="Times New Roman" w:hAnsi="Times New Roman" w:cs="Times New Roman"/>
          <w:sz w:val="24"/>
          <w:szCs w:val="24"/>
        </w:rPr>
        <w:t>Renonculées</w:t>
      </w:r>
    </w:p>
    <w:p w:rsidR="008A1C6B" w:rsidRPr="00773A0E" w:rsidRDefault="008A1C6B" w:rsidP="00E35E9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Genre </w:t>
      </w:r>
      <w:r w:rsidRPr="00C833F4">
        <w:rPr>
          <w:rFonts w:ascii="Times New Roman" w:hAnsi="Times New Roman" w:cs="Times New Roman"/>
          <w:b/>
          <w:bCs/>
          <w:sz w:val="24"/>
          <w:szCs w:val="24"/>
        </w:rPr>
        <w:t xml:space="preserve">: </w:t>
      </w:r>
      <w:r w:rsidRPr="00C833F4">
        <w:rPr>
          <w:rFonts w:ascii="Times New Roman" w:hAnsi="Times New Roman" w:cs="Times New Roman"/>
          <w:i/>
          <w:iCs/>
          <w:sz w:val="24"/>
          <w:szCs w:val="24"/>
        </w:rPr>
        <w:t>Nigella</w:t>
      </w:r>
      <w:r w:rsidRPr="00773A0E">
        <w:rPr>
          <w:rFonts w:ascii="Times New Roman" w:hAnsi="Times New Roman" w:cs="Times New Roman"/>
          <w:i/>
          <w:iCs/>
          <w:sz w:val="24"/>
          <w:szCs w:val="24"/>
        </w:rPr>
        <w:t xml:space="preserve"> </w:t>
      </w:r>
    </w:p>
    <w:p w:rsidR="008A1C6B" w:rsidRPr="00773A0E" w:rsidRDefault="008A1C6B" w:rsidP="00E35E9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Espèce : </w:t>
      </w:r>
      <w:r w:rsidRPr="00773A0E">
        <w:rPr>
          <w:rFonts w:ascii="Times New Roman" w:hAnsi="Times New Roman" w:cs="Times New Roman"/>
          <w:i/>
          <w:iCs/>
          <w:sz w:val="24"/>
          <w:szCs w:val="24"/>
        </w:rPr>
        <w:t>Nigella sativa</w:t>
      </w:r>
      <w:r w:rsidRPr="00773A0E">
        <w:rPr>
          <w:rFonts w:ascii="Times New Roman" w:hAnsi="Times New Roman" w:cs="Times New Roman"/>
          <w:sz w:val="24"/>
          <w:szCs w:val="24"/>
        </w:rPr>
        <w:t xml:space="preserve"> L.</w:t>
      </w:r>
    </w:p>
    <w:p w:rsidR="008A1C6B" w:rsidRPr="00773A0E" w:rsidRDefault="008A1C6B" w:rsidP="00E35E9B">
      <w:pPr>
        <w:spacing w:before="240" w:line="360" w:lineRule="auto"/>
        <w:jc w:val="lowKashida"/>
        <w:rPr>
          <w:rFonts w:ascii="Times New Roman" w:hAnsi="Times New Roman" w:cs="Times New Roman"/>
          <w:sz w:val="24"/>
          <w:szCs w:val="24"/>
        </w:rPr>
      </w:pPr>
      <w:r w:rsidRPr="00773A0E">
        <w:rPr>
          <w:rFonts w:ascii="Times New Roman" w:hAnsi="Times New Roman" w:cs="Times New Roman"/>
          <w:b/>
          <w:bCs/>
          <w:sz w:val="24"/>
          <w:szCs w:val="24"/>
        </w:rPr>
        <w:t>Nom latin</w:t>
      </w:r>
      <w:r w:rsidRPr="00773A0E">
        <w:rPr>
          <w:rFonts w:ascii="Times New Roman" w:hAnsi="Times New Roman" w:cs="Times New Roman"/>
          <w:sz w:val="24"/>
          <w:szCs w:val="24"/>
        </w:rPr>
        <w:t> : nigelle cultivée, nielle bâtarde, poivrette, herbe aux épices.</w:t>
      </w:r>
    </w:p>
    <w:p w:rsidR="008A1C6B" w:rsidRPr="00773A0E" w:rsidRDefault="008A1C6B" w:rsidP="00E35E9B">
      <w:pPr>
        <w:spacing w:before="240" w:line="360" w:lineRule="auto"/>
        <w:jc w:val="lowKashida"/>
        <w:rPr>
          <w:rFonts w:ascii="Times New Roman" w:hAnsi="Times New Roman" w:cs="Times New Roman"/>
          <w:sz w:val="24"/>
          <w:szCs w:val="24"/>
        </w:rPr>
      </w:pPr>
      <w:r w:rsidRPr="00773A0E">
        <w:rPr>
          <w:rFonts w:ascii="Times New Roman" w:hAnsi="Times New Roman" w:cs="Times New Roman"/>
          <w:b/>
          <w:bCs/>
          <w:sz w:val="24"/>
          <w:szCs w:val="24"/>
        </w:rPr>
        <w:t>Nom vernaculaire arabe</w:t>
      </w:r>
      <w:r w:rsidRPr="00773A0E">
        <w:rPr>
          <w:rFonts w:ascii="Times New Roman" w:hAnsi="Times New Roman" w:cs="Times New Roman"/>
          <w:sz w:val="24"/>
          <w:szCs w:val="24"/>
        </w:rPr>
        <w:t> : Sanoudj, Kammoun açoued, Habbet es souda</w:t>
      </w:r>
    </w:p>
    <w:p w:rsidR="008A1C6B" w:rsidRPr="00773A0E" w:rsidRDefault="008A1C6B" w:rsidP="00E35E9B">
      <w:pPr>
        <w:spacing w:before="240" w:line="360" w:lineRule="auto"/>
        <w:jc w:val="lowKashida"/>
        <w:rPr>
          <w:rFonts w:ascii="Times New Roman" w:hAnsi="Times New Roman" w:cs="Times New Roman"/>
          <w:b/>
          <w:bCs/>
          <w:sz w:val="24"/>
          <w:szCs w:val="24"/>
        </w:rPr>
      </w:pPr>
      <w:r w:rsidRPr="00773A0E">
        <w:rPr>
          <w:rFonts w:ascii="Times New Roman" w:hAnsi="Times New Roman" w:cs="Times New Roman"/>
          <w:b/>
          <w:bCs/>
          <w:sz w:val="24"/>
          <w:szCs w:val="24"/>
        </w:rPr>
        <w:t xml:space="preserve">Nom targui ou berbère : </w:t>
      </w:r>
      <w:r w:rsidRPr="00773A0E">
        <w:rPr>
          <w:rFonts w:ascii="Times New Roman" w:hAnsi="Times New Roman" w:cs="Times New Roman"/>
          <w:sz w:val="24"/>
          <w:szCs w:val="24"/>
        </w:rPr>
        <w:t>Zerara</w:t>
      </w:r>
      <w:r w:rsidRPr="00773A0E">
        <w:rPr>
          <w:rFonts w:ascii="Times New Roman" w:hAnsi="Times New Roman" w:cs="Times New Roman"/>
          <w:b/>
          <w:bCs/>
          <w:sz w:val="24"/>
          <w:szCs w:val="24"/>
        </w:rPr>
        <w:t>,</w:t>
      </w:r>
      <w:r w:rsidRPr="00773A0E">
        <w:rPr>
          <w:rFonts w:ascii="Times New Roman" w:hAnsi="Times New Roman" w:cs="Times New Roman"/>
          <w:sz w:val="24"/>
          <w:szCs w:val="24"/>
        </w:rPr>
        <w:t>Ti kamni</w:t>
      </w:r>
    </w:p>
    <w:p w:rsidR="008A1C6B"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446" w:name="_Toc126570504"/>
      <w:bookmarkStart w:id="447" w:name="_Toc126571812"/>
      <w:bookmarkStart w:id="448" w:name="_Toc126572593"/>
      <w:bookmarkStart w:id="449" w:name="_Toc126575227"/>
      <w:bookmarkStart w:id="450" w:name="_Toc126575904"/>
      <w:bookmarkStart w:id="451" w:name="_Toc126576779"/>
      <w:bookmarkStart w:id="452" w:name="_Toc252093988"/>
      <w:bookmarkStart w:id="453" w:name="_Toc252365649"/>
      <w:bookmarkStart w:id="454" w:name="_Toc252366194"/>
      <w:r w:rsidRPr="00C82FD1">
        <w:rPr>
          <w:rFonts w:ascii="Times New Roman" w:hAnsi="Times New Roman"/>
          <w:color w:val="auto"/>
          <w:sz w:val="24"/>
          <w:szCs w:val="24"/>
        </w:rPr>
        <w:lastRenderedPageBreak/>
        <w:t>Description</w:t>
      </w:r>
      <w:bookmarkEnd w:id="446"/>
      <w:bookmarkEnd w:id="447"/>
      <w:bookmarkEnd w:id="448"/>
      <w:bookmarkEnd w:id="449"/>
      <w:bookmarkEnd w:id="450"/>
      <w:bookmarkEnd w:id="451"/>
      <w:bookmarkEnd w:id="452"/>
      <w:bookmarkEnd w:id="453"/>
      <w:bookmarkEnd w:id="454"/>
      <w:r w:rsidRPr="00C82FD1">
        <w:rPr>
          <w:rFonts w:ascii="Times New Roman" w:hAnsi="Times New Roman"/>
          <w:color w:val="auto"/>
          <w:sz w:val="24"/>
          <w:szCs w:val="24"/>
        </w:rPr>
        <w:t xml:space="preserve">  </w:t>
      </w:r>
    </w:p>
    <w:p w:rsidR="008A1C6B" w:rsidRDefault="008A1C6B" w:rsidP="00E35E9B">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Plante annuelle à tiges dressées de </w:t>
      </w:r>
      <w:smartTag w:uri="urn:schemas-microsoft-com:office:smarttags" w:element="metricconverter">
        <w:smartTagPr>
          <w:attr w:name="ProductID" w:val="30 cm"/>
        </w:smartTagPr>
        <w:r w:rsidRPr="00773A0E">
          <w:rPr>
            <w:rFonts w:ascii="Times New Roman" w:hAnsi="Times New Roman" w:cs="Times New Roman"/>
            <w:sz w:val="24"/>
            <w:szCs w:val="24"/>
          </w:rPr>
          <w:t>30 cm</w:t>
        </w:r>
      </w:smartTag>
      <w:r w:rsidRPr="00773A0E">
        <w:rPr>
          <w:rFonts w:ascii="Times New Roman" w:hAnsi="Times New Roman" w:cs="Times New Roman"/>
          <w:sz w:val="24"/>
          <w:szCs w:val="24"/>
        </w:rPr>
        <w:t xml:space="preserve"> à </w:t>
      </w:r>
      <w:smartTag w:uri="urn:schemas-microsoft-com:office:smarttags" w:element="metricconverter">
        <w:smartTagPr>
          <w:attr w:name="ProductID" w:val="40 cm"/>
        </w:smartTagPr>
        <w:r w:rsidRPr="00773A0E">
          <w:rPr>
            <w:rFonts w:ascii="Times New Roman" w:hAnsi="Times New Roman" w:cs="Times New Roman"/>
            <w:sz w:val="24"/>
            <w:szCs w:val="24"/>
          </w:rPr>
          <w:t>40 cm</w:t>
        </w:r>
      </w:smartTag>
      <w:r w:rsidRPr="00773A0E">
        <w:rPr>
          <w:rFonts w:ascii="Times New Roman" w:hAnsi="Times New Roman" w:cs="Times New Roman"/>
          <w:sz w:val="24"/>
          <w:szCs w:val="24"/>
        </w:rPr>
        <w:t xml:space="preserve">, ordinairement unicaule. Feuille multifides, les inférieures pétiolées, les supérieures sessiles, à lanière lancéolées linéaires. Fleurs sans involucre, petites de </w:t>
      </w:r>
      <w:smartTag w:uri="urn:schemas-microsoft-com:office:smarttags" w:element="metricconverter">
        <w:smartTagPr>
          <w:attr w:name="ProductID" w:val="2.5 cm"/>
        </w:smartTagPr>
        <w:r w:rsidRPr="00773A0E">
          <w:rPr>
            <w:rFonts w:ascii="Times New Roman" w:hAnsi="Times New Roman" w:cs="Times New Roman"/>
            <w:sz w:val="24"/>
            <w:szCs w:val="24"/>
          </w:rPr>
          <w:t>2.5 cm</w:t>
        </w:r>
      </w:smartTag>
      <w:r w:rsidRPr="00773A0E">
        <w:rPr>
          <w:rFonts w:ascii="Times New Roman" w:hAnsi="Times New Roman" w:cs="Times New Roman"/>
          <w:sz w:val="24"/>
          <w:szCs w:val="24"/>
        </w:rPr>
        <w:t xml:space="preserve"> de </w:t>
      </w:r>
      <w:r w:rsidRPr="00C833F4">
        <w:rPr>
          <w:rFonts w:ascii="Times New Roman" w:hAnsi="Times New Roman" w:cs="Times New Roman"/>
          <w:sz w:val="24"/>
          <w:szCs w:val="24"/>
        </w:rPr>
        <w:t>diamètre (Fig. 08).</w:t>
      </w:r>
      <w:r w:rsidRPr="00773A0E">
        <w:rPr>
          <w:rFonts w:ascii="Times New Roman" w:hAnsi="Times New Roman" w:cs="Times New Roman"/>
          <w:sz w:val="24"/>
          <w:szCs w:val="24"/>
        </w:rPr>
        <w:t xml:space="preserve"> 5 sépales ovales et acuminés au sommet. 8 pétales ordinairement d’un blanc bleuté, assez longuement onguiculés, lâchement pubescents. Étamines nombreuses.</w:t>
      </w:r>
      <w:r>
        <w:rPr>
          <w:rFonts w:ascii="Times New Roman" w:hAnsi="Times New Roman" w:cs="Times New Roman"/>
          <w:sz w:val="24"/>
          <w:szCs w:val="24"/>
        </w:rPr>
        <w:t xml:space="preserve"> </w:t>
      </w:r>
      <w:r w:rsidRPr="00773A0E">
        <w:rPr>
          <w:rFonts w:ascii="Times New Roman" w:hAnsi="Times New Roman" w:cs="Times New Roman"/>
          <w:sz w:val="24"/>
          <w:szCs w:val="24"/>
        </w:rPr>
        <w:t>5 à 6 graines noires, oblongues, anguleuses, irrégulièrement trigones de 3mm de long</w:t>
      </w:r>
      <w:r>
        <w:rPr>
          <w:rFonts w:ascii="Times New Roman" w:hAnsi="Times New Roman" w:cs="Times New Roman"/>
          <w:sz w:val="24"/>
          <w:szCs w:val="24"/>
        </w:rPr>
        <w:t>,</w:t>
      </w:r>
      <w:r w:rsidRPr="00773A0E">
        <w:rPr>
          <w:rFonts w:ascii="Times New Roman" w:hAnsi="Times New Roman" w:cs="Times New Roman"/>
          <w:sz w:val="24"/>
          <w:szCs w:val="24"/>
        </w:rPr>
        <w:t xml:space="preserve"> granuleuses, papilleuses (BELOUED, 2001).</w:t>
      </w:r>
    </w:p>
    <w:p w:rsidR="00E24B0B" w:rsidRPr="00463B12" w:rsidRDefault="008A1C6B" w:rsidP="00E35E9B">
      <w:pPr>
        <w:pStyle w:val="Lgende"/>
        <w:spacing w:before="240" w:line="360" w:lineRule="auto"/>
        <w:jc w:val="center"/>
        <w:rPr>
          <w:rFonts w:asciiTheme="majorBidi" w:hAnsiTheme="majorBidi" w:cstheme="majorBidi"/>
          <w:color w:val="auto"/>
          <w:sz w:val="24"/>
          <w:szCs w:val="24"/>
        </w:rPr>
      </w:pPr>
      <w:r w:rsidRPr="00463B12">
        <w:rPr>
          <w:rFonts w:asciiTheme="majorBidi" w:hAnsiTheme="majorBidi" w:cstheme="majorBidi"/>
          <w:noProof/>
          <w:color w:val="auto"/>
          <w:sz w:val="24"/>
          <w:szCs w:val="24"/>
        </w:rPr>
        <w:drawing>
          <wp:inline distT="0" distB="0" distL="0" distR="0">
            <wp:extent cx="1779905" cy="1738924"/>
            <wp:effectExtent l="38100" t="0" r="10795" b="508976"/>
            <wp:docPr id="15" name="Image 8" descr="DSC07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SC07109"/>
                    <pic:cNvPicPr>
                      <a:picLocks noChangeAspect="1" noChangeArrowheads="1"/>
                    </pic:cNvPicPr>
                  </pic:nvPicPr>
                  <pic:blipFill>
                    <a:blip r:embed="rId45" cstate="print"/>
                    <a:srcRect/>
                    <a:stretch>
                      <a:fillRect/>
                    </a:stretch>
                  </pic:blipFill>
                  <pic:spPr bwMode="auto">
                    <a:xfrm>
                      <a:off x="0" y="0"/>
                      <a:ext cx="1784506" cy="17434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463B12">
        <w:rPr>
          <w:rFonts w:asciiTheme="majorBidi" w:hAnsiTheme="majorBidi" w:cstheme="majorBidi"/>
          <w:noProof/>
          <w:color w:val="auto"/>
          <w:sz w:val="24"/>
          <w:szCs w:val="24"/>
        </w:rPr>
        <w:drawing>
          <wp:inline distT="0" distB="0" distL="0" distR="0">
            <wp:extent cx="2024719" cy="1745051"/>
            <wp:effectExtent l="38100" t="0" r="13631" b="521899"/>
            <wp:docPr id="16" name="Image 9" descr="DSC07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SC07108"/>
                    <pic:cNvPicPr>
                      <a:picLocks noChangeAspect="1" noChangeArrowheads="1"/>
                    </pic:cNvPicPr>
                  </pic:nvPicPr>
                  <pic:blipFill>
                    <a:blip r:embed="rId46" cstate="print"/>
                    <a:srcRect/>
                    <a:stretch>
                      <a:fillRect/>
                    </a:stretch>
                  </pic:blipFill>
                  <pic:spPr bwMode="auto">
                    <a:xfrm>
                      <a:off x="0" y="0"/>
                      <a:ext cx="2035900" cy="1754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24B0B" w:rsidRPr="00463B12">
        <w:rPr>
          <w:rFonts w:asciiTheme="majorBidi" w:hAnsiTheme="majorBidi" w:cstheme="majorBidi"/>
          <w:noProof/>
          <w:color w:val="auto"/>
          <w:sz w:val="24"/>
          <w:szCs w:val="24"/>
        </w:rPr>
        <w:drawing>
          <wp:inline distT="0" distB="0" distL="0" distR="0">
            <wp:extent cx="2027767" cy="1710831"/>
            <wp:effectExtent l="38100" t="0" r="10583" b="518019"/>
            <wp:docPr id="51" name="Image 2" descr="DSC05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05900"/>
                    <pic:cNvPicPr>
                      <a:picLocks noChangeAspect="1" noChangeArrowheads="1"/>
                    </pic:cNvPicPr>
                  </pic:nvPicPr>
                  <pic:blipFill>
                    <a:blip r:embed="rId47" cstate="print"/>
                    <a:srcRect/>
                    <a:stretch>
                      <a:fillRect/>
                    </a:stretch>
                  </pic:blipFill>
                  <pic:spPr bwMode="auto">
                    <a:xfrm>
                      <a:off x="0" y="0"/>
                      <a:ext cx="2033574" cy="1715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A1C6B" w:rsidRPr="00E35E9B" w:rsidRDefault="00B16C26" w:rsidP="00E35E9B">
      <w:pPr>
        <w:pStyle w:val="Lgende"/>
        <w:spacing w:before="240" w:line="360" w:lineRule="auto"/>
        <w:jc w:val="center"/>
        <w:rPr>
          <w:rFonts w:asciiTheme="majorBidi" w:hAnsiTheme="majorBidi" w:cstheme="majorBidi"/>
          <w:color w:val="auto"/>
          <w:sz w:val="24"/>
          <w:szCs w:val="24"/>
        </w:rPr>
      </w:pPr>
      <w:bookmarkStart w:id="455" w:name="_Toc252194945"/>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8</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:La nigelle : fleurs, capsule et graines (Images d’origines).</w:t>
      </w:r>
      <w:bookmarkEnd w:id="455"/>
    </w:p>
    <w:p w:rsidR="008A1C6B"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456" w:name="_Toc126570505"/>
      <w:bookmarkStart w:id="457" w:name="_Toc126571813"/>
      <w:bookmarkStart w:id="458" w:name="_Toc126572594"/>
      <w:bookmarkStart w:id="459" w:name="_Toc126575228"/>
      <w:bookmarkStart w:id="460" w:name="_Toc126575905"/>
      <w:bookmarkStart w:id="461" w:name="_Toc126576780"/>
      <w:bookmarkStart w:id="462" w:name="_Toc252093989"/>
      <w:bookmarkStart w:id="463" w:name="_Toc252365650"/>
      <w:bookmarkStart w:id="464" w:name="_Toc252366195"/>
      <w:r w:rsidRPr="00C82FD1">
        <w:rPr>
          <w:rFonts w:ascii="Times New Roman" w:hAnsi="Times New Roman"/>
          <w:color w:val="auto"/>
          <w:sz w:val="24"/>
          <w:szCs w:val="24"/>
        </w:rPr>
        <w:t>Origine et aire de répartition</w:t>
      </w:r>
      <w:bookmarkEnd w:id="456"/>
      <w:bookmarkEnd w:id="457"/>
      <w:bookmarkEnd w:id="458"/>
      <w:bookmarkEnd w:id="459"/>
      <w:bookmarkEnd w:id="460"/>
      <w:bookmarkEnd w:id="461"/>
      <w:bookmarkEnd w:id="462"/>
      <w:bookmarkEnd w:id="463"/>
      <w:bookmarkEnd w:id="464"/>
      <w:r w:rsidRPr="00C82FD1">
        <w:rPr>
          <w:rFonts w:ascii="Times New Roman" w:hAnsi="Times New Roman"/>
          <w:color w:val="auto"/>
          <w:sz w:val="24"/>
          <w:szCs w:val="24"/>
        </w:rPr>
        <w:t xml:space="preserve">  </w:t>
      </w:r>
    </w:p>
    <w:p w:rsidR="00E35E9B" w:rsidRPr="00773A0E" w:rsidRDefault="008A1C6B" w:rsidP="00C82FD1">
      <w:pPr>
        <w:spacing w:before="240" w:line="360" w:lineRule="auto"/>
        <w:ind w:firstLine="284"/>
        <w:jc w:val="lowKashida"/>
        <w:rPr>
          <w:rFonts w:ascii="Times New Roman" w:hAnsi="Times New Roman" w:cs="Times New Roman"/>
          <w:sz w:val="24"/>
          <w:szCs w:val="24"/>
        </w:rPr>
      </w:pPr>
      <w:r>
        <w:rPr>
          <w:rFonts w:ascii="Times New Roman" w:hAnsi="Times New Roman" w:cs="Times New Roman"/>
          <w:sz w:val="24"/>
          <w:szCs w:val="24"/>
        </w:rPr>
        <w:t>L</w:t>
      </w:r>
      <w:r w:rsidRPr="00773A0E">
        <w:rPr>
          <w:rFonts w:ascii="Times New Roman" w:hAnsi="Times New Roman" w:cs="Times New Roman"/>
          <w:sz w:val="24"/>
          <w:szCs w:val="24"/>
        </w:rPr>
        <w:t xml:space="preserve">'Asie </w:t>
      </w:r>
      <w:r>
        <w:rPr>
          <w:rFonts w:ascii="Times New Roman" w:hAnsi="Times New Roman" w:cs="Times New Roman"/>
          <w:sz w:val="24"/>
          <w:szCs w:val="24"/>
        </w:rPr>
        <w:t>M</w:t>
      </w:r>
      <w:r w:rsidRPr="00773A0E">
        <w:rPr>
          <w:rFonts w:ascii="Times New Roman" w:hAnsi="Times New Roman" w:cs="Times New Roman"/>
          <w:sz w:val="24"/>
          <w:szCs w:val="24"/>
        </w:rPr>
        <w:t>ineure représente le lieu naturel de</w:t>
      </w:r>
      <w:r>
        <w:rPr>
          <w:rFonts w:ascii="Times New Roman" w:hAnsi="Times New Roman" w:cs="Times New Roman"/>
          <w:sz w:val="24"/>
          <w:szCs w:val="24"/>
        </w:rPr>
        <w:t>s</w:t>
      </w:r>
      <w:r w:rsidRPr="00773A0E">
        <w:rPr>
          <w:rFonts w:ascii="Times New Roman" w:hAnsi="Times New Roman" w:cs="Times New Roman"/>
          <w:sz w:val="24"/>
          <w:szCs w:val="24"/>
        </w:rPr>
        <w:t xml:space="preserve"> genres de plantes appartenant à cette espèce en raison de leur existence sur de larges superficies </w:t>
      </w:r>
      <w:r>
        <w:rPr>
          <w:rFonts w:ascii="Times New Roman" w:hAnsi="Times New Roman" w:cs="Times New Roman"/>
          <w:sz w:val="24"/>
          <w:szCs w:val="24"/>
        </w:rPr>
        <w:t xml:space="preserve">que ce </w:t>
      </w:r>
      <w:r w:rsidRPr="00773A0E">
        <w:rPr>
          <w:rFonts w:ascii="Times New Roman" w:hAnsi="Times New Roman" w:cs="Times New Roman"/>
          <w:sz w:val="24"/>
          <w:szCs w:val="24"/>
        </w:rPr>
        <w:t xml:space="preserve">soit en </w:t>
      </w:r>
      <w:r>
        <w:rPr>
          <w:rFonts w:ascii="Times New Roman" w:hAnsi="Times New Roman" w:cs="Times New Roman"/>
          <w:sz w:val="24"/>
          <w:szCs w:val="24"/>
        </w:rPr>
        <w:t xml:space="preserve">Iraq ou en </w:t>
      </w:r>
      <w:r w:rsidRPr="00773A0E">
        <w:rPr>
          <w:rFonts w:ascii="Times New Roman" w:hAnsi="Times New Roman" w:cs="Times New Roman"/>
          <w:sz w:val="24"/>
          <w:szCs w:val="24"/>
        </w:rPr>
        <w:t>Syrie</w:t>
      </w:r>
      <w:r>
        <w:rPr>
          <w:rFonts w:ascii="Times New Roman" w:hAnsi="Times New Roman" w:cs="Times New Roman"/>
          <w:sz w:val="24"/>
          <w:szCs w:val="24"/>
        </w:rPr>
        <w:t xml:space="preserve"> ou</w:t>
      </w:r>
      <w:r w:rsidRPr="00773A0E">
        <w:rPr>
          <w:rFonts w:ascii="Times New Roman" w:hAnsi="Times New Roman" w:cs="Times New Roman"/>
          <w:sz w:val="24"/>
          <w:szCs w:val="24"/>
        </w:rPr>
        <w:t xml:space="preserve"> dans d'autres régions du </w:t>
      </w:r>
      <w:r w:rsidRPr="00C833F4">
        <w:rPr>
          <w:rFonts w:ascii="Times New Roman" w:hAnsi="Times New Roman" w:cs="Times New Roman"/>
          <w:sz w:val="24"/>
          <w:szCs w:val="24"/>
        </w:rPr>
        <w:t>Bassin Méditerranéen. Par la suite, leur culture s'est répandue partout dans les zones tempérées de l'Afrique. Mais les plus importants pays producteurs (de la graine noire) sont les Etats Unis d'Amérique, l'Inde, le Pakistan, l'Iran, l'Iraq, la Syrie et l'Egypte (CHAMSEDDINE, 2003</w:t>
      </w:r>
      <w:r w:rsidRPr="00773A0E">
        <w:rPr>
          <w:rFonts w:ascii="Times New Roman" w:hAnsi="Times New Roman" w:cs="Times New Roman"/>
          <w:sz w:val="24"/>
          <w:szCs w:val="24"/>
        </w:rPr>
        <w:t>).</w:t>
      </w:r>
    </w:p>
    <w:p w:rsidR="008A1C6B"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465" w:name="_Toc126570506"/>
      <w:bookmarkStart w:id="466" w:name="_Toc126571814"/>
      <w:bookmarkStart w:id="467" w:name="_Toc126572595"/>
      <w:bookmarkStart w:id="468" w:name="_Toc126575229"/>
      <w:bookmarkStart w:id="469" w:name="_Toc126575906"/>
      <w:bookmarkStart w:id="470" w:name="_Toc126576781"/>
      <w:bookmarkStart w:id="471" w:name="_Toc252093990"/>
      <w:bookmarkStart w:id="472" w:name="_Toc252365651"/>
      <w:bookmarkStart w:id="473" w:name="_Toc252366196"/>
      <w:r w:rsidRPr="00C82FD1">
        <w:rPr>
          <w:rFonts w:ascii="Times New Roman" w:hAnsi="Times New Roman"/>
          <w:color w:val="auto"/>
          <w:sz w:val="24"/>
          <w:szCs w:val="24"/>
        </w:rPr>
        <w:t>Propriété et usage</w:t>
      </w:r>
      <w:bookmarkEnd w:id="465"/>
      <w:bookmarkEnd w:id="466"/>
      <w:bookmarkEnd w:id="467"/>
      <w:bookmarkEnd w:id="468"/>
      <w:bookmarkEnd w:id="469"/>
      <w:bookmarkEnd w:id="470"/>
      <w:bookmarkEnd w:id="471"/>
      <w:bookmarkEnd w:id="472"/>
      <w:bookmarkEnd w:id="473"/>
      <w:r w:rsidRPr="00C82FD1">
        <w:rPr>
          <w:rFonts w:ascii="Times New Roman" w:hAnsi="Times New Roman"/>
          <w:color w:val="auto"/>
          <w:sz w:val="24"/>
          <w:szCs w:val="24"/>
        </w:rPr>
        <w:t xml:space="preserve"> </w:t>
      </w:r>
    </w:p>
    <w:p w:rsidR="008A1C6B" w:rsidRPr="00773A0E" w:rsidRDefault="008A1C6B" w:rsidP="00E35E9B">
      <w:pPr>
        <w:spacing w:before="240" w:line="360" w:lineRule="auto"/>
        <w:ind w:firstLine="284"/>
        <w:jc w:val="lowKashida"/>
        <w:rPr>
          <w:rFonts w:ascii="Times New Roman" w:hAnsi="Times New Roman" w:cs="Times New Roman"/>
          <w:sz w:val="24"/>
          <w:szCs w:val="24"/>
        </w:rPr>
      </w:pPr>
      <w:bookmarkStart w:id="474" w:name="_Toc251855004"/>
      <w:bookmarkStart w:id="475" w:name="_Toc251855414"/>
      <w:bookmarkStart w:id="476" w:name="_Toc126492580"/>
      <w:bookmarkStart w:id="477" w:name="_Toc126492995"/>
      <w:r w:rsidRPr="00773A0E">
        <w:rPr>
          <w:rFonts w:ascii="Times New Roman" w:hAnsi="Times New Roman" w:cs="Times New Roman"/>
          <w:sz w:val="24"/>
          <w:szCs w:val="24"/>
        </w:rPr>
        <w:t>La n</w:t>
      </w:r>
      <w:r w:rsidRPr="00C833F4">
        <w:rPr>
          <w:rFonts w:ascii="Times New Roman" w:hAnsi="Times New Roman" w:cs="Times New Roman"/>
          <w:sz w:val="24"/>
          <w:szCs w:val="24"/>
        </w:rPr>
        <w:t xml:space="preserve">igelle a des propriétés antispasmodiques de coqueluche, bronchite </w:t>
      </w:r>
      <w:r w:rsidRPr="00612046">
        <w:rPr>
          <w:rFonts w:ascii="Times New Roman" w:hAnsi="Times New Roman" w:cs="Times New Roman"/>
          <w:sz w:val="24"/>
          <w:szCs w:val="24"/>
        </w:rPr>
        <w:t>(SCHAUENBERG  ET PARIS ,2006),</w:t>
      </w:r>
      <w:r w:rsidRPr="00C833F4">
        <w:rPr>
          <w:rFonts w:ascii="Times New Roman" w:hAnsi="Times New Roman" w:cs="Times New Roman"/>
          <w:sz w:val="24"/>
          <w:szCs w:val="24"/>
        </w:rPr>
        <w:t xml:space="preserve"> diuré</w:t>
      </w:r>
      <w:r>
        <w:rPr>
          <w:rFonts w:ascii="Times New Roman" w:hAnsi="Times New Roman" w:cs="Times New Roman"/>
          <w:sz w:val="24"/>
          <w:szCs w:val="24"/>
        </w:rPr>
        <w:t xml:space="preserve">tiques, cholagogue, résolutives, </w:t>
      </w:r>
      <w:r w:rsidRPr="00C833F4">
        <w:rPr>
          <w:rFonts w:ascii="Times New Roman" w:hAnsi="Times New Roman" w:cs="Times New Roman"/>
          <w:sz w:val="24"/>
          <w:szCs w:val="24"/>
        </w:rPr>
        <w:t>galactogènes (BELOUED, 2001)</w:t>
      </w:r>
      <w:r w:rsidRPr="00612046">
        <w:rPr>
          <w:rFonts w:ascii="Times New Roman" w:hAnsi="Times New Roman" w:cs="Times New Roman"/>
          <w:sz w:val="24"/>
          <w:szCs w:val="24"/>
        </w:rPr>
        <w:t xml:space="preserve"> emménagogues et carminatives (SELVAM, 2008).</w:t>
      </w:r>
      <w:r>
        <w:rPr>
          <w:rFonts w:ascii="Times New Roman" w:hAnsi="Times New Roman" w:cs="Times New Roman"/>
          <w:sz w:val="24"/>
          <w:szCs w:val="24"/>
        </w:rPr>
        <w:t xml:space="preserve"> </w:t>
      </w:r>
      <w:r w:rsidRPr="00C833F4">
        <w:rPr>
          <w:rFonts w:ascii="Times New Roman" w:hAnsi="Times New Roman" w:cs="Times New Roman"/>
          <w:sz w:val="24"/>
          <w:szCs w:val="24"/>
        </w:rPr>
        <w:t>Les graines de la nigelle ont des activités antivirales contre ILTV « Infectious Laryngotrachietis Virus </w:t>
      </w:r>
      <w:r w:rsidRPr="00082E4F">
        <w:rPr>
          <w:rFonts w:ascii="Times New Roman" w:hAnsi="Times New Roman" w:cs="Times New Roman"/>
          <w:sz w:val="24"/>
          <w:szCs w:val="24"/>
        </w:rPr>
        <w:t xml:space="preserve">», </w:t>
      </w:r>
      <w:r w:rsidRPr="00612046">
        <w:rPr>
          <w:rFonts w:ascii="Times New Roman" w:hAnsi="Times New Roman" w:cs="Times New Roman"/>
          <w:sz w:val="24"/>
          <w:szCs w:val="24"/>
        </w:rPr>
        <w:t xml:space="preserve">des activités anticancéreuses (ZAHER </w:t>
      </w:r>
      <w:r w:rsidRPr="00E35E9B">
        <w:rPr>
          <w:rFonts w:ascii="Times New Roman" w:hAnsi="Times New Roman" w:cs="Times New Roman"/>
          <w:i/>
          <w:iCs/>
          <w:sz w:val="24"/>
          <w:szCs w:val="24"/>
        </w:rPr>
        <w:t>et al.,</w:t>
      </w:r>
      <w:r w:rsidRPr="00612046">
        <w:rPr>
          <w:rFonts w:ascii="Times New Roman" w:hAnsi="Times New Roman" w:cs="Times New Roman"/>
          <w:sz w:val="24"/>
          <w:szCs w:val="24"/>
        </w:rPr>
        <w:t xml:space="preserve"> 2008), antimüllériens (ABDULELAH et al., 2007) et vermifuges (LESLEY, 1998).</w:t>
      </w:r>
      <w:bookmarkEnd w:id="474"/>
      <w:bookmarkEnd w:id="475"/>
      <w:bookmarkEnd w:id="476"/>
      <w:bookmarkEnd w:id="477"/>
    </w:p>
    <w:p w:rsidR="008A1C6B" w:rsidRPr="002163F8" w:rsidRDefault="008A1C6B" w:rsidP="00E35E9B">
      <w:pPr>
        <w:spacing w:before="240" w:line="360" w:lineRule="auto"/>
        <w:ind w:firstLine="284"/>
        <w:jc w:val="lowKashida"/>
        <w:rPr>
          <w:rFonts w:ascii="Times New Roman" w:hAnsi="Times New Roman" w:cs="Times New Roman"/>
          <w:sz w:val="24"/>
          <w:szCs w:val="24"/>
        </w:rPr>
      </w:pPr>
      <w:bookmarkStart w:id="478" w:name="_Toc251855005"/>
      <w:bookmarkStart w:id="479" w:name="_Toc251855415"/>
      <w:bookmarkStart w:id="480" w:name="_Toc126492581"/>
      <w:bookmarkStart w:id="481" w:name="_Toc126492996"/>
      <w:r w:rsidRPr="00773A0E">
        <w:rPr>
          <w:rFonts w:ascii="Times New Roman" w:hAnsi="Times New Roman" w:cs="Times New Roman"/>
          <w:sz w:val="24"/>
          <w:szCs w:val="24"/>
        </w:rPr>
        <w:lastRenderedPageBreak/>
        <w:t>Les graines de cette espèce sont une épice souvent ajoutée aux haricots, au chou ou aux épinards, (KOTHE, 2007).</w:t>
      </w:r>
      <w:r w:rsidRPr="00612046">
        <w:rPr>
          <w:rFonts w:ascii="Times New Roman" w:hAnsi="Times New Roman" w:cs="Times New Roman"/>
          <w:sz w:val="24"/>
          <w:szCs w:val="24"/>
        </w:rPr>
        <w:t xml:space="preserve"> </w:t>
      </w:r>
      <w:r w:rsidRPr="00773A0E">
        <w:rPr>
          <w:rFonts w:ascii="Times New Roman" w:hAnsi="Times New Roman" w:cs="Times New Roman"/>
          <w:sz w:val="24"/>
          <w:szCs w:val="24"/>
        </w:rPr>
        <w:t>Elles servent à saupoudrer le pain et les gâteaux pour les rendre plus appétissant. Leurs vertus médi</w:t>
      </w:r>
      <w:r>
        <w:rPr>
          <w:rFonts w:ascii="Times New Roman" w:hAnsi="Times New Roman" w:cs="Times New Roman"/>
          <w:sz w:val="24"/>
          <w:szCs w:val="24"/>
        </w:rPr>
        <w:t xml:space="preserve">cinales les ont fait </w:t>
      </w:r>
      <w:r w:rsidRPr="00C833F4">
        <w:rPr>
          <w:rFonts w:ascii="Times New Roman" w:hAnsi="Times New Roman" w:cs="Times New Roman"/>
          <w:sz w:val="24"/>
          <w:szCs w:val="24"/>
        </w:rPr>
        <w:t>employer dès l’Antiquité</w:t>
      </w:r>
      <w:r w:rsidRPr="00773A0E">
        <w:rPr>
          <w:rFonts w:ascii="Times New Roman" w:hAnsi="Times New Roman" w:cs="Times New Roman"/>
          <w:sz w:val="24"/>
          <w:szCs w:val="24"/>
        </w:rPr>
        <w:t xml:space="preserve"> contre les maux de la tête et dents.</w:t>
      </w:r>
      <w:bookmarkEnd w:id="478"/>
      <w:bookmarkEnd w:id="479"/>
      <w:bookmarkEnd w:id="480"/>
      <w:bookmarkEnd w:id="481"/>
    </w:p>
    <w:p w:rsidR="008A1C6B"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482" w:name="_Toc126570507"/>
      <w:bookmarkStart w:id="483" w:name="_Toc126571815"/>
      <w:bookmarkStart w:id="484" w:name="_Toc126572596"/>
      <w:bookmarkStart w:id="485" w:name="_Toc126575230"/>
      <w:bookmarkStart w:id="486" w:name="_Toc126575907"/>
      <w:bookmarkStart w:id="487" w:name="_Toc126576782"/>
      <w:bookmarkStart w:id="488" w:name="_Toc252093991"/>
      <w:bookmarkStart w:id="489" w:name="_Toc252365652"/>
      <w:bookmarkStart w:id="490" w:name="_Toc252366197"/>
      <w:r w:rsidRPr="00C82FD1">
        <w:rPr>
          <w:rFonts w:ascii="Times New Roman" w:hAnsi="Times New Roman"/>
          <w:color w:val="auto"/>
          <w:sz w:val="24"/>
          <w:szCs w:val="24"/>
        </w:rPr>
        <w:t>Composition biochimique de la graine</w:t>
      </w:r>
      <w:bookmarkEnd w:id="482"/>
      <w:bookmarkEnd w:id="483"/>
      <w:bookmarkEnd w:id="484"/>
      <w:bookmarkEnd w:id="485"/>
      <w:bookmarkEnd w:id="486"/>
      <w:bookmarkEnd w:id="487"/>
      <w:bookmarkEnd w:id="488"/>
      <w:bookmarkEnd w:id="489"/>
      <w:bookmarkEnd w:id="490"/>
    </w:p>
    <w:p w:rsidR="008A1C6B" w:rsidRPr="00C833F4" w:rsidRDefault="008A1C6B" w:rsidP="00E35E9B">
      <w:pPr>
        <w:spacing w:before="240" w:line="360" w:lineRule="auto"/>
        <w:ind w:firstLine="284"/>
        <w:jc w:val="lowKashida"/>
        <w:rPr>
          <w:rFonts w:ascii="Times New Roman" w:hAnsi="Times New Roman" w:cs="Times New Roman"/>
          <w:sz w:val="24"/>
          <w:szCs w:val="24"/>
        </w:rPr>
      </w:pPr>
      <w:bookmarkStart w:id="491" w:name="_Toc251855006"/>
      <w:bookmarkStart w:id="492" w:name="_Toc251855416"/>
      <w:bookmarkStart w:id="493" w:name="_Toc126492582"/>
      <w:bookmarkStart w:id="494" w:name="_Toc126492997"/>
      <w:r w:rsidRPr="00773A0E">
        <w:rPr>
          <w:rFonts w:ascii="Times New Roman" w:hAnsi="Times New Roman" w:cs="Times New Roman"/>
          <w:sz w:val="24"/>
          <w:szCs w:val="24"/>
        </w:rPr>
        <w:t xml:space="preserve">Les graines de la nigelle contiennent 30,2 à 37,9% d'huile, dont le contenu d'huile essentielle est varié entre 0,31 à 0,56%. Les constituants principaux d'huile grasse étaient déterminés en tant qu'acide linoléique, palmitique et oléique. Le pourcentage de l'acide </w:t>
      </w:r>
      <w:r w:rsidRPr="00C833F4">
        <w:rPr>
          <w:rFonts w:ascii="Times New Roman" w:hAnsi="Times New Roman" w:cs="Times New Roman"/>
          <w:sz w:val="24"/>
          <w:szCs w:val="24"/>
        </w:rPr>
        <w:t xml:space="preserve">linoléique a été déterminé entre 43,34 et 51,50% (KIZI </w:t>
      </w:r>
      <w:r w:rsidRPr="00E35E9B">
        <w:rPr>
          <w:rFonts w:ascii="Times New Roman" w:hAnsi="Times New Roman" w:cs="Times New Roman"/>
          <w:i/>
          <w:iCs/>
          <w:sz w:val="24"/>
          <w:szCs w:val="24"/>
        </w:rPr>
        <w:t>et al.,</w:t>
      </w:r>
      <w:r w:rsidRPr="00C833F4">
        <w:rPr>
          <w:rFonts w:ascii="Times New Roman" w:hAnsi="Times New Roman" w:cs="Times New Roman"/>
          <w:sz w:val="24"/>
          <w:szCs w:val="24"/>
        </w:rPr>
        <w:t xml:space="preserve"> 2008). D’après HADJADJ (2008), la teneur en lipides des téguments est de 34.59%.</w:t>
      </w:r>
      <w:bookmarkEnd w:id="491"/>
      <w:bookmarkEnd w:id="492"/>
      <w:bookmarkEnd w:id="493"/>
      <w:bookmarkEnd w:id="494"/>
    </w:p>
    <w:p w:rsidR="008A1C6B" w:rsidRPr="00C82FD1" w:rsidRDefault="008A1C6B" w:rsidP="00C82FD1">
      <w:pPr>
        <w:pStyle w:val="Titre2"/>
        <w:numPr>
          <w:ilvl w:val="1"/>
          <w:numId w:val="7"/>
        </w:numPr>
        <w:spacing w:before="240" w:after="240" w:line="360" w:lineRule="auto"/>
        <w:rPr>
          <w:rFonts w:ascii="Times New Roman" w:hAnsi="Times New Roman"/>
          <w:color w:val="auto"/>
          <w:sz w:val="24"/>
          <w:szCs w:val="24"/>
        </w:rPr>
      </w:pPr>
      <w:bookmarkStart w:id="495" w:name="_Toc251855007"/>
      <w:bookmarkStart w:id="496" w:name="_Toc251855417"/>
      <w:bookmarkStart w:id="497" w:name="_Toc126492583"/>
      <w:bookmarkStart w:id="498" w:name="_Toc126492998"/>
      <w:bookmarkStart w:id="499" w:name="_Toc126570508"/>
      <w:bookmarkStart w:id="500" w:name="_Toc126571816"/>
      <w:bookmarkStart w:id="501" w:name="_Toc126572597"/>
      <w:bookmarkStart w:id="502" w:name="_Toc126575231"/>
      <w:bookmarkStart w:id="503" w:name="_Toc126575908"/>
      <w:bookmarkStart w:id="504" w:name="_Toc126576783"/>
      <w:bookmarkStart w:id="505" w:name="_Toc252093992"/>
      <w:bookmarkStart w:id="506" w:name="_Toc252365653"/>
      <w:bookmarkStart w:id="507" w:name="_Toc252366198"/>
      <w:r w:rsidRPr="00C82FD1">
        <w:rPr>
          <w:rFonts w:ascii="Times New Roman" w:hAnsi="Times New Roman"/>
          <w:color w:val="auto"/>
          <w:sz w:val="24"/>
          <w:szCs w:val="24"/>
        </w:rPr>
        <w:t>La culture de la Nigelle</w:t>
      </w:r>
      <w:bookmarkEnd w:id="495"/>
      <w:bookmarkEnd w:id="496"/>
      <w:bookmarkEnd w:id="497"/>
      <w:bookmarkEnd w:id="498"/>
      <w:bookmarkEnd w:id="499"/>
      <w:bookmarkEnd w:id="500"/>
      <w:bookmarkEnd w:id="501"/>
      <w:bookmarkEnd w:id="502"/>
      <w:bookmarkEnd w:id="503"/>
      <w:bookmarkEnd w:id="504"/>
      <w:bookmarkEnd w:id="505"/>
      <w:bookmarkEnd w:id="506"/>
      <w:bookmarkEnd w:id="507"/>
    </w:p>
    <w:p w:rsidR="008A1C6B" w:rsidRPr="001C393F" w:rsidRDefault="008A1C6B" w:rsidP="00E35E9B">
      <w:pPr>
        <w:pStyle w:val="Titre2"/>
        <w:numPr>
          <w:ilvl w:val="2"/>
          <w:numId w:val="7"/>
        </w:numPr>
        <w:spacing w:before="240" w:after="240" w:line="360" w:lineRule="auto"/>
        <w:rPr>
          <w:rFonts w:ascii="Times New Roman" w:hAnsi="Times New Roman"/>
          <w:color w:val="auto"/>
          <w:sz w:val="24"/>
          <w:szCs w:val="24"/>
        </w:rPr>
      </w:pPr>
      <w:bookmarkStart w:id="508" w:name="_Toc126570509"/>
      <w:bookmarkStart w:id="509" w:name="_Toc126571817"/>
      <w:bookmarkStart w:id="510" w:name="_Toc126572598"/>
      <w:bookmarkStart w:id="511" w:name="_Toc126575232"/>
      <w:bookmarkStart w:id="512" w:name="_Toc126575909"/>
      <w:bookmarkStart w:id="513" w:name="_Toc126576784"/>
      <w:bookmarkStart w:id="514" w:name="_Toc252093993"/>
      <w:bookmarkStart w:id="515" w:name="_Toc252365383"/>
      <w:bookmarkStart w:id="516" w:name="_Toc252365654"/>
      <w:bookmarkStart w:id="517" w:name="_Toc252366199"/>
      <w:r w:rsidRPr="001C393F">
        <w:rPr>
          <w:rFonts w:ascii="Times New Roman" w:hAnsi="Times New Roman"/>
          <w:color w:val="auto"/>
          <w:sz w:val="24"/>
          <w:szCs w:val="24"/>
        </w:rPr>
        <w:t>Les principaux pays producteurs</w:t>
      </w:r>
      <w:bookmarkEnd w:id="508"/>
      <w:bookmarkEnd w:id="509"/>
      <w:bookmarkEnd w:id="510"/>
      <w:bookmarkEnd w:id="511"/>
      <w:bookmarkEnd w:id="512"/>
      <w:bookmarkEnd w:id="513"/>
      <w:bookmarkEnd w:id="514"/>
      <w:bookmarkEnd w:id="515"/>
      <w:bookmarkEnd w:id="516"/>
      <w:bookmarkEnd w:id="517"/>
    </w:p>
    <w:p w:rsidR="008A1C6B" w:rsidRPr="00773A0E" w:rsidRDefault="008A1C6B" w:rsidP="00E35E9B">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La nigelle est surtout cultivée en Inde et de façon </w:t>
      </w:r>
      <w:r w:rsidRPr="00C833F4">
        <w:rPr>
          <w:rFonts w:ascii="Times New Roman" w:hAnsi="Times New Roman" w:cs="Times New Roman"/>
          <w:sz w:val="24"/>
          <w:szCs w:val="24"/>
        </w:rPr>
        <w:t>moins importante</w:t>
      </w:r>
      <w:r w:rsidRPr="00773A0E">
        <w:rPr>
          <w:rFonts w:ascii="Times New Roman" w:hAnsi="Times New Roman" w:cs="Times New Roman"/>
          <w:sz w:val="24"/>
          <w:szCs w:val="24"/>
        </w:rPr>
        <w:t xml:space="preserve"> au Pakistan </w:t>
      </w:r>
      <w:r>
        <w:rPr>
          <w:rFonts w:ascii="Times New Roman" w:hAnsi="Times New Roman" w:cs="Times New Roman"/>
          <w:sz w:val="24"/>
          <w:szCs w:val="24"/>
        </w:rPr>
        <w:t xml:space="preserve">et </w:t>
      </w:r>
      <w:r w:rsidRPr="00773A0E">
        <w:rPr>
          <w:rFonts w:ascii="Times New Roman" w:hAnsi="Times New Roman" w:cs="Times New Roman"/>
          <w:sz w:val="24"/>
          <w:szCs w:val="24"/>
        </w:rPr>
        <w:t>dans les régions méditerranéennes (Egypte et Turquie), au Soudan, en Ethiopie, en Syrie, en Irak et en Iran</w:t>
      </w:r>
      <w:r>
        <w:rPr>
          <w:rFonts w:ascii="Times New Roman" w:hAnsi="Times New Roman" w:cs="Times New Roman"/>
          <w:sz w:val="24"/>
          <w:szCs w:val="24"/>
        </w:rPr>
        <w:t xml:space="preserve"> (</w:t>
      </w:r>
      <w:r w:rsidRPr="00773A0E">
        <w:rPr>
          <w:rFonts w:ascii="Times New Roman" w:hAnsi="Times New Roman" w:cs="Times New Roman"/>
          <w:sz w:val="24"/>
          <w:szCs w:val="24"/>
        </w:rPr>
        <w:t>COMPLAN, 1999).</w:t>
      </w:r>
    </w:p>
    <w:p w:rsidR="008A1C6B" w:rsidRPr="00DF445C" w:rsidRDefault="008A1C6B" w:rsidP="00E35E9B">
      <w:pPr>
        <w:pStyle w:val="Paragraphedeliste"/>
        <w:numPr>
          <w:ilvl w:val="2"/>
          <w:numId w:val="7"/>
        </w:numPr>
        <w:spacing w:before="240" w:line="360" w:lineRule="auto"/>
        <w:jc w:val="lowKashida"/>
        <w:rPr>
          <w:rFonts w:ascii="Times New Roman" w:hAnsi="Times New Roman" w:cs="Times New Roman"/>
          <w:b/>
          <w:bCs/>
          <w:sz w:val="24"/>
          <w:szCs w:val="24"/>
        </w:rPr>
      </w:pPr>
      <w:r w:rsidRPr="00DF445C">
        <w:rPr>
          <w:rFonts w:ascii="Times New Roman" w:hAnsi="Times New Roman" w:cs="Times New Roman"/>
          <w:b/>
          <w:bCs/>
          <w:sz w:val="24"/>
          <w:szCs w:val="24"/>
        </w:rPr>
        <w:t>Les principaux pays exportateurs</w:t>
      </w:r>
    </w:p>
    <w:p w:rsidR="008A1C6B" w:rsidRPr="00773A0E" w:rsidRDefault="008A1C6B" w:rsidP="00E35E9B">
      <w:pPr>
        <w:spacing w:before="240" w:line="360" w:lineRule="auto"/>
        <w:ind w:firstLine="284"/>
        <w:jc w:val="lowKashida"/>
        <w:rPr>
          <w:rFonts w:ascii="Times New Roman" w:hAnsi="Times New Roman" w:cs="Times New Roman"/>
          <w:sz w:val="24"/>
          <w:szCs w:val="24"/>
        </w:rPr>
      </w:pPr>
      <w:r w:rsidRPr="00C833F4">
        <w:rPr>
          <w:rFonts w:ascii="Times New Roman" w:hAnsi="Times New Roman" w:cs="Times New Roman"/>
          <w:sz w:val="24"/>
          <w:szCs w:val="24"/>
        </w:rPr>
        <w:t>Les principaux pays exportateurs sont l’Inde</w:t>
      </w:r>
      <w:r w:rsidRPr="00773A0E">
        <w:rPr>
          <w:rFonts w:ascii="Times New Roman" w:hAnsi="Times New Roman" w:cs="Times New Roman"/>
          <w:sz w:val="24"/>
          <w:szCs w:val="24"/>
        </w:rPr>
        <w:t xml:space="preserve">, </w:t>
      </w:r>
      <w:r>
        <w:rPr>
          <w:rFonts w:ascii="Times New Roman" w:hAnsi="Times New Roman" w:cs="Times New Roman"/>
          <w:sz w:val="24"/>
          <w:szCs w:val="24"/>
        </w:rPr>
        <w:t>l’</w:t>
      </w:r>
      <w:r w:rsidRPr="00773A0E">
        <w:rPr>
          <w:rFonts w:ascii="Times New Roman" w:hAnsi="Times New Roman" w:cs="Times New Roman"/>
          <w:sz w:val="24"/>
          <w:szCs w:val="24"/>
        </w:rPr>
        <w:t xml:space="preserve">Egypte, le Moyen-Orient, le </w:t>
      </w:r>
      <w:r>
        <w:rPr>
          <w:rFonts w:ascii="Times New Roman" w:hAnsi="Times New Roman" w:cs="Times New Roman"/>
          <w:sz w:val="24"/>
          <w:szCs w:val="24"/>
        </w:rPr>
        <w:t>S</w:t>
      </w:r>
      <w:r w:rsidRPr="00773A0E">
        <w:rPr>
          <w:rFonts w:ascii="Times New Roman" w:hAnsi="Times New Roman" w:cs="Times New Roman"/>
          <w:sz w:val="24"/>
          <w:szCs w:val="24"/>
        </w:rPr>
        <w:t>ud de l’Europe (COMPLAN, 1999).</w:t>
      </w:r>
    </w:p>
    <w:p w:rsidR="008A1C6B" w:rsidRPr="001C393F" w:rsidRDefault="008A1C6B" w:rsidP="00E35E9B">
      <w:pPr>
        <w:pStyle w:val="Titre2"/>
        <w:numPr>
          <w:ilvl w:val="2"/>
          <w:numId w:val="7"/>
        </w:numPr>
        <w:spacing w:before="240" w:after="240" w:line="360" w:lineRule="auto"/>
        <w:rPr>
          <w:rFonts w:ascii="Times New Roman" w:hAnsi="Times New Roman"/>
          <w:color w:val="auto"/>
          <w:sz w:val="24"/>
          <w:szCs w:val="24"/>
        </w:rPr>
      </w:pPr>
      <w:bookmarkStart w:id="518" w:name="_Toc126570510"/>
      <w:bookmarkStart w:id="519" w:name="_Toc126571818"/>
      <w:bookmarkStart w:id="520" w:name="_Toc126572599"/>
      <w:bookmarkStart w:id="521" w:name="_Toc126575233"/>
      <w:bookmarkStart w:id="522" w:name="_Toc126575910"/>
      <w:bookmarkStart w:id="523" w:name="_Toc126576785"/>
      <w:bookmarkStart w:id="524" w:name="_Toc252093994"/>
      <w:bookmarkStart w:id="525" w:name="_Toc252365384"/>
      <w:bookmarkStart w:id="526" w:name="_Toc252365655"/>
      <w:bookmarkStart w:id="527" w:name="_Toc252366200"/>
      <w:r w:rsidRPr="001C393F">
        <w:rPr>
          <w:rFonts w:ascii="Times New Roman" w:hAnsi="Times New Roman"/>
          <w:color w:val="auto"/>
          <w:sz w:val="24"/>
          <w:szCs w:val="24"/>
        </w:rPr>
        <w:t>La culture de la nigelle en Algérie</w:t>
      </w:r>
      <w:bookmarkEnd w:id="518"/>
      <w:bookmarkEnd w:id="519"/>
      <w:bookmarkEnd w:id="520"/>
      <w:bookmarkEnd w:id="521"/>
      <w:bookmarkEnd w:id="522"/>
      <w:bookmarkEnd w:id="523"/>
      <w:bookmarkEnd w:id="524"/>
      <w:bookmarkEnd w:id="525"/>
      <w:bookmarkEnd w:id="526"/>
      <w:bookmarkEnd w:id="527"/>
    </w:p>
    <w:p w:rsidR="008A1C6B" w:rsidRPr="005C35AD" w:rsidRDefault="008A1C6B" w:rsidP="00E35E9B">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 xml:space="preserve">La nigelle est très peu cultivée en Algérie, elle est limitée à l’échelle traditionnelle dans les régions de : Ouargla, Biskra, Timimoune, Adrar, Médéa et Skikda </w:t>
      </w:r>
      <w:r w:rsidRPr="00852E99">
        <w:rPr>
          <w:rFonts w:ascii="Times New Roman" w:hAnsi="Times New Roman" w:cs="Times New Roman"/>
          <w:sz w:val="24"/>
          <w:szCs w:val="24"/>
        </w:rPr>
        <w:t>(MOKKEDEM, 2004b).</w:t>
      </w:r>
    </w:p>
    <w:p w:rsidR="008A1C6B" w:rsidRPr="00DF445C" w:rsidRDefault="00785804" w:rsidP="00E35E9B">
      <w:pPr>
        <w:pStyle w:val="Paragraphedeliste"/>
        <w:numPr>
          <w:ilvl w:val="2"/>
          <w:numId w:val="7"/>
        </w:numPr>
        <w:spacing w:before="24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Les e</w:t>
      </w:r>
      <w:r w:rsidRPr="00DF445C">
        <w:rPr>
          <w:rFonts w:ascii="Times New Roman" w:hAnsi="Times New Roman" w:cs="Times New Roman"/>
          <w:b/>
          <w:bCs/>
          <w:sz w:val="24"/>
          <w:szCs w:val="24"/>
        </w:rPr>
        <w:t>xigences écologiques</w:t>
      </w:r>
      <w:r w:rsidR="008A1C6B" w:rsidRPr="00DF445C">
        <w:rPr>
          <w:rFonts w:ascii="Times New Roman" w:hAnsi="Times New Roman" w:cs="Times New Roman"/>
          <w:b/>
          <w:bCs/>
          <w:sz w:val="24"/>
          <w:szCs w:val="24"/>
        </w:rPr>
        <w:t xml:space="preserve"> </w:t>
      </w:r>
    </w:p>
    <w:p w:rsidR="008A1C6B" w:rsidRDefault="008A1C6B" w:rsidP="00E35E9B">
      <w:pPr>
        <w:spacing w:before="240" w:line="360" w:lineRule="auto"/>
        <w:ind w:firstLine="284"/>
        <w:jc w:val="both"/>
        <w:rPr>
          <w:rFonts w:ascii="Times New Roman" w:hAnsi="Times New Roman" w:cs="Times New Roman"/>
          <w:sz w:val="24"/>
          <w:szCs w:val="24"/>
        </w:rPr>
      </w:pPr>
      <w:r w:rsidRPr="00773A0E">
        <w:rPr>
          <w:rFonts w:ascii="Times New Roman" w:hAnsi="Times New Roman" w:cs="Times New Roman"/>
          <w:sz w:val="24"/>
          <w:szCs w:val="24"/>
        </w:rPr>
        <w:t xml:space="preserve">La nigelle préfère des climats doux, une exposition ensoleillée et abritée. Elle demande des sols riches, meubles </w:t>
      </w:r>
      <w:r w:rsidRPr="00852E99">
        <w:rPr>
          <w:rFonts w:ascii="Times New Roman" w:hAnsi="Times New Roman" w:cs="Times New Roman"/>
          <w:sz w:val="24"/>
          <w:szCs w:val="24"/>
        </w:rPr>
        <w:t>(MOKKEDEM, 2004b).</w:t>
      </w:r>
    </w:p>
    <w:p w:rsidR="00612046" w:rsidRPr="00612046" w:rsidRDefault="00785804" w:rsidP="00E35E9B">
      <w:pPr>
        <w:pStyle w:val="Paragraphedeliste"/>
        <w:numPr>
          <w:ilvl w:val="2"/>
          <w:numId w:val="7"/>
        </w:numPr>
        <w:spacing w:before="24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Les e</w:t>
      </w:r>
      <w:r w:rsidRPr="00612046">
        <w:rPr>
          <w:rFonts w:ascii="Times New Roman" w:hAnsi="Times New Roman" w:cs="Times New Roman"/>
          <w:b/>
          <w:bCs/>
          <w:sz w:val="24"/>
          <w:szCs w:val="24"/>
        </w:rPr>
        <w:t>xigences culturales</w:t>
      </w:r>
      <w:r w:rsidR="00612046" w:rsidRPr="00612046">
        <w:rPr>
          <w:rFonts w:ascii="Times New Roman" w:hAnsi="Times New Roman" w:cs="Times New Roman"/>
          <w:b/>
          <w:bCs/>
          <w:sz w:val="24"/>
          <w:szCs w:val="24"/>
        </w:rPr>
        <w:t xml:space="preserve"> </w:t>
      </w:r>
    </w:p>
    <w:p w:rsidR="008A1C6B" w:rsidRPr="00E866CC" w:rsidRDefault="008A1C6B" w:rsidP="00E35E9B">
      <w:pPr>
        <w:pStyle w:val="Paragraphedeliste"/>
        <w:spacing w:before="240" w:after="0" w:line="360" w:lineRule="auto"/>
        <w:jc w:val="lowKashida"/>
        <w:rPr>
          <w:rFonts w:cs="Times New Roman"/>
          <w:sz w:val="20"/>
          <w:szCs w:val="20"/>
        </w:rPr>
      </w:pPr>
    </w:p>
    <w:p w:rsidR="008A1C6B" w:rsidRPr="00DF445C" w:rsidRDefault="008A1C6B" w:rsidP="00E35E9B">
      <w:pPr>
        <w:pStyle w:val="Paragraphedeliste"/>
        <w:numPr>
          <w:ilvl w:val="0"/>
          <w:numId w:val="1"/>
        </w:numPr>
        <w:spacing w:before="240" w:line="360" w:lineRule="auto"/>
        <w:jc w:val="lowKashida"/>
        <w:rPr>
          <w:rFonts w:ascii="Times New Roman" w:hAnsi="Times New Roman" w:cs="Times New Roman"/>
          <w:sz w:val="24"/>
          <w:szCs w:val="24"/>
        </w:rPr>
      </w:pPr>
      <w:r w:rsidRPr="00DF445C">
        <w:rPr>
          <w:rFonts w:ascii="Times New Roman" w:hAnsi="Times New Roman" w:cs="Times New Roman"/>
          <w:b/>
          <w:bCs/>
          <w:sz w:val="24"/>
          <w:szCs w:val="24"/>
        </w:rPr>
        <w:t xml:space="preserve">La place dans l’assolement </w:t>
      </w:r>
    </w:p>
    <w:p w:rsidR="008A1C6B" w:rsidRPr="00773A0E" w:rsidRDefault="008A1C6B" w:rsidP="00E35E9B">
      <w:pPr>
        <w:spacing w:before="240" w:line="360" w:lineRule="auto"/>
        <w:ind w:firstLine="284"/>
        <w:jc w:val="lowKashida"/>
        <w:rPr>
          <w:rFonts w:ascii="Times New Roman" w:hAnsi="Times New Roman" w:cs="Times New Roman"/>
          <w:sz w:val="24"/>
          <w:szCs w:val="24"/>
        </w:rPr>
      </w:pPr>
      <w:r w:rsidRPr="00773A0E">
        <w:rPr>
          <w:rFonts w:ascii="Times New Roman" w:hAnsi="Times New Roman" w:cs="Times New Roman"/>
          <w:sz w:val="24"/>
          <w:szCs w:val="24"/>
        </w:rPr>
        <w:t>Il faut éviter les terres infestées de mauvaises herbes ou ayant comme précédent cultural la nigelle de Damas (</w:t>
      </w:r>
      <w:r w:rsidRPr="00773A0E">
        <w:rPr>
          <w:rFonts w:ascii="Times New Roman" w:hAnsi="Times New Roman" w:cs="Times New Roman"/>
          <w:i/>
          <w:iCs/>
          <w:sz w:val="24"/>
          <w:szCs w:val="24"/>
        </w:rPr>
        <w:t>Nigella damas</w:t>
      </w:r>
      <w:r w:rsidRPr="00773A0E">
        <w:rPr>
          <w:rFonts w:ascii="Times New Roman" w:hAnsi="Times New Roman" w:cs="Times New Roman"/>
          <w:sz w:val="24"/>
          <w:szCs w:val="24"/>
        </w:rPr>
        <w:t xml:space="preserve">) </w:t>
      </w:r>
      <w:r w:rsidRPr="00852E99">
        <w:rPr>
          <w:rFonts w:ascii="Times New Roman" w:hAnsi="Times New Roman" w:cs="Times New Roman"/>
          <w:sz w:val="24"/>
          <w:szCs w:val="24"/>
        </w:rPr>
        <w:t>(MOKKEDEM, 2004b).</w:t>
      </w:r>
    </w:p>
    <w:p w:rsidR="008A1C6B" w:rsidRPr="00DF445C" w:rsidRDefault="008A1C6B" w:rsidP="00E35E9B">
      <w:pPr>
        <w:pStyle w:val="Paragraphedeliste"/>
        <w:numPr>
          <w:ilvl w:val="0"/>
          <w:numId w:val="1"/>
        </w:numPr>
        <w:spacing w:before="240" w:line="360" w:lineRule="auto"/>
        <w:jc w:val="lowKashida"/>
        <w:rPr>
          <w:rFonts w:ascii="Times New Roman" w:hAnsi="Times New Roman" w:cs="Times New Roman"/>
          <w:b/>
          <w:bCs/>
          <w:sz w:val="24"/>
          <w:szCs w:val="24"/>
        </w:rPr>
      </w:pPr>
      <w:r w:rsidRPr="00DF445C">
        <w:rPr>
          <w:rFonts w:ascii="Times New Roman" w:hAnsi="Times New Roman" w:cs="Times New Roman"/>
          <w:b/>
          <w:bCs/>
          <w:sz w:val="24"/>
          <w:szCs w:val="24"/>
        </w:rPr>
        <w:lastRenderedPageBreak/>
        <w:t>Préparation du sol </w:t>
      </w:r>
    </w:p>
    <w:p w:rsidR="008A1C6B" w:rsidRPr="00E75B54" w:rsidRDefault="008A1C6B" w:rsidP="00E35E9B">
      <w:pPr>
        <w:spacing w:before="240" w:line="360" w:lineRule="auto"/>
        <w:ind w:firstLine="284"/>
        <w:jc w:val="lowKashida"/>
        <w:rPr>
          <w:rFonts w:ascii="Times New Roman" w:hAnsi="Times New Roman" w:cs="Times New Roman"/>
          <w:sz w:val="24"/>
          <w:szCs w:val="24"/>
          <w:shd w:val="clear" w:color="auto" w:fill="00B0F0"/>
        </w:rPr>
      </w:pPr>
      <w:r w:rsidRPr="00773A0E">
        <w:rPr>
          <w:rFonts w:ascii="Times New Roman" w:hAnsi="Times New Roman" w:cs="Times New Roman"/>
          <w:sz w:val="24"/>
          <w:szCs w:val="24"/>
        </w:rPr>
        <w:t xml:space="preserve">Un labour moyen d’une profondeur de 40 à </w:t>
      </w:r>
      <w:smartTag w:uri="urn:schemas-microsoft-com:office:smarttags" w:element="metricconverter">
        <w:smartTagPr>
          <w:attr w:name="ProductID" w:val="50 cm"/>
        </w:smartTagPr>
        <w:r w:rsidRPr="00773A0E">
          <w:rPr>
            <w:rFonts w:ascii="Times New Roman" w:hAnsi="Times New Roman" w:cs="Times New Roman"/>
            <w:sz w:val="24"/>
            <w:szCs w:val="24"/>
          </w:rPr>
          <w:t>50 cm</w:t>
        </w:r>
      </w:smartTag>
      <w:r w:rsidRPr="00773A0E">
        <w:rPr>
          <w:rFonts w:ascii="Times New Roman" w:hAnsi="Times New Roman" w:cs="Times New Roman"/>
          <w:sz w:val="24"/>
          <w:szCs w:val="24"/>
        </w:rPr>
        <w:t xml:space="preserve"> est nécessaire </w:t>
      </w:r>
      <w:r w:rsidRPr="00852E99">
        <w:rPr>
          <w:rFonts w:ascii="Times New Roman" w:hAnsi="Times New Roman" w:cs="Times New Roman"/>
          <w:sz w:val="24"/>
          <w:szCs w:val="24"/>
        </w:rPr>
        <w:t>(MOKKEDEM, 2004c).</w:t>
      </w:r>
    </w:p>
    <w:p w:rsidR="008A1C6B" w:rsidRPr="00DF445C" w:rsidRDefault="008A1C6B" w:rsidP="00E35E9B">
      <w:pPr>
        <w:pStyle w:val="Paragraphedeliste"/>
        <w:numPr>
          <w:ilvl w:val="0"/>
          <w:numId w:val="1"/>
        </w:numPr>
        <w:spacing w:before="240" w:line="360" w:lineRule="auto"/>
        <w:jc w:val="lowKashida"/>
        <w:rPr>
          <w:rFonts w:ascii="Times New Roman" w:hAnsi="Times New Roman" w:cs="Times New Roman"/>
          <w:sz w:val="24"/>
          <w:szCs w:val="24"/>
        </w:rPr>
      </w:pPr>
      <w:r w:rsidRPr="00DF445C">
        <w:rPr>
          <w:rFonts w:ascii="Times New Roman" w:hAnsi="Times New Roman" w:cs="Times New Roman"/>
          <w:b/>
          <w:bCs/>
          <w:sz w:val="24"/>
          <w:szCs w:val="24"/>
        </w:rPr>
        <w:t>Densité de semis </w:t>
      </w:r>
    </w:p>
    <w:p w:rsidR="008A1C6B" w:rsidRDefault="008A1C6B" w:rsidP="00E35E9B">
      <w:pPr>
        <w:spacing w:before="240" w:line="360" w:lineRule="auto"/>
        <w:ind w:firstLine="284"/>
        <w:jc w:val="lowKashida"/>
        <w:rPr>
          <w:rFonts w:ascii="Times New Roman" w:hAnsi="Times New Roman" w:cs="Times New Roman"/>
          <w:b/>
          <w:bCs/>
          <w:sz w:val="24"/>
          <w:szCs w:val="24"/>
        </w:rPr>
      </w:pPr>
      <w:r w:rsidRPr="00773A0E">
        <w:rPr>
          <w:rFonts w:ascii="Times New Roman" w:hAnsi="Times New Roman" w:cs="Times New Roman"/>
          <w:sz w:val="24"/>
          <w:szCs w:val="24"/>
        </w:rPr>
        <w:t xml:space="preserve">La densité de semis est 5 à </w:t>
      </w:r>
      <w:smartTag w:uri="urn:schemas-microsoft-com:office:smarttags" w:element="metricconverter">
        <w:smartTagPr>
          <w:attr w:name="ProductID" w:val="10 Kg"/>
        </w:smartTagPr>
        <w:r w:rsidRPr="00773A0E">
          <w:rPr>
            <w:rFonts w:ascii="Times New Roman" w:hAnsi="Times New Roman" w:cs="Times New Roman"/>
            <w:sz w:val="24"/>
            <w:szCs w:val="24"/>
          </w:rPr>
          <w:t>10 Kg</w:t>
        </w:r>
      </w:smartTag>
      <w:r w:rsidRPr="00773A0E">
        <w:rPr>
          <w:rFonts w:ascii="Times New Roman" w:hAnsi="Times New Roman" w:cs="Times New Roman"/>
          <w:sz w:val="24"/>
          <w:szCs w:val="24"/>
        </w:rPr>
        <w:t xml:space="preserve"> à l’hectare</w:t>
      </w:r>
      <w:r w:rsidR="000D3905">
        <w:rPr>
          <w:rFonts w:ascii="Times New Roman" w:hAnsi="Times New Roman" w:cs="Times New Roman"/>
          <w:sz w:val="24"/>
          <w:szCs w:val="24"/>
        </w:rPr>
        <w:t xml:space="preserve"> </w:t>
      </w:r>
      <w:r w:rsidR="000D3905" w:rsidRPr="00852E99">
        <w:rPr>
          <w:rFonts w:ascii="Times New Roman" w:hAnsi="Times New Roman" w:cs="Times New Roman"/>
          <w:sz w:val="24"/>
          <w:szCs w:val="24"/>
        </w:rPr>
        <w:t>(MOKKEDEM, 2004c).</w:t>
      </w:r>
    </w:p>
    <w:p w:rsidR="008A1C6B" w:rsidRPr="00DF445C" w:rsidRDefault="008A1C6B" w:rsidP="00E35E9B">
      <w:pPr>
        <w:pStyle w:val="Paragraphedeliste"/>
        <w:numPr>
          <w:ilvl w:val="0"/>
          <w:numId w:val="1"/>
        </w:numPr>
        <w:spacing w:before="240" w:line="360" w:lineRule="auto"/>
        <w:jc w:val="lowKashida"/>
        <w:rPr>
          <w:rFonts w:ascii="Times New Roman" w:hAnsi="Times New Roman" w:cs="Times New Roman"/>
          <w:b/>
          <w:bCs/>
          <w:sz w:val="24"/>
          <w:szCs w:val="24"/>
        </w:rPr>
      </w:pPr>
      <w:r w:rsidRPr="00DF445C">
        <w:rPr>
          <w:rFonts w:ascii="Times New Roman" w:hAnsi="Times New Roman" w:cs="Times New Roman"/>
          <w:b/>
          <w:bCs/>
          <w:sz w:val="24"/>
          <w:szCs w:val="24"/>
        </w:rPr>
        <w:t>Epoque de semis </w:t>
      </w:r>
    </w:p>
    <w:p w:rsidR="008A1C6B" w:rsidRDefault="008A1C6B" w:rsidP="00E35E9B">
      <w:pPr>
        <w:spacing w:before="240" w:line="360" w:lineRule="auto"/>
        <w:ind w:firstLine="284"/>
        <w:jc w:val="lowKashida"/>
        <w:rPr>
          <w:rFonts w:ascii="Times New Roman" w:hAnsi="Times New Roman" w:cs="Times New Roman"/>
          <w:b/>
          <w:bCs/>
          <w:sz w:val="24"/>
          <w:szCs w:val="24"/>
        </w:rPr>
      </w:pPr>
      <w:r w:rsidRPr="00773A0E">
        <w:rPr>
          <w:rFonts w:ascii="Times New Roman" w:hAnsi="Times New Roman" w:cs="Times New Roman"/>
          <w:sz w:val="24"/>
          <w:szCs w:val="24"/>
        </w:rPr>
        <w:t>Le semis s’effectue d’octobre à décembre</w:t>
      </w:r>
      <w:r>
        <w:rPr>
          <w:rFonts w:ascii="Times New Roman" w:hAnsi="Times New Roman" w:cs="Times New Roman"/>
          <w:sz w:val="24"/>
          <w:szCs w:val="24"/>
        </w:rPr>
        <w:t>.</w:t>
      </w:r>
    </w:p>
    <w:p w:rsidR="008A1C6B" w:rsidRPr="00DF445C" w:rsidRDefault="008A1C6B" w:rsidP="00E35E9B">
      <w:pPr>
        <w:pStyle w:val="Paragraphedeliste"/>
        <w:numPr>
          <w:ilvl w:val="0"/>
          <w:numId w:val="1"/>
        </w:numPr>
        <w:spacing w:before="240" w:line="360" w:lineRule="auto"/>
        <w:jc w:val="lowKashida"/>
        <w:rPr>
          <w:rFonts w:ascii="Times New Roman" w:hAnsi="Times New Roman" w:cs="Times New Roman"/>
          <w:b/>
          <w:bCs/>
          <w:sz w:val="24"/>
          <w:szCs w:val="24"/>
        </w:rPr>
      </w:pPr>
      <w:r w:rsidRPr="00DF445C">
        <w:rPr>
          <w:rFonts w:ascii="Times New Roman" w:hAnsi="Times New Roman" w:cs="Times New Roman"/>
          <w:b/>
          <w:bCs/>
          <w:sz w:val="24"/>
          <w:szCs w:val="24"/>
        </w:rPr>
        <w:t>Fumure</w:t>
      </w:r>
    </w:p>
    <w:p w:rsidR="00063900" w:rsidRDefault="008A1C6B" w:rsidP="00276D17">
      <w:pPr>
        <w:spacing w:before="240" w:line="360" w:lineRule="auto"/>
        <w:ind w:firstLine="284"/>
        <w:rPr>
          <w:rFonts w:ascii="Times New Roman" w:hAnsi="Times New Roman" w:cs="Times New Roman"/>
          <w:sz w:val="24"/>
          <w:szCs w:val="24"/>
        </w:rPr>
        <w:sectPr w:rsidR="00063900" w:rsidSect="00063900">
          <w:headerReference w:type="default" r:id="rId48"/>
          <w:pgSz w:w="11906" w:h="16838"/>
          <w:pgMar w:top="993" w:right="849" w:bottom="1135" w:left="1134" w:header="708" w:footer="708" w:gutter="0"/>
          <w:cols w:space="708"/>
          <w:docGrid w:linePitch="360"/>
        </w:sectPr>
      </w:pPr>
      <w:bookmarkStart w:id="528" w:name="_Toc251855008"/>
      <w:bookmarkStart w:id="529" w:name="_Toc251855418"/>
      <w:bookmarkStart w:id="530" w:name="_Toc126492584"/>
      <w:bookmarkStart w:id="531" w:name="_Toc126492999"/>
      <w:bookmarkStart w:id="532" w:name="_Toc126570511"/>
      <w:r w:rsidRPr="00DF445C">
        <w:rPr>
          <w:rFonts w:ascii="Times New Roman" w:hAnsi="Times New Roman" w:cs="Times New Roman"/>
          <w:sz w:val="24"/>
          <w:szCs w:val="24"/>
        </w:rPr>
        <w:t xml:space="preserve">On épand </w:t>
      </w:r>
      <w:smartTag w:uri="urn:schemas-microsoft-com:office:smarttags" w:element="metricconverter">
        <w:smartTagPr>
          <w:attr w:name="ProductID" w:val="20 Kg"/>
        </w:smartTagPr>
        <w:r w:rsidRPr="00DF445C">
          <w:rPr>
            <w:rFonts w:ascii="Times New Roman" w:hAnsi="Times New Roman" w:cs="Times New Roman"/>
            <w:sz w:val="24"/>
            <w:szCs w:val="24"/>
          </w:rPr>
          <w:t>20 Kg</w:t>
        </w:r>
      </w:smartTag>
      <w:r w:rsidRPr="00DF445C">
        <w:rPr>
          <w:rFonts w:ascii="Times New Roman" w:hAnsi="Times New Roman" w:cs="Times New Roman"/>
          <w:sz w:val="24"/>
          <w:szCs w:val="24"/>
        </w:rPr>
        <w:t xml:space="preserve"> par hectare d’ammonitrate, soit 33.5% au premier binage,</w:t>
      </w:r>
      <w:r w:rsidR="00F47DCC">
        <w:rPr>
          <w:rFonts w:ascii="Times New Roman" w:hAnsi="Times New Roman" w:cs="Times New Roman"/>
          <w:sz w:val="24"/>
          <w:szCs w:val="24"/>
        </w:rPr>
        <w:t xml:space="preserve"> 20</w:t>
      </w:r>
      <w:r w:rsidRPr="00DF445C">
        <w:rPr>
          <w:rFonts w:ascii="Times New Roman" w:hAnsi="Times New Roman" w:cs="Times New Roman"/>
          <w:sz w:val="24"/>
          <w:szCs w:val="24"/>
        </w:rPr>
        <w:t>Kg</w:t>
      </w:r>
      <w:r w:rsidR="00F47DCC">
        <w:rPr>
          <w:rFonts w:ascii="Times New Roman" w:hAnsi="Times New Roman" w:cs="Times New Roman"/>
          <w:sz w:val="24"/>
          <w:szCs w:val="24"/>
        </w:rPr>
        <w:t xml:space="preserve"> </w:t>
      </w:r>
      <w:r w:rsidR="00EB0FA0">
        <w:rPr>
          <w:rFonts w:ascii="Times New Roman" w:hAnsi="Times New Roman" w:cs="Times New Roman"/>
          <w:sz w:val="24"/>
          <w:szCs w:val="24"/>
        </w:rPr>
        <w:t xml:space="preserve">par hectare d’engrais binaire </w:t>
      </w:r>
      <w:r w:rsidRPr="00DF445C">
        <w:rPr>
          <w:rFonts w:ascii="Times New Roman" w:hAnsi="Times New Roman" w:cs="Times New Roman"/>
          <w:sz w:val="24"/>
          <w:szCs w:val="24"/>
        </w:rPr>
        <w:t>0-20-25 après le disquage croisé</w:t>
      </w:r>
      <w:r w:rsidR="000D3905">
        <w:rPr>
          <w:rFonts w:ascii="Times New Roman" w:hAnsi="Times New Roman" w:cs="Times New Roman"/>
          <w:sz w:val="24"/>
          <w:szCs w:val="24"/>
        </w:rPr>
        <w:t xml:space="preserve"> </w:t>
      </w:r>
      <w:r w:rsidR="000D3905" w:rsidRPr="00852E99">
        <w:rPr>
          <w:rFonts w:ascii="Times New Roman" w:hAnsi="Times New Roman" w:cs="Times New Roman"/>
          <w:sz w:val="24"/>
          <w:szCs w:val="24"/>
        </w:rPr>
        <w:t>(MOKKEDEM, 2004c).</w:t>
      </w:r>
      <w:bookmarkEnd w:id="528"/>
      <w:bookmarkEnd w:id="529"/>
      <w:bookmarkEnd w:id="530"/>
      <w:bookmarkEnd w:id="531"/>
      <w:bookmarkEnd w:id="532"/>
    </w:p>
    <w:p w:rsidR="00EB0FA0" w:rsidRPr="001404F7" w:rsidRDefault="00EB0FA0" w:rsidP="004B44D4">
      <w:pPr>
        <w:pStyle w:val="Titre"/>
        <w:spacing w:line="360" w:lineRule="auto"/>
        <w:rPr>
          <w:rFonts w:asciiTheme="majorBidi" w:hAnsiTheme="majorBidi" w:cstheme="majorBidi"/>
          <w:sz w:val="28"/>
          <w:szCs w:val="28"/>
        </w:rPr>
      </w:pPr>
      <w:bookmarkStart w:id="533" w:name="_Toc126571819"/>
      <w:bookmarkStart w:id="534" w:name="_Toc126572600"/>
      <w:bookmarkStart w:id="535" w:name="_Toc126575234"/>
      <w:bookmarkStart w:id="536" w:name="_Toc126575911"/>
      <w:bookmarkStart w:id="537" w:name="_Toc126576786"/>
      <w:bookmarkStart w:id="538" w:name="_Toc252093995"/>
      <w:bookmarkStart w:id="539" w:name="_Toc252365385"/>
      <w:bookmarkStart w:id="540" w:name="_Toc252365656"/>
      <w:bookmarkStart w:id="541" w:name="_Toc252366201"/>
      <w:r w:rsidRPr="001404F7">
        <w:rPr>
          <w:rFonts w:asciiTheme="majorBidi" w:hAnsiTheme="majorBidi" w:cstheme="majorBidi"/>
          <w:sz w:val="28"/>
          <w:szCs w:val="28"/>
        </w:rPr>
        <w:lastRenderedPageBreak/>
        <w:t>Chapitre II : Matériel et méthodes</w:t>
      </w:r>
      <w:bookmarkEnd w:id="533"/>
      <w:bookmarkEnd w:id="534"/>
      <w:bookmarkEnd w:id="535"/>
      <w:bookmarkEnd w:id="536"/>
      <w:bookmarkEnd w:id="537"/>
      <w:bookmarkEnd w:id="538"/>
      <w:bookmarkEnd w:id="539"/>
      <w:bookmarkEnd w:id="540"/>
      <w:bookmarkEnd w:id="541"/>
    </w:p>
    <w:p w:rsidR="00F47DCC" w:rsidRPr="00EB0FA0" w:rsidRDefault="00EF6BBF" w:rsidP="004B44D4">
      <w:pPr>
        <w:pStyle w:val="Titre1"/>
        <w:numPr>
          <w:ilvl w:val="0"/>
          <w:numId w:val="47"/>
        </w:numPr>
        <w:spacing w:after="240" w:line="360" w:lineRule="auto"/>
        <w:rPr>
          <w:rFonts w:ascii="Times New Roman" w:hAnsi="Times New Roman"/>
          <w:color w:val="auto"/>
        </w:rPr>
      </w:pPr>
      <w:bookmarkStart w:id="542" w:name="_Toc126571820"/>
      <w:bookmarkStart w:id="543" w:name="_Toc126572601"/>
      <w:bookmarkStart w:id="544" w:name="_Toc126575235"/>
      <w:bookmarkStart w:id="545" w:name="_Toc126575912"/>
      <w:bookmarkStart w:id="546" w:name="_Toc126576787"/>
      <w:bookmarkStart w:id="547" w:name="_Toc252093996"/>
      <w:bookmarkStart w:id="548" w:name="_Toc252365386"/>
      <w:bookmarkStart w:id="549" w:name="_Toc252365657"/>
      <w:bookmarkStart w:id="550" w:name="_Toc252366202"/>
      <w:r w:rsidRPr="00EB0FA0">
        <w:rPr>
          <w:rFonts w:ascii="Times New Roman" w:hAnsi="Times New Roman"/>
          <w:color w:val="auto"/>
        </w:rPr>
        <w:t>Objectif de travail</w:t>
      </w:r>
      <w:bookmarkEnd w:id="542"/>
      <w:bookmarkEnd w:id="543"/>
      <w:bookmarkEnd w:id="544"/>
      <w:bookmarkEnd w:id="545"/>
      <w:bookmarkEnd w:id="546"/>
      <w:bookmarkEnd w:id="547"/>
      <w:bookmarkEnd w:id="548"/>
      <w:bookmarkEnd w:id="549"/>
      <w:bookmarkEnd w:id="550"/>
    </w:p>
    <w:p w:rsidR="00F47DCC" w:rsidRPr="00987262" w:rsidRDefault="00F47DCC" w:rsidP="004B44D4">
      <w:pPr>
        <w:spacing w:before="240" w:line="360" w:lineRule="auto"/>
        <w:ind w:firstLine="284"/>
        <w:jc w:val="both"/>
        <w:rPr>
          <w:rFonts w:ascii="Times New Roman" w:hAnsi="Times New Roman" w:cs="Times New Roman"/>
          <w:sz w:val="24"/>
          <w:szCs w:val="24"/>
        </w:rPr>
      </w:pPr>
      <w:r w:rsidRPr="00987262">
        <w:rPr>
          <w:rFonts w:ascii="Times New Roman" w:hAnsi="Times New Roman" w:cs="Times New Roman"/>
          <w:sz w:val="24"/>
          <w:szCs w:val="24"/>
        </w:rPr>
        <w:t>L'étude, réalisée dans la station expérimentale d'El Outaya, a pour but de donner les principales caractéristiques morphologiques et agronomiques de 14 populations appartenant a</w:t>
      </w:r>
      <w:r w:rsidR="00EA61D7">
        <w:rPr>
          <w:rFonts w:ascii="Times New Roman" w:hAnsi="Times New Roman" w:cs="Times New Roman"/>
          <w:sz w:val="24"/>
          <w:szCs w:val="24"/>
        </w:rPr>
        <w:t>ux 03 trois espèces de plantes condimentaires, médicinales et a</w:t>
      </w:r>
      <w:r w:rsidRPr="00987262">
        <w:rPr>
          <w:rFonts w:ascii="Times New Roman" w:hAnsi="Times New Roman" w:cs="Times New Roman"/>
          <w:sz w:val="24"/>
          <w:szCs w:val="24"/>
        </w:rPr>
        <w:t xml:space="preserve">romatiques (CMA) et de définir les populations qui présentent l'optimum d'adaptation au milieu de production durant l’année 2009.  </w:t>
      </w:r>
    </w:p>
    <w:p w:rsidR="00F47DCC" w:rsidRPr="00EB0FA0" w:rsidRDefault="00EF6BBF" w:rsidP="004B44D4">
      <w:pPr>
        <w:pStyle w:val="Titre1"/>
        <w:numPr>
          <w:ilvl w:val="0"/>
          <w:numId w:val="47"/>
        </w:numPr>
        <w:spacing w:after="240" w:line="360" w:lineRule="auto"/>
        <w:rPr>
          <w:rFonts w:ascii="Times New Roman" w:hAnsi="Times New Roman"/>
          <w:color w:val="auto"/>
        </w:rPr>
      </w:pPr>
      <w:bookmarkStart w:id="551" w:name="_Toc126571821"/>
      <w:bookmarkStart w:id="552" w:name="_Toc126572602"/>
      <w:bookmarkStart w:id="553" w:name="_Toc126575236"/>
      <w:bookmarkStart w:id="554" w:name="_Toc126575913"/>
      <w:bookmarkStart w:id="555" w:name="_Toc126576788"/>
      <w:bookmarkStart w:id="556" w:name="_Toc252093997"/>
      <w:bookmarkStart w:id="557" w:name="_Toc252365387"/>
      <w:bookmarkStart w:id="558" w:name="_Toc252365658"/>
      <w:bookmarkStart w:id="559" w:name="_Toc252366203"/>
      <w:r w:rsidRPr="00EB0FA0">
        <w:rPr>
          <w:rFonts w:ascii="Times New Roman" w:hAnsi="Times New Roman"/>
          <w:color w:val="auto"/>
        </w:rPr>
        <w:t>Présentation de site d’expérimentation</w:t>
      </w:r>
      <w:bookmarkEnd w:id="551"/>
      <w:bookmarkEnd w:id="552"/>
      <w:bookmarkEnd w:id="553"/>
      <w:bookmarkEnd w:id="554"/>
      <w:bookmarkEnd w:id="555"/>
      <w:bookmarkEnd w:id="556"/>
      <w:bookmarkEnd w:id="557"/>
      <w:bookmarkEnd w:id="558"/>
      <w:bookmarkEnd w:id="559"/>
    </w:p>
    <w:p w:rsidR="00F47DCC" w:rsidRDefault="00F47DCC" w:rsidP="004B44D4">
      <w:pPr>
        <w:spacing w:before="240" w:line="360" w:lineRule="auto"/>
        <w:ind w:firstLine="284"/>
        <w:jc w:val="both"/>
        <w:rPr>
          <w:rFonts w:ascii="Times New Roman" w:hAnsi="Times New Roman" w:cs="Times New Roman"/>
          <w:sz w:val="24"/>
          <w:szCs w:val="24"/>
        </w:rPr>
      </w:pPr>
      <w:r w:rsidRPr="00987262">
        <w:rPr>
          <w:rFonts w:ascii="Times New Roman" w:hAnsi="Times New Roman" w:cs="Times New Roman"/>
          <w:sz w:val="24"/>
          <w:szCs w:val="24"/>
        </w:rPr>
        <w:t>L'essai a été installé à la station expérimentale d'El Outaya (Fig. 09)</w:t>
      </w:r>
      <w:r w:rsidRPr="00510E44">
        <w:rPr>
          <w:rFonts w:ascii="Times New Roman" w:hAnsi="Times New Roman" w:cs="Times New Roman"/>
          <w:color w:val="FF0000"/>
          <w:sz w:val="24"/>
          <w:szCs w:val="24"/>
        </w:rPr>
        <w:t xml:space="preserve"> </w:t>
      </w:r>
      <w:r w:rsidRPr="00585B3C">
        <w:rPr>
          <w:rFonts w:ascii="Times New Roman" w:hAnsi="Times New Roman" w:cs="Times New Roman"/>
          <w:sz w:val="24"/>
          <w:szCs w:val="24"/>
        </w:rPr>
        <w:t>du C.R.S.T.R.A (altitude 199m, latitude 36°55'36.6''</w:t>
      </w:r>
      <w:r>
        <w:rPr>
          <w:rFonts w:ascii="Times New Roman" w:hAnsi="Times New Roman" w:cs="Times New Roman"/>
          <w:sz w:val="24"/>
          <w:szCs w:val="24"/>
        </w:rPr>
        <w:t xml:space="preserve"> </w:t>
      </w:r>
      <w:r w:rsidRPr="00585B3C">
        <w:rPr>
          <w:rFonts w:ascii="Times New Roman" w:hAnsi="Times New Roman" w:cs="Times New Roman"/>
          <w:sz w:val="24"/>
          <w:szCs w:val="24"/>
        </w:rPr>
        <w:t>Nord, longitude 005°38'56''</w:t>
      </w:r>
      <w:r>
        <w:rPr>
          <w:rFonts w:ascii="Times New Roman" w:hAnsi="Times New Roman" w:cs="Times New Roman"/>
          <w:sz w:val="24"/>
          <w:szCs w:val="24"/>
        </w:rPr>
        <w:t xml:space="preserve"> E</w:t>
      </w:r>
      <w:r w:rsidRPr="00585B3C">
        <w:rPr>
          <w:rFonts w:ascii="Times New Roman" w:hAnsi="Times New Roman" w:cs="Times New Roman"/>
          <w:sz w:val="24"/>
          <w:szCs w:val="24"/>
        </w:rPr>
        <w:t>st)</w:t>
      </w:r>
      <w:r>
        <w:rPr>
          <w:rFonts w:ascii="Times New Roman" w:hAnsi="Times New Roman" w:cs="Times New Roman"/>
          <w:sz w:val="24"/>
          <w:szCs w:val="24"/>
        </w:rPr>
        <w:t>.</w:t>
      </w:r>
    </w:p>
    <w:p w:rsidR="003C574F" w:rsidRDefault="00811D6A" w:rsidP="003C574F">
      <w:pPr>
        <w:tabs>
          <w:tab w:val="left" w:pos="7016"/>
        </w:tabs>
        <w:spacing w:before="240" w:line="360" w:lineRule="auto"/>
        <w:rPr>
          <w:rFonts w:ascii="Times New Roman" w:hAnsi="Times New Roman" w:cs="Times New Roman"/>
          <w:sz w:val="24"/>
          <w:szCs w:val="24"/>
        </w:rPr>
      </w:pPr>
      <w:r w:rsidRPr="00811D6A">
        <w:rPr>
          <w:rFonts w:ascii="Times New Roman" w:hAnsi="Times New Roman" w:cs="Times New Roman"/>
          <w:b/>
          <w:bCs/>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6" type="#_x0000_t103" style="position:absolute;margin-left:409.5pt;margin-top:141.75pt;width:58.25pt;height:96.55pt;z-index:251678720" strokecolor="#666" strokeweight="1pt">
            <v:fill color2="#999" focusposition="1" focussize="" focus="100%" type="gradient"/>
            <v:shadow on="t" type="perspective" color="#7f7f7f" opacity=".5" offset="1pt" offset2="-3pt"/>
          </v:shape>
        </w:pict>
      </w:r>
      <w:r w:rsidR="003C574F">
        <w:rPr>
          <w:rFonts w:ascii="Times New Roman" w:hAnsi="Times New Roman" w:cs="Times New Roman"/>
          <w:sz w:val="24"/>
          <w:szCs w:val="24"/>
        </w:rPr>
        <w:t xml:space="preserve">   </w:t>
      </w:r>
      <w:r w:rsidR="00F47DCC">
        <w:rPr>
          <w:rFonts w:ascii="Times New Roman" w:hAnsi="Times New Roman" w:cs="Times New Roman"/>
          <w:noProof/>
          <w:sz w:val="24"/>
          <w:szCs w:val="24"/>
        </w:rPr>
        <w:drawing>
          <wp:inline distT="0" distB="0" distL="0" distR="0">
            <wp:extent cx="5103989" cy="2044206"/>
            <wp:effectExtent l="190500" t="152400" r="172861" b="127494"/>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9"/>
                    <a:srcRect/>
                    <a:stretch>
                      <a:fillRect/>
                    </a:stretch>
                  </pic:blipFill>
                  <pic:spPr bwMode="auto">
                    <a:xfrm>
                      <a:off x="0" y="0"/>
                      <a:ext cx="5112653" cy="2047676"/>
                    </a:xfrm>
                    <a:prstGeom prst="rect">
                      <a:avLst/>
                    </a:prstGeom>
                    <a:ln>
                      <a:noFill/>
                    </a:ln>
                    <a:effectLst>
                      <a:outerShdw blurRad="190500" algn="tl" rotWithShape="0">
                        <a:srgbClr val="000000">
                          <a:alpha val="70000"/>
                        </a:srgbClr>
                      </a:outerShdw>
                    </a:effectLst>
                  </pic:spPr>
                </pic:pic>
              </a:graphicData>
            </a:graphic>
          </wp:inline>
        </w:drawing>
      </w:r>
    </w:p>
    <w:p w:rsidR="00B16C26" w:rsidRPr="003C574F" w:rsidRDefault="003C574F" w:rsidP="003C574F">
      <w:pPr>
        <w:tabs>
          <w:tab w:val="left" w:pos="7016"/>
        </w:tabs>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C574F">
        <w:rPr>
          <w:noProof/>
        </w:rPr>
        <w:drawing>
          <wp:inline distT="0" distB="0" distL="0" distR="0">
            <wp:extent cx="5236351" cy="2272594"/>
            <wp:effectExtent l="19050" t="19050" r="21449" b="13406"/>
            <wp:docPr id="35" name="Image 1" descr="C:\Users\LOUTAYA\Desktop\lahmadi\st El Outaya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C:\Users\LOUTAYA\Desktop\lahmadi\st El Outaya 2.jpg"/>
                    <pic:cNvPicPr>
                      <a:picLocks noChangeArrowheads="1"/>
                    </pic:cNvPicPr>
                  </pic:nvPicPr>
                  <pic:blipFill>
                    <a:blip r:embed="rId50"/>
                    <a:srcRect/>
                    <a:stretch>
                      <a:fillRect/>
                    </a:stretch>
                  </pic:blipFill>
                  <pic:spPr bwMode="auto">
                    <a:xfrm>
                      <a:off x="0" y="0"/>
                      <a:ext cx="5241164" cy="2274683"/>
                    </a:xfrm>
                    <a:prstGeom prst="rect">
                      <a:avLst/>
                    </a:prstGeom>
                    <a:noFill/>
                    <a:ln w="12700" cmpd="sng">
                      <a:solidFill>
                        <a:srgbClr val="000000"/>
                      </a:solidFill>
                      <a:miter lim="800000"/>
                      <a:headEnd/>
                      <a:tailEnd/>
                    </a:ln>
                    <a:effectLst/>
                  </pic:spPr>
                </pic:pic>
              </a:graphicData>
            </a:graphic>
          </wp:inline>
        </w:drawing>
      </w:r>
      <w:r>
        <w:tab/>
      </w:r>
      <w:r w:rsidR="00811D6A" w:rsidRPr="00811D6A">
        <w:rPr>
          <w:rFonts w:ascii="Times New Roman" w:hAnsi="Times New Roman" w:cs="Times New Roman"/>
          <w:b/>
          <w:bCs/>
          <w:noProof/>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margin-left:53pt;margin-top:67.65pt;width:97pt;height:15.55pt;z-index:251677696;mso-position-horizontal-relative:text;mso-position-vertical-relative:text;mso-width-relative:margin;mso-height-relative:margin" fillcolor="#4f81bd" strokecolor="#f2f2f2" strokeweight="3pt">
            <v:shadow on="t" type="perspective" color="#243f60" opacity=".5" offset="1pt" offset2="-1pt"/>
            <v:textbox style="mso-next-textbox:#_x0000_s1045">
              <w:txbxContent>
                <w:p w:rsidR="008F5138" w:rsidRDefault="008F5138" w:rsidP="00F47DCC"/>
              </w:txbxContent>
            </v:textbox>
          </v:shape>
        </w:pict>
      </w:r>
    </w:p>
    <w:p w:rsidR="00F47DCC" w:rsidRPr="00463B12" w:rsidRDefault="003C574F" w:rsidP="003C574F">
      <w:pPr>
        <w:pStyle w:val="Lgende"/>
        <w:spacing w:before="240" w:line="360" w:lineRule="auto"/>
        <w:rPr>
          <w:rFonts w:asciiTheme="majorBidi" w:hAnsiTheme="majorBidi" w:cstheme="majorBidi"/>
          <w:color w:val="auto"/>
          <w:sz w:val="24"/>
          <w:szCs w:val="24"/>
        </w:rPr>
      </w:pPr>
      <w:r>
        <w:rPr>
          <w:rFonts w:asciiTheme="majorBidi" w:hAnsiTheme="majorBidi" w:cstheme="majorBidi"/>
          <w:color w:val="auto"/>
          <w:sz w:val="24"/>
          <w:szCs w:val="24"/>
        </w:rPr>
        <w:t xml:space="preserve">                       </w:t>
      </w:r>
      <w:bookmarkStart w:id="560" w:name="_Toc252194946"/>
      <w:r w:rsidR="00B16C26"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00B16C26"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9</w:t>
      </w:r>
      <w:r w:rsidR="00811D6A" w:rsidRPr="00463B12">
        <w:rPr>
          <w:rFonts w:asciiTheme="majorBidi" w:hAnsiTheme="majorBidi" w:cstheme="majorBidi"/>
          <w:color w:val="auto"/>
          <w:sz w:val="24"/>
          <w:szCs w:val="24"/>
        </w:rPr>
        <w:fldChar w:fldCharType="end"/>
      </w:r>
      <w:r w:rsidR="00B16C26" w:rsidRPr="00463B12">
        <w:rPr>
          <w:rFonts w:asciiTheme="majorBidi" w:hAnsiTheme="majorBidi" w:cstheme="majorBidi"/>
          <w:color w:val="auto"/>
          <w:sz w:val="24"/>
          <w:szCs w:val="24"/>
        </w:rPr>
        <w:t>:Situation géographique de la région d’ElOutaya</w:t>
      </w:r>
      <w:r w:rsidR="00EA61D7">
        <w:rPr>
          <w:rFonts w:asciiTheme="majorBidi" w:hAnsiTheme="majorBidi" w:cstheme="majorBidi"/>
          <w:color w:val="auto"/>
          <w:sz w:val="24"/>
          <w:szCs w:val="24"/>
        </w:rPr>
        <w:t xml:space="preserve"> (Google earth)</w:t>
      </w:r>
      <w:r w:rsidR="00B16C26" w:rsidRPr="00463B12">
        <w:rPr>
          <w:rFonts w:asciiTheme="majorBidi" w:hAnsiTheme="majorBidi" w:cstheme="majorBidi"/>
          <w:color w:val="auto"/>
          <w:sz w:val="24"/>
          <w:szCs w:val="24"/>
        </w:rPr>
        <w:t>.</w:t>
      </w:r>
      <w:bookmarkEnd w:id="560"/>
    </w:p>
    <w:p w:rsidR="005B669A" w:rsidRPr="005B669A" w:rsidRDefault="005B669A" w:rsidP="004B44D4">
      <w:pPr>
        <w:spacing w:line="360" w:lineRule="auto"/>
      </w:pPr>
    </w:p>
    <w:p w:rsidR="00F47DCC" w:rsidRPr="0062362E" w:rsidRDefault="00F47DCC" w:rsidP="003B4114">
      <w:pPr>
        <w:pStyle w:val="Titre2"/>
        <w:numPr>
          <w:ilvl w:val="0"/>
          <w:numId w:val="10"/>
        </w:numPr>
        <w:spacing w:after="240" w:line="360" w:lineRule="auto"/>
        <w:rPr>
          <w:rFonts w:ascii="Times New Roman" w:hAnsi="Times New Roman"/>
          <w:color w:val="auto"/>
          <w:sz w:val="24"/>
          <w:szCs w:val="24"/>
        </w:rPr>
      </w:pPr>
      <w:bookmarkStart w:id="561" w:name="_Toc126572603"/>
      <w:bookmarkStart w:id="562" w:name="_Toc126575237"/>
      <w:bookmarkStart w:id="563" w:name="_Toc126575914"/>
      <w:bookmarkStart w:id="564" w:name="_Toc126576789"/>
      <w:bookmarkStart w:id="565" w:name="_Toc252093998"/>
      <w:bookmarkStart w:id="566" w:name="_Toc252365388"/>
      <w:bookmarkStart w:id="567" w:name="_Toc252365659"/>
      <w:bookmarkStart w:id="568" w:name="_Toc252366204"/>
      <w:r w:rsidRPr="0062362E">
        <w:rPr>
          <w:rFonts w:ascii="Times New Roman" w:hAnsi="Times New Roman"/>
          <w:color w:val="auto"/>
          <w:sz w:val="24"/>
          <w:szCs w:val="24"/>
        </w:rPr>
        <w:t>Conditions pédoclimatiques</w:t>
      </w:r>
      <w:bookmarkEnd w:id="561"/>
      <w:bookmarkEnd w:id="562"/>
      <w:bookmarkEnd w:id="563"/>
      <w:bookmarkEnd w:id="564"/>
      <w:bookmarkEnd w:id="565"/>
      <w:bookmarkEnd w:id="566"/>
      <w:bookmarkEnd w:id="567"/>
      <w:bookmarkEnd w:id="568"/>
      <w:r w:rsidRPr="0062362E">
        <w:rPr>
          <w:rFonts w:ascii="Times New Roman" w:hAnsi="Times New Roman"/>
          <w:color w:val="auto"/>
          <w:sz w:val="24"/>
          <w:szCs w:val="24"/>
        </w:rPr>
        <w:t xml:space="preserve"> </w:t>
      </w:r>
    </w:p>
    <w:p w:rsidR="00F47DCC" w:rsidRPr="00AC3F44" w:rsidRDefault="00F47DCC" w:rsidP="003B4114">
      <w:pPr>
        <w:pStyle w:val="Titre2"/>
        <w:numPr>
          <w:ilvl w:val="1"/>
          <w:numId w:val="10"/>
        </w:numPr>
        <w:spacing w:after="240" w:line="360" w:lineRule="auto"/>
        <w:rPr>
          <w:rFonts w:ascii="Times New Roman" w:hAnsi="Times New Roman"/>
          <w:color w:val="auto"/>
          <w:sz w:val="24"/>
          <w:szCs w:val="24"/>
        </w:rPr>
      </w:pPr>
      <w:bookmarkStart w:id="569" w:name="_Toc126571822"/>
      <w:bookmarkStart w:id="570" w:name="_Toc126572604"/>
      <w:bookmarkStart w:id="571" w:name="_Toc126575238"/>
      <w:bookmarkStart w:id="572" w:name="_Toc126575915"/>
      <w:bookmarkStart w:id="573" w:name="_Toc126576790"/>
      <w:bookmarkStart w:id="574" w:name="_Toc252093999"/>
      <w:bookmarkStart w:id="575" w:name="_Toc252365389"/>
      <w:bookmarkStart w:id="576" w:name="_Toc252365660"/>
      <w:bookmarkStart w:id="577" w:name="_Toc252366205"/>
      <w:r w:rsidRPr="00AC3F44">
        <w:rPr>
          <w:rFonts w:ascii="Times New Roman" w:hAnsi="Times New Roman"/>
          <w:color w:val="auto"/>
          <w:sz w:val="24"/>
          <w:szCs w:val="24"/>
        </w:rPr>
        <w:t>Caractérisation chimique du sol</w:t>
      </w:r>
      <w:bookmarkEnd w:id="569"/>
      <w:bookmarkEnd w:id="570"/>
      <w:bookmarkEnd w:id="571"/>
      <w:bookmarkEnd w:id="572"/>
      <w:bookmarkEnd w:id="573"/>
      <w:bookmarkEnd w:id="574"/>
      <w:bookmarkEnd w:id="575"/>
      <w:bookmarkEnd w:id="576"/>
      <w:bookmarkEnd w:id="577"/>
      <w:r w:rsidRPr="00AC3F44">
        <w:rPr>
          <w:rFonts w:ascii="Times New Roman" w:hAnsi="Times New Roman"/>
          <w:color w:val="auto"/>
          <w:sz w:val="24"/>
          <w:szCs w:val="24"/>
        </w:rPr>
        <w:t xml:space="preserve"> </w:t>
      </w:r>
    </w:p>
    <w:p w:rsidR="00F47DCC" w:rsidRDefault="00F47DCC" w:rsidP="004B44D4">
      <w:pPr>
        <w:spacing w:before="240" w:line="360" w:lineRule="auto"/>
        <w:ind w:firstLine="284"/>
        <w:jc w:val="both"/>
        <w:rPr>
          <w:rFonts w:ascii="Times New Roman" w:hAnsi="Times New Roman" w:cs="Times New Roman"/>
          <w:sz w:val="24"/>
          <w:szCs w:val="24"/>
        </w:rPr>
      </w:pPr>
      <w:r w:rsidRPr="00585B3C">
        <w:rPr>
          <w:rFonts w:ascii="Times New Roman" w:hAnsi="Times New Roman" w:cs="Times New Roman"/>
          <w:sz w:val="24"/>
          <w:szCs w:val="24"/>
        </w:rPr>
        <w:t xml:space="preserve">L’échantillon du sol analysé a été prélevé sur 3 profondeurs de 0 à </w:t>
      </w:r>
      <w:smartTag w:uri="urn:schemas-microsoft-com:office:smarttags" w:element="metricconverter">
        <w:smartTagPr>
          <w:attr w:name="ProductID" w:val="40 cm"/>
        </w:smartTagPr>
        <w:r w:rsidRPr="00585B3C">
          <w:rPr>
            <w:rFonts w:ascii="Times New Roman" w:hAnsi="Times New Roman" w:cs="Times New Roman"/>
            <w:sz w:val="24"/>
            <w:szCs w:val="24"/>
          </w:rPr>
          <w:t>40 cm</w:t>
        </w:r>
      </w:smartTag>
      <w:r>
        <w:rPr>
          <w:rFonts w:ascii="Times New Roman" w:hAnsi="Times New Roman" w:cs="Times New Roman"/>
          <w:sz w:val="24"/>
          <w:szCs w:val="24"/>
        </w:rPr>
        <w:t xml:space="preserve">. </w:t>
      </w:r>
      <w:r w:rsidRPr="00585B3C">
        <w:rPr>
          <w:rFonts w:ascii="Times New Roman" w:hAnsi="Times New Roman" w:cs="Times New Roman"/>
          <w:sz w:val="24"/>
          <w:szCs w:val="24"/>
        </w:rPr>
        <w:t xml:space="preserve">  </w:t>
      </w:r>
    </w:p>
    <w:p w:rsidR="00F47DCC" w:rsidRPr="00585B3C" w:rsidRDefault="00F47DCC" w:rsidP="004B44D4">
      <w:pPr>
        <w:spacing w:before="240" w:line="360" w:lineRule="auto"/>
        <w:ind w:firstLine="284"/>
        <w:jc w:val="both"/>
        <w:rPr>
          <w:rFonts w:ascii="Times New Roman" w:hAnsi="Times New Roman" w:cs="Times New Roman"/>
          <w:sz w:val="24"/>
          <w:szCs w:val="24"/>
        </w:rPr>
      </w:pPr>
      <w:r w:rsidRPr="00585B3C">
        <w:rPr>
          <w:rFonts w:ascii="Times New Roman" w:hAnsi="Times New Roman" w:cs="Times New Roman"/>
          <w:sz w:val="24"/>
          <w:szCs w:val="24"/>
        </w:rPr>
        <w:t>D’après les rés</w:t>
      </w:r>
      <w:r w:rsidR="00EA61D7">
        <w:rPr>
          <w:rFonts w:ascii="Times New Roman" w:hAnsi="Times New Roman" w:cs="Times New Roman"/>
          <w:sz w:val="24"/>
          <w:szCs w:val="24"/>
        </w:rPr>
        <w:t>ultats (</w:t>
      </w:r>
      <w:r>
        <w:rPr>
          <w:rFonts w:ascii="Times New Roman" w:hAnsi="Times New Roman" w:cs="Times New Roman"/>
          <w:sz w:val="24"/>
          <w:szCs w:val="24"/>
        </w:rPr>
        <w:t>tableau 1</w:t>
      </w:r>
      <w:r w:rsidR="00EA61D7">
        <w:rPr>
          <w:rFonts w:ascii="Times New Roman" w:hAnsi="Times New Roman" w:cs="Times New Roman"/>
          <w:sz w:val="24"/>
          <w:szCs w:val="24"/>
        </w:rPr>
        <w:t>)</w:t>
      </w:r>
      <w:r w:rsidRPr="00585B3C">
        <w:rPr>
          <w:rFonts w:ascii="Times New Roman" w:hAnsi="Times New Roman" w:cs="Times New Roman"/>
          <w:sz w:val="24"/>
          <w:szCs w:val="24"/>
        </w:rPr>
        <w:t xml:space="preserve">, on constate que </w:t>
      </w:r>
      <w:r>
        <w:rPr>
          <w:rFonts w:ascii="Times New Roman" w:hAnsi="Times New Roman" w:cs="Times New Roman"/>
          <w:sz w:val="24"/>
          <w:szCs w:val="24"/>
        </w:rPr>
        <w:t xml:space="preserve">notre </w:t>
      </w:r>
      <w:r w:rsidRPr="00585B3C">
        <w:rPr>
          <w:rFonts w:ascii="Times New Roman" w:hAnsi="Times New Roman" w:cs="Times New Roman"/>
          <w:sz w:val="24"/>
          <w:szCs w:val="24"/>
        </w:rPr>
        <w:t>sol est pauvre en matière organique, fortement calcaire e</w:t>
      </w:r>
      <w:r>
        <w:rPr>
          <w:rFonts w:ascii="Times New Roman" w:hAnsi="Times New Roman" w:cs="Times New Roman"/>
          <w:sz w:val="24"/>
          <w:szCs w:val="24"/>
        </w:rPr>
        <w:t>t</w:t>
      </w:r>
      <w:r w:rsidRPr="00585B3C">
        <w:rPr>
          <w:rFonts w:ascii="Times New Roman" w:hAnsi="Times New Roman" w:cs="Times New Roman"/>
          <w:sz w:val="24"/>
          <w:szCs w:val="24"/>
        </w:rPr>
        <w:t xml:space="preserve"> peu salé.</w:t>
      </w:r>
    </w:p>
    <w:p w:rsidR="00051823" w:rsidRPr="005B669A" w:rsidRDefault="00051823" w:rsidP="00681464">
      <w:pPr>
        <w:pStyle w:val="Lgende"/>
        <w:keepNext/>
        <w:spacing w:before="240" w:line="360" w:lineRule="auto"/>
        <w:jc w:val="center"/>
        <w:rPr>
          <w:rFonts w:asciiTheme="majorBidi" w:hAnsiTheme="majorBidi" w:cstheme="majorBidi"/>
          <w:color w:val="auto"/>
          <w:sz w:val="24"/>
          <w:szCs w:val="24"/>
        </w:rPr>
      </w:pPr>
      <w:bookmarkStart w:id="578" w:name="_Toc252195091"/>
      <w:r w:rsidRPr="005B669A">
        <w:rPr>
          <w:rFonts w:asciiTheme="majorBidi" w:hAnsiTheme="majorBidi" w:cstheme="majorBidi"/>
          <w:color w:val="auto"/>
          <w:sz w:val="24"/>
          <w:szCs w:val="24"/>
        </w:rPr>
        <w:t xml:space="preserve">Tableau </w:t>
      </w:r>
      <w:r w:rsidR="00BE587B">
        <w:rPr>
          <w:rFonts w:asciiTheme="majorBidi" w:hAnsiTheme="majorBidi" w:cstheme="majorBidi"/>
          <w:color w:val="auto"/>
          <w:sz w:val="24"/>
          <w:szCs w:val="24"/>
        </w:rPr>
        <w:t>1</w:t>
      </w:r>
      <w:r w:rsidRPr="005B669A">
        <w:rPr>
          <w:rFonts w:asciiTheme="majorBidi" w:hAnsiTheme="majorBidi" w:cstheme="majorBidi"/>
          <w:noProof/>
          <w:color w:val="auto"/>
          <w:sz w:val="24"/>
          <w:szCs w:val="24"/>
        </w:rPr>
        <w:t>: Analyses chimiques du sol</w:t>
      </w:r>
      <w:bookmarkEnd w:id="5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2028"/>
        <w:gridCol w:w="2028"/>
        <w:gridCol w:w="2028"/>
        <w:gridCol w:w="2028"/>
      </w:tblGrid>
      <w:tr w:rsidR="00F47DCC" w:rsidRPr="00F45F71" w:rsidTr="004A2A5D">
        <w:trPr>
          <w:trHeight w:val="215"/>
        </w:trPr>
        <w:tc>
          <w:tcPr>
            <w:tcW w:w="1000" w:type="pct"/>
            <w:vAlign w:val="center"/>
          </w:tcPr>
          <w:p w:rsidR="00F47DCC" w:rsidRPr="00F45F71" w:rsidRDefault="00F47DCC" w:rsidP="004B44D4">
            <w:pPr>
              <w:spacing w:after="0" w:line="360" w:lineRule="auto"/>
              <w:ind w:firstLine="567"/>
              <w:jc w:val="center"/>
              <w:rPr>
                <w:rFonts w:ascii="Times New Roman" w:hAnsi="Times New Roman" w:cs="Times New Roman"/>
                <w:sz w:val="20"/>
                <w:szCs w:val="20"/>
              </w:rPr>
            </w:pPr>
            <w:r w:rsidRPr="00F45F71">
              <w:rPr>
                <w:rFonts w:ascii="Times New Roman" w:hAnsi="Times New Roman" w:cs="Times New Roman"/>
                <w:sz w:val="20"/>
                <w:szCs w:val="20"/>
              </w:rPr>
              <w:t>MO</w:t>
            </w:r>
            <w:r>
              <w:rPr>
                <w:rFonts w:ascii="Times New Roman" w:hAnsi="Times New Roman" w:cs="Times New Roman"/>
                <w:sz w:val="20"/>
                <w:szCs w:val="20"/>
              </w:rPr>
              <w:t xml:space="preserve"> </w:t>
            </w:r>
            <w:r w:rsidRPr="00F45F71">
              <w:rPr>
                <w:rFonts w:ascii="Times New Roman" w:hAnsi="Times New Roman" w:cs="Times New Roman"/>
                <w:sz w:val="20"/>
                <w:szCs w:val="20"/>
              </w:rPr>
              <w:t>%</w:t>
            </w:r>
          </w:p>
        </w:tc>
        <w:tc>
          <w:tcPr>
            <w:tcW w:w="1000" w:type="pct"/>
            <w:vAlign w:val="center"/>
          </w:tcPr>
          <w:p w:rsidR="00F47DCC" w:rsidRPr="00F45F71" w:rsidRDefault="00F47DCC" w:rsidP="004B44D4">
            <w:pPr>
              <w:spacing w:after="0" w:line="360" w:lineRule="auto"/>
              <w:jc w:val="center"/>
              <w:rPr>
                <w:rFonts w:ascii="Times New Roman" w:hAnsi="Times New Roman" w:cs="Times New Roman"/>
                <w:sz w:val="20"/>
                <w:szCs w:val="20"/>
              </w:rPr>
            </w:pPr>
            <w:r w:rsidRPr="00F45F71">
              <w:rPr>
                <w:rFonts w:ascii="Times New Roman" w:hAnsi="Times New Roman" w:cs="Times New Roman"/>
                <w:sz w:val="20"/>
                <w:szCs w:val="20"/>
              </w:rPr>
              <w:t>Calcaire Tot</w:t>
            </w:r>
            <w:r>
              <w:rPr>
                <w:rFonts w:ascii="Times New Roman" w:hAnsi="Times New Roman" w:cs="Times New Roman"/>
                <w:sz w:val="20"/>
                <w:szCs w:val="20"/>
              </w:rPr>
              <w:t xml:space="preserve">al </w:t>
            </w:r>
            <w:r w:rsidRPr="00F45F71">
              <w:rPr>
                <w:rFonts w:ascii="Times New Roman" w:hAnsi="Times New Roman" w:cs="Times New Roman"/>
                <w:sz w:val="20"/>
                <w:szCs w:val="20"/>
              </w:rPr>
              <w:t>%</w:t>
            </w:r>
          </w:p>
        </w:tc>
        <w:tc>
          <w:tcPr>
            <w:tcW w:w="1000" w:type="pct"/>
            <w:vAlign w:val="center"/>
          </w:tcPr>
          <w:p w:rsidR="00F47DCC" w:rsidRPr="00F45F71" w:rsidRDefault="00F47DCC" w:rsidP="004B44D4">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Calcaire actif </w:t>
            </w:r>
            <w:r w:rsidRPr="00F45F71">
              <w:rPr>
                <w:rFonts w:ascii="Times New Roman" w:hAnsi="Times New Roman" w:cs="Times New Roman"/>
                <w:sz w:val="20"/>
                <w:szCs w:val="20"/>
              </w:rPr>
              <w:t>%</w:t>
            </w:r>
          </w:p>
        </w:tc>
        <w:tc>
          <w:tcPr>
            <w:tcW w:w="1000" w:type="pct"/>
            <w:vAlign w:val="center"/>
          </w:tcPr>
          <w:p w:rsidR="00F47DCC" w:rsidRPr="00F45F71" w:rsidRDefault="00F47DCC" w:rsidP="004B44D4">
            <w:pPr>
              <w:spacing w:after="0" w:line="360" w:lineRule="auto"/>
              <w:jc w:val="center"/>
              <w:rPr>
                <w:rFonts w:ascii="Times New Roman" w:hAnsi="Times New Roman" w:cs="Times New Roman"/>
                <w:sz w:val="20"/>
                <w:szCs w:val="20"/>
              </w:rPr>
            </w:pPr>
            <w:r w:rsidRPr="00F45F71">
              <w:rPr>
                <w:rFonts w:ascii="Times New Roman" w:hAnsi="Times New Roman" w:cs="Times New Roman"/>
                <w:sz w:val="20"/>
                <w:szCs w:val="20"/>
              </w:rPr>
              <w:t>pH (1/2.5)</w:t>
            </w:r>
          </w:p>
        </w:tc>
        <w:tc>
          <w:tcPr>
            <w:tcW w:w="1000" w:type="pct"/>
            <w:vAlign w:val="center"/>
          </w:tcPr>
          <w:p w:rsidR="00F47DCC" w:rsidRPr="00F45F71" w:rsidRDefault="00F47DCC" w:rsidP="004B44D4">
            <w:pPr>
              <w:spacing w:after="0" w:line="360" w:lineRule="auto"/>
              <w:jc w:val="center"/>
              <w:rPr>
                <w:rFonts w:ascii="Times New Roman" w:hAnsi="Times New Roman" w:cs="Times New Roman"/>
                <w:sz w:val="20"/>
                <w:szCs w:val="20"/>
              </w:rPr>
            </w:pPr>
            <w:r w:rsidRPr="00F45F71">
              <w:rPr>
                <w:rFonts w:ascii="Times New Roman" w:hAnsi="Times New Roman" w:cs="Times New Roman"/>
                <w:sz w:val="20"/>
                <w:szCs w:val="20"/>
              </w:rPr>
              <w:t>CE (ds/m) (1/5)</w:t>
            </w:r>
          </w:p>
        </w:tc>
      </w:tr>
      <w:tr w:rsidR="00F47DCC" w:rsidRPr="00F45F71" w:rsidTr="004A2A5D">
        <w:trPr>
          <w:trHeight w:val="170"/>
        </w:trPr>
        <w:tc>
          <w:tcPr>
            <w:tcW w:w="1000" w:type="pct"/>
            <w:vAlign w:val="center"/>
          </w:tcPr>
          <w:p w:rsidR="00F47DCC" w:rsidRPr="00F45F71" w:rsidRDefault="00F47DCC" w:rsidP="004B44D4">
            <w:pPr>
              <w:spacing w:after="0" w:line="360" w:lineRule="auto"/>
              <w:ind w:firstLine="567"/>
              <w:jc w:val="center"/>
              <w:rPr>
                <w:rFonts w:ascii="Times New Roman" w:hAnsi="Times New Roman" w:cs="Times New Roman"/>
                <w:sz w:val="20"/>
                <w:szCs w:val="20"/>
              </w:rPr>
            </w:pPr>
            <w:r w:rsidRPr="00F45F71">
              <w:rPr>
                <w:rFonts w:ascii="Times New Roman" w:hAnsi="Times New Roman" w:cs="Times New Roman"/>
                <w:sz w:val="20"/>
                <w:szCs w:val="20"/>
              </w:rPr>
              <w:t>1.37</w:t>
            </w:r>
          </w:p>
        </w:tc>
        <w:tc>
          <w:tcPr>
            <w:tcW w:w="1000" w:type="pct"/>
            <w:vAlign w:val="center"/>
          </w:tcPr>
          <w:p w:rsidR="00F47DCC" w:rsidRPr="00F45F71" w:rsidRDefault="002B4DB3" w:rsidP="004B44D4">
            <w:pPr>
              <w:spacing w:after="0" w:line="360" w:lineRule="auto"/>
              <w:ind w:firstLine="567"/>
              <w:jc w:val="center"/>
              <w:rPr>
                <w:rFonts w:ascii="Times New Roman" w:hAnsi="Times New Roman" w:cs="Times New Roman"/>
                <w:sz w:val="20"/>
                <w:szCs w:val="20"/>
              </w:rPr>
            </w:pPr>
            <w:r>
              <w:rPr>
                <w:rFonts w:ascii="Times New Roman" w:hAnsi="Times New Roman" w:cs="Times New Roman"/>
                <w:sz w:val="20"/>
                <w:szCs w:val="20"/>
              </w:rPr>
              <w:t>59,</w:t>
            </w:r>
            <w:r w:rsidR="00F47DCC" w:rsidRPr="00F45F71">
              <w:rPr>
                <w:rFonts w:ascii="Times New Roman" w:hAnsi="Times New Roman" w:cs="Times New Roman"/>
                <w:sz w:val="20"/>
                <w:szCs w:val="20"/>
              </w:rPr>
              <w:t>61</w:t>
            </w:r>
          </w:p>
        </w:tc>
        <w:tc>
          <w:tcPr>
            <w:tcW w:w="1000" w:type="pct"/>
            <w:vAlign w:val="center"/>
          </w:tcPr>
          <w:p w:rsidR="00F47DCC" w:rsidRPr="00F45F71" w:rsidRDefault="002B4DB3" w:rsidP="004B44D4">
            <w:pPr>
              <w:spacing w:after="0" w:line="360" w:lineRule="auto"/>
              <w:ind w:firstLine="567"/>
              <w:jc w:val="center"/>
              <w:rPr>
                <w:rFonts w:ascii="Times New Roman" w:hAnsi="Times New Roman" w:cs="Times New Roman"/>
                <w:sz w:val="20"/>
                <w:szCs w:val="20"/>
              </w:rPr>
            </w:pPr>
            <w:r>
              <w:rPr>
                <w:rFonts w:ascii="Times New Roman" w:hAnsi="Times New Roman" w:cs="Times New Roman"/>
                <w:sz w:val="20"/>
                <w:szCs w:val="20"/>
              </w:rPr>
              <w:t>62,</w:t>
            </w:r>
            <w:r w:rsidR="00F47DCC" w:rsidRPr="00F45F71">
              <w:rPr>
                <w:rFonts w:ascii="Times New Roman" w:hAnsi="Times New Roman" w:cs="Times New Roman"/>
                <w:sz w:val="20"/>
                <w:szCs w:val="20"/>
              </w:rPr>
              <w:t>75</w:t>
            </w:r>
          </w:p>
        </w:tc>
        <w:tc>
          <w:tcPr>
            <w:tcW w:w="1000" w:type="pct"/>
            <w:vAlign w:val="center"/>
          </w:tcPr>
          <w:p w:rsidR="00F47DCC" w:rsidRPr="00F45F71" w:rsidRDefault="002B4DB3" w:rsidP="004B44D4">
            <w:pPr>
              <w:spacing w:after="0" w:line="360" w:lineRule="auto"/>
              <w:ind w:firstLine="567"/>
              <w:jc w:val="center"/>
              <w:rPr>
                <w:rFonts w:ascii="Times New Roman" w:hAnsi="Times New Roman" w:cs="Times New Roman"/>
                <w:sz w:val="20"/>
                <w:szCs w:val="20"/>
              </w:rPr>
            </w:pPr>
            <w:r>
              <w:rPr>
                <w:rFonts w:ascii="Times New Roman" w:hAnsi="Times New Roman" w:cs="Times New Roman"/>
                <w:sz w:val="20"/>
                <w:szCs w:val="20"/>
              </w:rPr>
              <w:t>8,</w:t>
            </w:r>
            <w:r w:rsidR="00F47DCC" w:rsidRPr="00F45F71">
              <w:rPr>
                <w:rFonts w:ascii="Times New Roman" w:hAnsi="Times New Roman" w:cs="Times New Roman"/>
                <w:sz w:val="20"/>
                <w:szCs w:val="20"/>
              </w:rPr>
              <w:t>16</w:t>
            </w:r>
          </w:p>
        </w:tc>
        <w:tc>
          <w:tcPr>
            <w:tcW w:w="1000" w:type="pct"/>
            <w:vAlign w:val="center"/>
          </w:tcPr>
          <w:p w:rsidR="00F47DCC" w:rsidRPr="00F45F71" w:rsidRDefault="002B4DB3" w:rsidP="004B44D4">
            <w:pPr>
              <w:spacing w:after="0" w:line="360" w:lineRule="auto"/>
              <w:ind w:firstLine="567"/>
              <w:jc w:val="center"/>
              <w:rPr>
                <w:rFonts w:ascii="Times New Roman" w:hAnsi="Times New Roman" w:cs="Times New Roman"/>
                <w:sz w:val="20"/>
                <w:szCs w:val="20"/>
              </w:rPr>
            </w:pPr>
            <w:r>
              <w:rPr>
                <w:rFonts w:ascii="Times New Roman" w:hAnsi="Times New Roman" w:cs="Times New Roman"/>
                <w:sz w:val="20"/>
                <w:szCs w:val="20"/>
              </w:rPr>
              <w:t>3,</w:t>
            </w:r>
            <w:r w:rsidR="00F47DCC" w:rsidRPr="00F45F71">
              <w:rPr>
                <w:rFonts w:ascii="Times New Roman" w:hAnsi="Times New Roman" w:cs="Times New Roman"/>
                <w:sz w:val="20"/>
                <w:szCs w:val="20"/>
              </w:rPr>
              <w:t>15</w:t>
            </w:r>
          </w:p>
        </w:tc>
      </w:tr>
    </w:tbl>
    <w:p w:rsidR="00F47DCC" w:rsidRDefault="00F47DCC" w:rsidP="004B44D4">
      <w:pPr>
        <w:spacing w:after="0" w:line="360" w:lineRule="auto"/>
        <w:jc w:val="both"/>
        <w:rPr>
          <w:rFonts w:ascii="Times New Roman" w:hAnsi="Times New Roman" w:cs="Times New Roman"/>
          <w:sz w:val="24"/>
          <w:szCs w:val="24"/>
        </w:rPr>
      </w:pPr>
    </w:p>
    <w:p w:rsidR="00F47DCC" w:rsidRDefault="00F47DCC" w:rsidP="003B4114">
      <w:pPr>
        <w:pStyle w:val="Titre2"/>
        <w:numPr>
          <w:ilvl w:val="1"/>
          <w:numId w:val="10"/>
        </w:numPr>
        <w:spacing w:after="240" w:line="360" w:lineRule="auto"/>
        <w:rPr>
          <w:rFonts w:ascii="Times New Roman" w:hAnsi="Times New Roman"/>
          <w:color w:val="auto"/>
          <w:sz w:val="24"/>
          <w:szCs w:val="24"/>
        </w:rPr>
      </w:pPr>
      <w:bookmarkStart w:id="579" w:name="_Toc126571823"/>
      <w:bookmarkStart w:id="580" w:name="_Toc126572605"/>
      <w:bookmarkStart w:id="581" w:name="_Toc126575239"/>
      <w:bookmarkStart w:id="582" w:name="_Toc126575916"/>
      <w:bookmarkStart w:id="583" w:name="_Toc126576791"/>
      <w:bookmarkStart w:id="584" w:name="_Toc252094000"/>
      <w:bookmarkStart w:id="585" w:name="_Toc252365390"/>
      <w:bookmarkStart w:id="586" w:name="_Toc252365661"/>
      <w:bookmarkStart w:id="587" w:name="_Toc252366206"/>
      <w:r w:rsidRPr="00AC3F44">
        <w:rPr>
          <w:rFonts w:ascii="Times New Roman" w:hAnsi="Times New Roman"/>
          <w:color w:val="auto"/>
          <w:sz w:val="24"/>
          <w:szCs w:val="24"/>
        </w:rPr>
        <w:t>Le climat</w:t>
      </w:r>
      <w:bookmarkEnd w:id="579"/>
      <w:bookmarkEnd w:id="580"/>
      <w:bookmarkEnd w:id="581"/>
      <w:bookmarkEnd w:id="582"/>
      <w:bookmarkEnd w:id="583"/>
      <w:bookmarkEnd w:id="584"/>
      <w:bookmarkEnd w:id="585"/>
      <w:bookmarkEnd w:id="586"/>
      <w:bookmarkEnd w:id="587"/>
    </w:p>
    <w:p w:rsidR="00490FAA" w:rsidRPr="00490FAA" w:rsidRDefault="00490FAA" w:rsidP="00FB326F">
      <w:pPr>
        <w:spacing w:before="240" w:line="360" w:lineRule="auto"/>
        <w:ind w:firstLine="284"/>
        <w:jc w:val="both"/>
        <w:rPr>
          <w:rFonts w:ascii="Times New Roman" w:hAnsi="Times New Roman" w:cs="Times New Roman"/>
          <w:sz w:val="24"/>
          <w:szCs w:val="24"/>
        </w:rPr>
      </w:pPr>
      <w:r w:rsidRPr="00490FAA">
        <w:rPr>
          <w:rFonts w:ascii="Times New Roman" w:hAnsi="Times New Roman" w:cs="Times New Roman"/>
          <w:sz w:val="24"/>
          <w:szCs w:val="24"/>
        </w:rPr>
        <w:t xml:space="preserve">Durant </w:t>
      </w:r>
      <w:r w:rsidR="00CD6425">
        <w:rPr>
          <w:rFonts w:ascii="Times New Roman" w:hAnsi="Times New Roman" w:cs="Times New Roman"/>
          <w:sz w:val="24"/>
          <w:szCs w:val="24"/>
        </w:rPr>
        <w:t>le cycle végétatif  (</w:t>
      </w:r>
      <w:r w:rsidR="00CC2199">
        <w:rPr>
          <w:rFonts w:ascii="Times New Roman" w:hAnsi="Times New Roman" w:cs="Times New Roman"/>
          <w:sz w:val="24"/>
          <w:szCs w:val="24"/>
        </w:rPr>
        <w:t>du mois de Janvier au mois de Juin</w:t>
      </w:r>
      <w:r w:rsidR="00CD6425">
        <w:rPr>
          <w:rFonts w:ascii="Times New Roman" w:hAnsi="Times New Roman" w:cs="Times New Roman"/>
          <w:sz w:val="24"/>
          <w:szCs w:val="24"/>
        </w:rPr>
        <w:t>), on a enregistré l</w:t>
      </w:r>
      <w:r w:rsidR="009D6DA9">
        <w:rPr>
          <w:rFonts w:ascii="Times New Roman" w:hAnsi="Times New Roman" w:cs="Times New Roman"/>
          <w:sz w:val="24"/>
          <w:szCs w:val="24"/>
        </w:rPr>
        <w:t>es paramètres climatiques</w:t>
      </w:r>
      <w:r w:rsidR="00CD6425">
        <w:rPr>
          <w:rFonts w:ascii="Times New Roman" w:hAnsi="Times New Roman" w:cs="Times New Roman"/>
          <w:sz w:val="24"/>
          <w:szCs w:val="24"/>
        </w:rPr>
        <w:t> </w:t>
      </w:r>
      <w:r w:rsidR="000238B9">
        <w:rPr>
          <w:rFonts w:ascii="Times New Roman" w:hAnsi="Times New Roman" w:cs="Times New Roman"/>
          <w:sz w:val="24"/>
          <w:szCs w:val="24"/>
        </w:rPr>
        <w:t>: les températures de l’air et</w:t>
      </w:r>
      <w:r w:rsidR="00CD6425">
        <w:rPr>
          <w:rFonts w:ascii="Times New Roman" w:hAnsi="Times New Roman" w:cs="Times New Roman"/>
          <w:sz w:val="24"/>
          <w:szCs w:val="24"/>
        </w:rPr>
        <w:t xml:space="preserve"> du sol, les</w:t>
      </w:r>
      <w:r w:rsidR="005359E4">
        <w:rPr>
          <w:rFonts w:ascii="Times New Roman" w:hAnsi="Times New Roman" w:cs="Times New Roman"/>
          <w:sz w:val="24"/>
          <w:szCs w:val="24"/>
        </w:rPr>
        <w:t xml:space="preserve"> précipitation</w:t>
      </w:r>
      <w:r w:rsidR="00CD6425">
        <w:rPr>
          <w:rFonts w:ascii="Times New Roman" w:hAnsi="Times New Roman" w:cs="Times New Roman"/>
          <w:sz w:val="24"/>
          <w:szCs w:val="24"/>
        </w:rPr>
        <w:t>s</w:t>
      </w:r>
      <w:r w:rsidR="005359E4">
        <w:rPr>
          <w:rFonts w:ascii="Times New Roman" w:hAnsi="Times New Roman" w:cs="Times New Roman"/>
          <w:sz w:val="24"/>
          <w:szCs w:val="24"/>
        </w:rPr>
        <w:t xml:space="preserve"> et l’humidité relative.</w:t>
      </w:r>
    </w:p>
    <w:p w:rsidR="00F47DCC" w:rsidRPr="00AC3F44" w:rsidRDefault="00F47DCC" w:rsidP="004B44D4">
      <w:pPr>
        <w:pStyle w:val="Paragraphedeliste"/>
        <w:numPr>
          <w:ilvl w:val="2"/>
          <w:numId w:val="10"/>
        </w:numPr>
        <w:spacing w:before="240" w:line="360" w:lineRule="auto"/>
        <w:jc w:val="lowKashida"/>
        <w:rPr>
          <w:rFonts w:ascii="Times New Roman" w:hAnsi="Times New Roman" w:cs="Times New Roman"/>
          <w:b/>
          <w:bCs/>
          <w:sz w:val="24"/>
          <w:szCs w:val="24"/>
        </w:rPr>
      </w:pPr>
      <w:r w:rsidRPr="00AC3F44">
        <w:rPr>
          <w:rFonts w:ascii="Times New Roman" w:hAnsi="Times New Roman" w:cs="Times New Roman"/>
          <w:b/>
          <w:bCs/>
          <w:sz w:val="24"/>
          <w:szCs w:val="24"/>
        </w:rPr>
        <w:t>La température de l’air</w:t>
      </w:r>
    </w:p>
    <w:p w:rsidR="00F47DCC" w:rsidRDefault="00F47DCC" w:rsidP="004B44D4">
      <w:pPr>
        <w:spacing w:before="240" w:line="360" w:lineRule="auto"/>
        <w:ind w:firstLine="284"/>
        <w:jc w:val="both"/>
        <w:rPr>
          <w:rFonts w:ascii="Times New Roman" w:hAnsi="Times New Roman" w:cs="Times New Roman"/>
          <w:sz w:val="24"/>
          <w:szCs w:val="24"/>
        </w:rPr>
      </w:pPr>
      <w:r w:rsidRPr="00585B3C">
        <w:rPr>
          <w:rFonts w:ascii="Times New Roman" w:hAnsi="Times New Roman" w:cs="Times New Roman"/>
          <w:sz w:val="24"/>
          <w:szCs w:val="24"/>
        </w:rPr>
        <w:t>La moyenne des maxima oscille entre 15,03 C° en Janvier et 37,35 C° en Juin. Par ailleurs, la température moyenne mensuelle (M+m)/2 varie d’un minimum de 10</w:t>
      </w:r>
      <w:r>
        <w:rPr>
          <w:rFonts w:ascii="Times New Roman" w:hAnsi="Times New Roman" w:cs="Times New Roman"/>
          <w:sz w:val="24"/>
          <w:szCs w:val="24"/>
        </w:rPr>
        <w:t>,</w:t>
      </w:r>
      <w:r w:rsidRPr="00585B3C">
        <w:rPr>
          <w:rFonts w:ascii="Times New Roman" w:hAnsi="Times New Roman" w:cs="Times New Roman"/>
          <w:sz w:val="24"/>
          <w:szCs w:val="24"/>
        </w:rPr>
        <w:t>12 C° en Janvier à un maximum de 29</w:t>
      </w:r>
      <w:r>
        <w:rPr>
          <w:rFonts w:ascii="Times New Roman" w:hAnsi="Times New Roman" w:cs="Times New Roman"/>
          <w:sz w:val="24"/>
          <w:szCs w:val="24"/>
        </w:rPr>
        <w:t>,</w:t>
      </w:r>
      <w:r w:rsidRPr="00585B3C">
        <w:rPr>
          <w:rFonts w:ascii="Times New Roman" w:hAnsi="Times New Roman" w:cs="Times New Roman"/>
          <w:sz w:val="24"/>
          <w:szCs w:val="24"/>
        </w:rPr>
        <w:t>56 C° au mois de juin (Fig</w:t>
      </w:r>
      <w:r>
        <w:rPr>
          <w:rFonts w:ascii="Times New Roman" w:hAnsi="Times New Roman" w:cs="Times New Roman"/>
          <w:sz w:val="24"/>
          <w:szCs w:val="24"/>
        </w:rPr>
        <w:t>. 10</w:t>
      </w:r>
      <w:r w:rsidRPr="00585B3C">
        <w:rPr>
          <w:rFonts w:ascii="Times New Roman" w:hAnsi="Times New Roman" w:cs="Times New Roman"/>
          <w:sz w:val="24"/>
          <w:szCs w:val="24"/>
        </w:rPr>
        <w:t>).</w:t>
      </w:r>
    </w:p>
    <w:p w:rsidR="003B4114" w:rsidRDefault="003B4114" w:rsidP="004B44D4">
      <w:pPr>
        <w:spacing w:before="240" w:line="360" w:lineRule="auto"/>
        <w:ind w:firstLine="284"/>
        <w:jc w:val="both"/>
        <w:rPr>
          <w:rFonts w:ascii="Times New Roman" w:hAnsi="Times New Roman" w:cs="Times New Roman"/>
          <w:sz w:val="24"/>
          <w:szCs w:val="24"/>
        </w:rPr>
      </w:pPr>
      <w:r w:rsidRPr="003B4114">
        <w:rPr>
          <w:rFonts w:ascii="Times New Roman" w:hAnsi="Times New Roman" w:cs="Times New Roman"/>
          <w:noProof/>
          <w:sz w:val="24"/>
          <w:szCs w:val="24"/>
        </w:rPr>
        <w:drawing>
          <wp:inline distT="0" distB="0" distL="0" distR="0">
            <wp:extent cx="5395207" cy="2167592"/>
            <wp:effectExtent l="19050" t="0" r="14993" b="4108"/>
            <wp:docPr id="42"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B669A" w:rsidRDefault="003B4114" w:rsidP="003B4114">
      <w:pPr>
        <w:pStyle w:val="Lgende"/>
        <w:spacing w:before="240" w:line="360" w:lineRule="auto"/>
        <w:rPr>
          <w:rFonts w:asciiTheme="majorBidi" w:hAnsiTheme="majorBidi" w:cstheme="majorBidi"/>
          <w:color w:val="auto"/>
          <w:sz w:val="24"/>
          <w:szCs w:val="24"/>
        </w:rPr>
      </w:pPr>
      <w:r>
        <w:rPr>
          <w:rFonts w:ascii="Times New Roman" w:hAnsi="Times New Roman" w:cs="Times New Roman"/>
          <w:b w:val="0"/>
          <w:bCs w:val="0"/>
          <w:color w:val="auto"/>
          <w:sz w:val="24"/>
          <w:szCs w:val="24"/>
        </w:rPr>
        <w:t xml:space="preserve">                </w:t>
      </w:r>
      <w:bookmarkStart w:id="588" w:name="_Toc252194947"/>
      <w:r w:rsidR="00B16C26"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00B16C26"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10</w:t>
      </w:r>
      <w:r w:rsidR="00811D6A" w:rsidRPr="00463B12">
        <w:rPr>
          <w:rFonts w:asciiTheme="majorBidi" w:hAnsiTheme="majorBidi" w:cstheme="majorBidi"/>
          <w:color w:val="auto"/>
          <w:sz w:val="24"/>
          <w:szCs w:val="24"/>
        </w:rPr>
        <w:fldChar w:fldCharType="end"/>
      </w:r>
      <w:r w:rsidR="00B16C26" w:rsidRPr="00463B12">
        <w:rPr>
          <w:rFonts w:asciiTheme="majorBidi" w:hAnsiTheme="majorBidi" w:cstheme="majorBidi"/>
          <w:color w:val="auto"/>
          <w:sz w:val="24"/>
          <w:szCs w:val="24"/>
        </w:rPr>
        <w:t xml:space="preserve">:Evolution des moyennes mensuelles des températures de </w:t>
      </w:r>
      <w:r w:rsidR="0043162A" w:rsidRPr="00FB326F">
        <w:rPr>
          <w:rFonts w:asciiTheme="majorBidi" w:hAnsiTheme="majorBidi" w:cstheme="majorBidi"/>
          <w:color w:val="auto"/>
          <w:sz w:val="24"/>
          <w:szCs w:val="24"/>
        </w:rPr>
        <w:t>l’air (CRSTRA</w:t>
      </w:r>
      <w:r w:rsidR="00DA0D1B" w:rsidRPr="00FB326F">
        <w:rPr>
          <w:rFonts w:asciiTheme="majorBidi" w:hAnsiTheme="majorBidi" w:cstheme="majorBidi"/>
          <w:color w:val="auto"/>
          <w:sz w:val="24"/>
          <w:szCs w:val="24"/>
        </w:rPr>
        <w:t>,</w:t>
      </w:r>
      <w:r w:rsidR="0043162A" w:rsidRPr="00FB326F">
        <w:rPr>
          <w:rFonts w:asciiTheme="majorBidi" w:hAnsiTheme="majorBidi" w:cstheme="majorBidi"/>
          <w:color w:val="auto"/>
          <w:sz w:val="24"/>
          <w:szCs w:val="24"/>
        </w:rPr>
        <w:t xml:space="preserve"> 2009)</w:t>
      </w:r>
      <w:r w:rsidR="00B16C26" w:rsidRPr="00FB326F">
        <w:rPr>
          <w:rFonts w:asciiTheme="majorBidi" w:hAnsiTheme="majorBidi" w:cstheme="majorBidi"/>
          <w:color w:val="auto"/>
          <w:sz w:val="24"/>
          <w:szCs w:val="24"/>
        </w:rPr>
        <w:t>.</w:t>
      </w:r>
      <w:bookmarkEnd w:id="588"/>
    </w:p>
    <w:p w:rsidR="003B4114" w:rsidRPr="003B4114" w:rsidRDefault="003B4114" w:rsidP="003B4114"/>
    <w:p w:rsidR="003B4114" w:rsidRPr="003B4114" w:rsidRDefault="003B4114" w:rsidP="003B4114"/>
    <w:p w:rsidR="00F47DCC" w:rsidRDefault="00F47DCC" w:rsidP="004B44D4">
      <w:pPr>
        <w:pStyle w:val="Paragraphedeliste"/>
        <w:numPr>
          <w:ilvl w:val="2"/>
          <w:numId w:val="10"/>
        </w:numPr>
        <w:spacing w:before="240" w:line="360" w:lineRule="auto"/>
        <w:jc w:val="lowKashida"/>
        <w:rPr>
          <w:rFonts w:ascii="Times New Roman" w:hAnsi="Times New Roman" w:cs="Times New Roman"/>
          <w:b/>
          <w:bCs/>
          <w:sz w:val="24"/>
          <w:szCs w:val="24"/>
        </w:rPr>
      </w:pPr>
      <w:r w:rsidRPr="000A766E">
        <w:rPr>
          <w:rFonts w:ascii="Times New Roman" w:hAnsi="Times New Roman" w:cs="Times New Roman"/>
          <w:b/>
          <w:bCs/>
          <w:sz w:val="24"/>
          <w:szCs w:val="24"/>
        </w:rPr>
        <w:t>La température du sol</w:t>
      </w:r>
    </w:p>
    <w:p w:rsidR="00F47DCC" w:rsidRPr="003B4114" w:rsidRDefault="00F47DCC" w:rsidP="003B4114">
      <w:pPr>
        <w:spacing w:before="240" w:line="360" w:lineRule="auto"/>
        <w:ind w:firstLine="284"/>
        <w:jc w:val="both"/>
        <w:rPr>
          <w:rFonts w:ascii="Times New Roman" w:hAnsi="Times New Roman" w:cs="Times New Roman"/>
          <w:b/>
          <w:bCs/>
          <w:sz w:val="24"/>
          <w:szCs w:val="24"/>
        </w:rPr>
      </w:pPr>
      <w:r w:rsidRPr="00585B3C">
        <w:rPr>
          <w:rFonts w:ascii="Times New Roman" w:hAnsi="Times New Roman" w:cs="Times New Roman"/>
          <w:sz w:val="24"/>
          <w:szCs w:val="24"/>
        </w:rPr>
        <w:t xml:space="preserve">Les températures moyennes mensuelles </w:t>
      </w:r>
      <w:r>
        <w:rPr>
          <w:rFonts w:ascii="Times New Roman" w:hAnsi="Times New Roman" w:cs="Times New Roman"/>
          <w:sz w:val="24"/>
          <w:szCs w:val="24"/>
        </w:rPr>
        <w:t>[</w:t>
      </w:r>
      <w:r w:rsidRPr="00585B3C">
        <w:rPr>
          <w:rFonts w:ascii="Times New Roman" w:hAnsi="Times New Roman" w:cs="Times New Roman"/>
          <w:sz w:val="24"/>
          <w:szCs w:val="24"/>
        </w:rPr>
        <w:t>(M+m)/2</w:t>
      </w:r>
      <w:r>
        <w:rPr>
          <w:rFonts w:ascii="Times New Roman" w:hAnsi="Times New Roman" w:cs="Times New Roman"/>
          <w:sz w:val="24"/>
          <w:szCs w:val="24"/>
        </w:rPr>
        <w:t xml:space="preserve">] </w:t>
      </w:r>
      <w:r w:rsidRPr="00585B3C">
        <w:rPr>
          <w:rFonts w:ascii="Times New Roman" w:hAnsi="Times New Roman" w:cs="Times New Roman"/>
          <w:sz w:val="24"/>
          <w:szCs w:val="24"/>
        </w:rPr>
        <w:t xml:space="preserve">du sol durant la période de culture varient d’un minimum de 10,93 C° en </w:t>
      </w:r>
      <w:r>
        <w:rPr>
          <w:rFonts w:ascii="Times New Roman" w:hAnsi="Times New Roman" w:cs="Times New Roman"/>
          <w:sz w:val="24"/>
          <w:szCs w:val="24"/>
        </w:rPr>
        <w:t>j</w:t>
      </w:r>
      <w:r w:rsidRPr="00585B3C">
        <w:rPr>
          <w:rFonts w:ascii="Times New Roman" w:hAnsi="Times New Roman" w:cs="Times New Roman"/>
          <w:sz w:val="24"/>
          <w:szCs w:val="24"/>
        </w:rPr>
        <w:t>anvier à un maximum de 27,</w:t>
      </w:r>
      <w:r>
        <w:rPr>
          <w:rFonts w:ascii="Times New Roman" w:hAnsi="Times New Roman" w:cs="Times New Roman"/>
          <w:sz w:val="24"/>
          <w:szCs w:val="24"/>
        </w:rPr>
        <w:t>30 C° au mois de juin (Fig. 11</w:t>
      </w:r>
      <w:r w:rsidRPr="00585B3C">
        <w:rPr>
          <w:rFonts w:ascii="Times New Roman" w:hAnsi="Times New Roman" w:cs="Times New Roman"/>
          <w:sz w:val="24"/>
          <w:szCs w:val="24"/>
        </w:rPr>
        <w:t>).</w:t>
      </w:r>
    </w:p>
    <w:p w:rsidR="00B16C26" w:rsidRDefault="00F47DCC" w:rsidP="004B44D4">
      <w:pPr>
        <w:keepNext/>
        <w:spacing w:before="100" w:beforeAutospacing="1" w:after="100" w:afterAutospacing="1" w:line="360" w:lineRule="auto"/>
        <w:jc w:val="center"/>
      </w:pPr>
      <w:r w:rsidRPr="0069010F">
        <w:rPr>
          <w:rFonts w:ascii="Times New Roman" w:hAnsi="Times New Roman" w:cs="Times New Roman"/>
          <w:b/>
          <w:bCs/>
          <w:noProof/>
          <w:sz w:val="24"/>
          <w:szCs w:val="24"/>
        </w:rPr>
        <w:drawing>
          <wp:inline distT="0" distB="0" distL="0" distR="0">
            <wp:extent cx="5401520" cy="2162553"/>
            <wp:effectExtent l="19050" t="0" r="27730" b="9147"/>
            <wp:docPr id="26" name="Graphiqu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47DCC" w:rsidRPr="00772221" w:rsidRDefault="00B16C26" w:rsidP="004B44D4">
      <w:pPr>
        <w:pStyle w:val="Lgende"/>
        <w:spacing w:before="240" w:line="360" w:lineRule="auto"/>
        <w:jc w:val="center"/>
        <w:rPr>
          <w:rFonts w:asciiTheme="majorBidi" w:hAnsiTheme="majorBidi" w:cstheme="majorBidi"/>
          <w:color w:val="auto"/>
          <w:sz w:val="24"/>
          <w:szCs w:val="24"/>
        </w:rPr>
      </w:pPr>
      <w:bookmarkStart w:id="589" w:name="_Toc252194948"/>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11</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:Evolution des moyennes men</w:t>
      </w:r>
      <w:r w:rsidR="0043162A">
        <w:rPr>
          <w:rFonts w:asciiTheme="majorBidi" w:hAnsiTheme="majorBidi" w:cstheme="majorBidi"/>
          <w:color w:val="auto"/>
          <w:sz w:val="24"/>
          <w:szCs w:val="24"/>
        </w:rPr>
        <w:t xml:space="preserve">suelles des températures du </w:t>
      </w:r>
      <w:r w:rsidR="0043162A" w:rsidRPr="00FB326F">
        <w:rPr>
          <w:rFonts w:asciiTheme="majorBidi" w:hAnsiTheme="majorBidi" w:cstheme="majorBidi"/>
          <w:color w:val="auto"/>
          <w:sz w:val="24"/>
          <w:szCs w:val="24"/>
        </w:rPr>
        <w:t>sol (CRSTRA</w:t>
      </w:r>
      <w:r w:rsidR="00DA0D1B" w:rsidRPr="00FB326F">
        <w:rPr>
          <w:rFonts w:asciiTheme="majorBidi" w:hAnsiTheme="majorBidi" w:cstheme="majorBidi"/>
          <w:color w:val="auto"/>
          <w:sz w:val="24"/>
          <w:szCs w:val="24"/>
        </w:rPr>
        <w:t>,</w:t>
      </w:r>
      <w:r w:rsidR="0043162A" w:rsidRPr="00FB326F">
        <w:rPr>
          <w:rFonts w:asciiTheme="majorBidi" w:hAnsiTheme="majorBidi" w:cstheme="majorBidi"/>
          <w:color w:val="auto"/>
          <w:sz w:val="24"/>
          <w:szCs w:val="24"/>
        </w:rPr>
        <w:t xml:space="preserve"> 2009).</w:t>
      </w:r>
      <w:bookmarkEnd w:id="589"/>
    </w:p>
    <w:p w:rsidR="00F47DCC" w:rsidRDefault="00F47DCC" w:rsidP="004B44D4">
      <w:pPr>
        <w:pStyle w:val="Paragraphedeliste"/>
        <w:numPr>
          <w:ilvl w:val="2"/>
          <w:numId w:val="10"/>
        </w:numPr>
        <w:spacing w:before="240" w:line="360" w:lineRule="auto"/>
        <w:jc w:val="lowKashida"/>
        <w:rPr>
          <w:rFonts w:ascii="Times New Roman" w:hAnsi="Times New Roman" w:cs="Times New Roman"/>
          <w:b/>
          <w:bCs/>
          <w:sz w:val="24"/>
          <w:szCs w:val="24"/>
        </w:rPr>
      </w:pPr>
      <w:r w:rsidRPr="000A766E">
        <w:rPr>
          <w:rFonts w:ascii="Times New Roman" w:hAnsi="Times New Roman" w:cs="Times New Roman"/>
          <w:b/>
          <w:bCs/>
          <w:sz w:val="24"/>
          <w:szCs w:val="24"/>
        </w:rPr>
        <w:t>La précipitation</w:t>
      </w:r>
    </w:p>
    <w:p w:rsidR="00F47DCC" w:rsidRDefault="00F47DCC" w:rsidP="004B44D4">
      <w:pPr>
        <w:spacing w:before="240" w:line="360" w:lineRule="auto"/>
        <w:ind w:firstLine="284"/>
        <w:jc w:val="both"/>
        <w:rPr>
          <w:rFonts w:ascii="Times New Roman" w:hAnsi="Times New Roman" w:cs="Times New Roman"/>
          <w:sz w:val="24"/>
          <w:szCs w:val="24"/>
        </w:rPr>
      </w:pPr>
      <w:r w:rsidRPr="00987262">
        <w:rPr>
          <w:rFonts w:ascii="Times New Roman" w:hAnsi="Times New Roman" w:cs="Times New Roman"/>
          <w:sz w:val="24"/>
          <w:szCs w:val="24"/>
        </w:rPr>
        <w:t>Les précipitations les plus importantes ont</w:t>
      </w:r>
      <w:r w:rsidRPr="00585B3C">
        <w:rPr>
          <w:rFonts w:ascii="Times New Roman" w:hAnsi="Times New Roman" w:cs="Times New Roman"/>
          <w:sz w:val="24"/>
          <w:szCs w:val="24"/>
        </w:rPr>
        <w:t xml:space="preserve"> été enregistrées d</w:t>
      </w:r>
      <w:r>
        <w:rPr>
          <w:rFonts w:ascii="Times New Roman" w:hAnsi="Times New Roman" w:cs="Times New Roman"/>
          <w:sz w:val="24"/>
          <w:szCs w:val="24"/>
        </w:rPr>
        <w:t>urant</w:t>
      </w:r>
      <w:r w:rsidRPr="00585B3C">
        <w:rPr>
          <w:rFonts w:ascii="Times New Roman" w:hAnsi="Times New Roman" w:cs="Times New Roman"/>
          <w:sz w:val="24"/>
          <w:szCs w:val="24"/>
        </w:rPr>
        <w:t xml:space="preserve"> le mois </w:t>
      </w:r>
      <w:r w:rsidR="00EA61D7">
        <w:rPr>
          <w:rFonts w:ascii="Times New Roman" w:hAnsi="Times New Roman" w:cs="Times New Roman"/>
          <w:sz w:val="24"/>
          <w:szCs w:val="24"/>
        </w:rPr>
        <w:t>J</w:t>
      </w:r>
      <w:r w:rsidRPr="00585B3C">
        <w:rPr>
          <w:rFonts w:ascii="Times New Roman" w:hAnsi="Times New Roman" w:cs="Times New Roman"/>
          <w:sz w:val="24"/>
          <w:szCs w:val="24"/>
        </w:rPr>
        <w:t>anvier (</w:t>
      </w:r>
      <w:smartTag w:uri="urn:schemas-microsoft-com:office:smarttags" w:element="metricconverter">
        <w:smartTagPr>
          <w:attr w:name="ProductID" w:val="2,2 mm"/>
        </w:smartTagPr>
        <w:r w:rsidRPr="00585B3C">
          <w:rPr>
            <w:rFonts w:ascii="Times New Roman" w:hAnsi="Times New Roman" w:cs="Times New Roman"/>
            <w:sz w:val="24"/>
            <w:szCs w:val="24"/>
          </w:rPr>
          <w:t>2</w:t>
        </w:r>
        <w:r>
          <w:rPr>
            <w:rFonts w:ascii="Times New Roman" w:hAnsi="Times New Roman" w:cs="Times New Roman"/>
            <w:sz w:val="24"/>
            <w:szCs w:val="24"/>
          </w:rPr>
          <w:t>,</w:t>
        </w:r>
        <w:r w:rsidRPr="00585B3C">
          <w:rPr>
            <w:rFonts w:ascii="Times New Roman" w:hAnsi="Times New Roman" w:cs="Times New Roman"/>
            <w:sz w:val="24"/>
            <w:szCs w:val="24"/>
          </w:rPr>
          <w:t>2 mm</w:t>
        </w:r>
      </w:smartTag>
      <w:r w:rsidRPr="00585B3C">
        <w:rPr>
          <w:rFonts w:ascii="Times New Roman" w:hAnsi="Times New Roman" w:cs="Times New Roman"/>
          <w:sz w:val="24"/>
          <w:szCs w:val="24"/>
        </w:rPr>
        <w:t>). Par contre, les faibles précipitations ont été enregistrées d</w:t>
      </w:r>
      <w:r>
        <w:rPr>
          <w:rFonts w:ascii="Times New Roman" w:hAnsi="Times New Roman" w:cs="Times New Roman"/>
          <w:sz w:val="24"/>
          <w:szCs w:val="24"/>
        </w:rPr>
        <w:t>urant</w:t>
      </w:r>
      <w:r w:rsidRPr="00585B3C">
        <w:rPr>
          <w:rFonts w:ascii="Times New Roman" w:hAnsi="Times New Roman" w:cs="Times New Roman"/>
          <w:sz w:val="24"/>
          <w:szCs w:val="24"/>
        </w:rPr>
        <w:t xml:space="preserve"> les mois </w:t>
      </w:r>
      <w:r w:rsidR="00EA61D7">
        <w:rPr>
          <w:rFonts w:ascii="Times New Roman" w:hAnsi="Times New Roman" w:cs="Times New Roman"/>
          <w:sz w:val="24"/>
          <w:szCs w:val="24"/>
        </w:rPr>
        <w:t>de F</w:t>
      </w:r>
      <w:r w:rsidRPr="00585B3C">
        <w:rPr>
          <w:rFonts w:ascii="Times New Roman" w:hAnsi="Times New Roman" w:cs="Times New Roman"/>
          <w:sz w:val="24"/>
          <w:szCs w:val="24"/>
        </w:rPr>
        <w:t xml:space="preserve">évrier et </w:t>
      </w:r>
      <w:r w:rsidR="00EA61D7">
        <w:rPr>
          <w:rFonts w:ascii="Times New Roman" w:hAnsi="Times New Roman" w:cs="Times New Roman"/>
          <w:sz w:val="24"/>
          <w:szCs w:val="24"/>
        </w:rPr>
        <w:t>J</w:t>
      </w:r>
      <w:r w:rsidRPr="00585B3C">
        <w:rPr>
          <w:rFonts w:ascii="Times New Roman" w:hAnsi="Times New Roman" w:cs="Times New Roman"/>
          <w:sz w:val="24"/>
          <w:szCs w:val="24"/>
        </w:rPr>
        <w:t>uin avec respectiveme</w:t>
      </w:r>
      <w:r>
        <w:rPr>
          <w:rFonts w:ascii="Times New Roman" w:hAnsi="Times New Roman" w:cs="Times New Roman"/>
          <w:sz w:val="24"/>
          <w:szCs w:val="24"/>
        </w:rPr>
        <w:t xml:space="preserve">nt (0,29 et </w:t>
      </w:r>
      <w:smartTag w:uri="urn:schemas-microsoft-com:office:smarttags" w:element="metricconverter">
        <w:smartTagPr>
          <w:attr w:name="ProductID" w:val="0,02 mm"/>
        </w:smartTagPr>
        <w:r>
          <w:rPr>
            <w:rFonts w:ascii="Times New Roman" w:hAnsi="Times New Roman" w:cs="Times New Roman"/>
            <w:sz w:val="24"/>
            <w:szCs w:val="24"/>
          </w:rPr>
          <w:t>0,02 mm</w:t>
        </w:r>
      </w:smartTag>
      <w:r>
        <w:rPr>
          <w:rFonts w:ascii="Times New Roman" w:hAnsi="Times New Roman" w:cs="Times New Roman"/>
          <w:sz w:val="24"/>
          <w:szCs w:val="24"/>
        </w:rPr>
        <w:t>) (Fig. 12</w:t>
      </w:r>
      <w:r w:rsidRPr="00585B3C">
        <w:rPr>
          <w:rFonts w:ascii="Times New Roman" w:hAnsi="Times New Roman" w:cs="Times New Roman"/>
          <w:sz w:val="24"/>
          <w:szCs w:val="24"/>
        </w:rPr>
        <w:t>).</w:t>
      </w:r>
    </w:p>
    <w:p w:rsidR="00424D58" w:rsidRDefault="00424D58" w:rsidP="004B44D4">
      <w:pPr>
        <w:spacing w:before="240" w:line="360" w:lineRule="auto"/>
        <w:ind w:firstLine="284"/>
        <w:jc w:val="both"/>
        <w:rPr>
          <w:rFonts w:ascii="Times New Roman" w:hAnsi="Times New Roman" w:cs="Times New Roman"/>
          <w:sz w:val="24"/>
          <w:szCs w:val="24"/>
        </w:rPr>
      </w:pPr>
      <w:r w:rsidRPr="00424D58">
        <w:rPr>
          <w:rFonts w:ascii="Times New Roman" w:hAnsi="Times New Roman" w:cs="Times New Roman"/>
          <w:noProof/>
          <w:sz w:val="24"/>
          <w:szCs w:val="24"/>
        </w:rPr>
        <w:drawing>
          <wp:inline distT="0" distB="0" distL="0" distR="0">
            <wp:extent cx="5395207" cy="2167592"/>
            <wp:effectExtent l="19050" t="0" r="14993" b="4108"/>
            <wp:docPr id="43"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C2F50" w:rsidRPr="00463B12" w:rsidRDefault="00B16C26" w:rsidP="00424D58">
      <w:pPr>
        <w:pStyle w:val="Lgende"/>
        <w:spacing w:before="240" w:line="360" w:lineRule="auto"/>
        <w:jc w:val="center"/>
        <w:rPr>
          <w:rFonts w:asciiTheme="majorBidi" w:hAnsiTheme="majorBidi" w:cstheme="majorBidi"/>
          <w:color w:val="auto"/>
          <w:sz w:val="24"/>
          <w:szCs w:val="24"/>
        </w:rPr>
      </w:pPr>
      <w:bookmarkStart w:id="590" w:name="_Toc252194949"/>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12</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 xml:space="preserve">:Evolution des précipitations </w:t>
      </w:r>
      <w:r w:rsidRPr="00FB326F">
        <w:rPr>
          <w:rFonts w:asciiTheme="majorBidi" w:hAnsiTheme="majorBidi" w:cstheme="majorBidi"/>
          <w:color w:val="auto"/>
          <w:sz w:val="24"/>
          <w:szCs w:val="24"/>
        </w:rPr>
        <w:t>mensuelles</w:t>
      </w:r>
      <w:r w:rsidR="0043162A" w:rsidRPr="00FB326F">
        <w:rPr>
          <w:rFonts w:asciiTheme="majorBidi" w:hAnsiTheme="majorBidi" w:cstheme="majorBidi"/>
          <w:color w:val="auto"/>
          <w:sz w:val="24"/>
          <w:szCs w:val="24"/>
        </w:rPr>
        <w:t xml:space="preserve"> (CRSTRA</w:t>
      </w:r>
      <w:r w:rsidR="00DA0D1B" w:rsidRPr="00FB326F">
        <w:rPr>
          <w:rFonts w:asciiTheme="majorBidi" w:hAnsiTheme="majorBidi" w:cstheme="majorBidi"/>
          <w:color w:val="auto"/>
          <w:sz w:val="24"/>
          <w:szCs w:val="24"/>
        </w:rPr>
        <w:t>,</w:t>
      </w:r>
      <w:r w:rsidR="0043162A" w:rsidRPr="00FB326F">
        <w:rPr>
          <w:rFonts w:asciiTheme="majorBidi" w:hAnsiTheme="majorBidi" w:cstheme="majorBidi"/>
          <w:color w:val="auto"/>
          <w:sz w:val="24"/>
          <w:szCs w:val="24"/>
        </w:rPr>
        <w:t xml:space="preserve"> 2009).</w:t>
      </w:r>
      <w:bookmarkEnd w:id="590"/>
    </w:p>
    <w:p w:rsidR="00F47DCC" w:rsidRDefault="00F47DCC" w:rsidP="004B44D4">
      <w:pPr>
        <w:spacing w:after="0" w:line="360" w:lineRule="auto"/>
        <w:rPr>
          <w:rFonts w:ascii="Times New Roman" w:hAnsi="Times New Roman" w:cs="Times New Roman"/>
          <w:b/>
          <w:bCs/>
          <w:sz w:val="24"/>
          <w:szCs w:val="24"/>
        </w:rPr>
      </w:pPr>
    </w:p>
    <w:p w:rsidR="00424D58" w:rsidRDefault="00424D58" w:rsidP="004B44D4">
      <w:pPr>
        <w:spacing w:after="0" w:line="360" w:lineRule="auto"/>
        <w:rPr>
          <w:rFonts w:ascii="Times New Roman" w:hAnsi="Times New Roman" w:cs="Times New Roman"/>
          <w:b/>
          <w:bCs/>
          <w:sz w:val="24"/>
          <w:szCs w:val="24"/>
        </w:rPr>
      </w:pPr>
    </w:p>
    <w:p w:rsidR="00424D58" w:rsidRPr="00A97B9C" w:rsidRDefault="00424D58" w:rsidP="004B44D4">
      <w:pPr>
        <w:spacing w:after="0" w:line="360" w:lineRule="auto"/>
        <w:rPr>
          <w:rFonts w:ascii="Times New Roman" w:hAnsi="Times New Roman" w:cs="Times New Roman"/>
          <w:b/>
          <w:bCs/>
          <w:sz w:val="24"/>
          <w:szCs w:val="24"/>
        </w:rPr>
      </w:pPr>
    </w:p>
    <w:p w:rsidR="00F47DCC" w:rsidRDefault="00F47DCC" w:rsidP="004B44D4">
      <w:pPr>
        <w:pStyle w:val="Paragraphedeliste"/>
        <w:numPr>
          <w:ilvl w:val="2"/>
          <w:numId w:val="10"/>
        </w:numPr>
        <w:spacing w:before="24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 xml:space="preserve">L’humidité relative (%) </w:t>
      </w:r>
    </w:p>
    <w:p w:rsidR="00F47DCC" w:rsidRPr="00585B3C" w:rsidRDefault="00F47DCC" w:rsidP="004B44D4">
      <w:pPr>
        <w:spacing w:before="240" w:line="360" w:lineRule="auto"/>
        <w:ind w:firstLine="284"/>
        <w:jc w:val="both"/>
        <w:rPr>
          <w:rFonts w:ascii="Times New Roman" w:hAnsi="Times New Roman" w:cs="Times New Roman"/>
          <w:b/>
          <w:bCs/>
          <w:sz w:val="24"/>
          <w:szCs w:val="24"/>
        </w:rPr>
      </w:pPr>
      <w:r w:rsidRPr="00585B3C">
        <w:rPr>
          <w:rFonts w:ascii="Times New Roman" w:hAnsi="Times New Roman" w:cs="Times New Roman"/>
          <w:sz w:val="24"/>
          <w:szCs w:val="24"/>
        </w:rPr>
        <w:t>L’humidité relative varie d’un maximum de 77</w:t>
      </w:r>
      <w:r>
        <w:rPr>
          <w:rFonts w:ascii="Times New Roman" w:hAnsi="Times New Roman" w:cs="Times New Roman"/>
          <w:sz w:val="24"/>
          <w:szCs w:val="24"/>
        </w:rPr>
        <w:t>,</w:t>
      </w:r>
      <w:r w:rsidRPr="00585B3C">
        <w:rPr>
          <w:rFonts w:ascii="Times New Roman" w:hAnsi="Times New Roman" w:cs="Times New Roman"/>
          <w:sz w:val="24"/>
          <w:szCs w:val="24"/>
        </w:rPr>
        <w:t xml:space="preserve">16% en </w:t>
      </w:r>
      <w:r w:rsidR="00EA61D7">
        <w:rPr>
          <w:rFonts w:ascii="Times New Roman" w:hAnsi="Times New Roman" w:cs="Times New Roman"/>
          <w:sz w:val="24"/>
          <w:szCs w:val="24"/>
        </w:rPr>
        <w:t>J</w:t>
      </w:r>
      <w:r w:rsidRPr="00585B3C">
        <w:rPr>
          <w:rFonts w:ascii="Times New Roman" w:hAnsi="Times New Roman" w:cs="Times New Roman"/>
          <w:sz w:val="24"/>
          <w:szCs w:val="24"/>
        </w:rPr>
        <w:t>anvier à un minimum de 25</w:t>
      </w:r>
      <w:r>
        <w:rPr>
          <w:rFonts w:ascii="Times New Roman" w:hAnsi="Times New Roman" w:cs="Times New Roman"/>
          <w:sz w:val="24"/>
          <w:szCs w:val="24"/>
        </w:rPr>
        <w:t>,</w:t>
      </w:r>
      <w:r w:rsidR="00EA61D7">
        <w:rPr>
          <w:rFonts w:ascii="Times New Roman" w:hAnsi="Times New Roman" w:cs="Times New Roman"/>
          <w:sz w:val="24"/>
          <w:szCs w:val="24"/>
        </w:rPr>
        <w:t>53 % au mois de J</w:t>
      </w:r>
      <w:r w:rsidRPr="00585B3C">
        <w:rPr>
          <w:rFonts w:ascii="Times New Roman" w:hAnsi="Times New Roman" w:cs="Times New Roman"/>
          <w:sz w:val="24"/>
          <w:szCs w:val="24"/>
        </w:rPr>
        <w:t xml:space="preserve">uin </w:t>
      </w:r>
      <w:r w:rsidRPr="001820A7">
        <w:rPr>
          <w:rFonts w:ascii="Times New Roman" w:hAnsi="Times New Roman" w:cs="Times New Roman"/>
          <w:sz w:val="24"/>
          <w:szCs w:val="24"/>
        </w:rPr>
        <w:t>(Fig</w:t>
      </w:r>
      <w:r>
        <w:rPr>
          <w:rFonts w:ascii="Times New Roman" w:hAnsi="Times New Roman" w:cs="Times New Roman"/>
          <w:sz w:val="24"/>
          <w:szCs w:val="24"/>
        </w:rPr>
        <w:t>. 13</w:t>
      </w:r>
      <w:r w:rsidRPr="001820A7">
        <w:rPr>
          <w:rFonts w:ascii="Times New Roman" w:hAnsi="Times New Roman" w:cs="Times New Roman"/>
          <w:sz w:val="24"/>
          <w:szCs w:val="24"/>
        </w:rPr>
        <w:t>).</w:t>
      </w:r>
    </w:p>
    <w:p w:rsidR="00B16C26" w:rsidRDefault="00F47DCC" w:rsidP="004B44D4">
      <w:pPr>
        <w:keepNext/>
        <w:spacing w:before="100" w:beforeAutospacing="1" w:after="100" w:afterAutospacing="1" w:line="360" w:lineRule="auto"/>
        <w:jc w:val="center"/>
      </w:pPr>
      <w:r>
        <w:rPr>
          <w:rFonts w:ascii="Times New Roman" w:hAnsi="Times New Roman" w:cs="Times New Roman"/>
          <w:noProof/>
          <w:sz w:val="24"/>
          <w:szCs w:val="24"/>
        </w:rPr>
        <w:drawing>
          <wp:inline distT="0" distB="0" distL="0" distR="0">
            <wp:extent cx="5395207" cy="2167593"/>
            <wp:effectExtent l="19050" t="0" r="14993" b="4107"/>
            <wp:docPr id="2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16C26" w:rsidRPr="00424D58" w:rsidRDefault="00B16C26" w:rsidP="0043162A">
      <w:pPr>
        <w:pStyle w:val="Lgende"/>
        <w:spacing w:before="240" w:line="360" w:lineRule="auto"/>
        <w:jc w:val="center"/>
        <w:rPr>
          <w:rFonts w:asciiTheme="majorBidi" w:hAnsiTheme="majorBidi" w:cstheme="majorBidi"/>
          <w:color w:val="auto"/>
          <w:sz w:val="24"/>
          <w:szCs w:val="24"/>
        </w:rPr>
      </w:pPr>
      <w:bookmarkStart w:id="591" w:name="_Toc252194950"/>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13</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 xml:space="preserve">:Evolution des moyennes mensuelles de l’humidité </w:t>
      </w:r>
      <w:r w:rsidRPr="00FB326F">
        <w:rPr>
          <w:rFonts w:asciiTheme="majorBidi" w:hAnsiTheme="majorBidi" w:cstheme="majorBidi"/>
          <w:color w:val="auto"/>
          <w:sz w:val="24"/>
          <w:szCs w:val="24"/>
        </w:rPr>
        <w:t>relative</w:t>
      </w:r>
      <w:r w:rsidR="0043162A" w:rsidRPr="00FB326F">
        <w:rPr>
          <w:rFonts w:asciiTheme="majorBidi" w:hAnsiTheme="majorBidi" w:cstheme="majorBidi"/>
          <w:color w:val="auto"/>
          <w:sz w:val="24"/>
          <w:szCs w:val="24"/>
        </w:rPr>
        <w:t xml:space="preserve">  (CRSTRA</w:t>
      </w:r>
      <w:r w:rsidR="00DA0D1B" w:rsidRPr="00FB326F">
        <w:rPr>
          <w:rFonts w:asciiTheme="majorBidi" w:hAnsiTheme="majorBidi" w:cstheme="majorBidi"/>
          <w:color w:val="auto"/>
          <w:sz w:val="24"/>
          <w:szCs w:val="24"/>
        </w:rPr>
        <w:t>,</w:t>
      </w:r>
      <w:r w:rsidR="0043162A" w:rsidRPr="00FB326F">
        <w:rPr>
          <w:rFonts w:asciiTheme="majorBidi" w:hAnsiTheme="majorBidi" w:cstheme="majorBidi"/>
          <w:color w:val="auto"/>
          <w:sz w:val="24"/>
          <w:szCs w:val="24"/>
        </w:rPr>
        <w:t xml:space="preserve"> 2009).</w:t>
      </w:r>
      <w:bookmarkEnd w:id="591"/>
    </w:p>
    <w:p w:rsidR="00F47DCC" w:rsidRPr="00EF6BBF" w:rsidRDefault="00EF6BBF" w:rsidP="004B44D4">
      <w:pPr>
        <w:pStyle w:val="Titre1"/>
        <w:numPr>
          <w:ilvl w:val="0"/>
          <w:numId w:val="47"/>
        </w:numPr>
        <w:spacing w:after="240" w:line="360" w:lineRule="auto"/>
        <w:rPr>
          <w:rFonts w:ascii="Times New Roman" w:hAnsi="Times New Roman"/>
          <w:color w:val="auto"/>
        </w:rPr>
      </w:pPr>
      <w:bookmarkStart w:id="592" w:name="_Toc126571824"/>
      <w:bookmarkStart w:id="593" w:name="_Toc126572606"/>
      <w:bookmarkStart w:id="594" w:name="_Toc126575240"/>
      <w:bookmarkStart w:id="595" w:name="_Toc126575917"/>
      <w:bookmarkStart w:id="596" w:name="_Toc126576792"/>
      <w:bookmarkStart w:id="597" w:name="_Toc252094001"/>
      <w:bookmarkStart w:id="598" w:name="_Toc252365391"/>
      <w:bookmarkStart w:id="599" w:name="_Toc252365662"/>
      <w:bookmarkStart w:id="600" w:name="_Toc252366207"/>
      <w:r w:rsidRPr="00EF6BBF">
        <w:rPr>
          <w:rFonts w:ascii="Times New Roman" w:hAnsi="Times New Roman"/>
          <w:color w:val="auto"/>
        </w:rPr>
        <w:t>Matériel végétal</w:t>
      </w:r>
      <w:bookmarkEnd w:id="592"/>
      <w:bookmarkEnd w:id="593"/>
      <w:bookmarkEnd w:id="594"/>
      <w:bookmarkEnd w:id="595"/>
      <w:bookmarkEnd w:id="596"/>
      <w:bookmarkEnd w:id="597"/>
      <w:bookmarkEnd w:id="598"/>
      <w:bookmarkEnd w:id="599"/>
      <w:bookmarkEnd w:id="600"/>
    </w:p>
    <w:p w:rsidR="00F47DCC" w:rsidRPr="00585B3C" w:rsidRDefault="00F47DCC" w:rsidP="004B44D4">
      <w:pPr>
        <w:spacing w:before="240" w:line="360" w:lineRule="auto"/>
        <w:ind w:firstLine="284"/>
        <w:jc w:val="both"/>
        <w:rPr>
          <w:rFonts w:ascii="Times New Roman" w:hAnsi="Times New Roman" w:cs="Times New Roman"/>
          <w:sz w:val="24"/>
          <w:szCs w:val="24"/>
        </w:rPr>
      </w:pPr>
      <w:bookmarkStart w:id="601" w:name="_Toc251855010"/>
      <w:bookmarkStart w:id="602" w:name="_Toc251855420"/>
      <w:bookmarkStart w:id="603" w:name="_Toc126492585"/>
      <w:bookmarkStart w:id="604" w:name="_Toc126493000"/>
      <w:bookmarkStart w:id="605" w:name="_Toc126570512"/>
      <w:bookmarkStart w:id="606" w:name="_Toc126571825"/>
      <w:r w:rsidRPr="00585B3C">
        <w:rPr>
          <w:rFonts w:ascii="Times New Roman" w:hAnsi="Times New Roman" w:cs="Times New Roman"/>
          <w:sz w:val="24"/>
          <w:szCs w:val="24"/>
        </w:rPr>
        <w:t>Le matériel végétal étudié est constitué de</w:t>
      </w:r>
      <w:r>
        <w:rPr>
          <w:rFonts w:ascii="Times New Roman" w:hAnsi="Times New Roman" w:cs="Times New Roman"/>
          <w:sz w:val="24"/>
          <w:szCs w:val="24"/>
        </w:rPr>
        <w:t> :</w:t>
      </w:r>
      <w:bookmarkEnd w:id="601"/>
      <w:bookmarkEnd w:id="602"/>
      <w:bookmarkEnd w:id="603"/>
      <w:bookmarkEnd w:id="604"/>
      <w:bookmarkEnd w:id="605"/>
      <w:bookmarkEnd w:id="606"/>
    </w:p>
    <w:p w:rsidR="00F47DCC" w:rsidRPr="000756AF" w:rsidRDefault="00F47DCC" w:rsidP="004B44D4">
      <w:pPr>
        <w:pStyle w:val="Paragraphedeliste"/>
        <w:numPr>
          <w:ilvl w:val="0"/>
          <w:numId w:val="11"/>
        </w:numPr>
        <w:spacing w:before="240" w:line="360" w:lineRule="auto"/>
        <w:jc w:val="both"/>
        <w:outlineLvl w:val="0"/>
        <w:rPr>
          <w:rFonts w:ascii="Times New Roman" w:eastAsiaTheme="minorEastAsia" w:hAnsi="Times New Roman" w:cs="Times New Roman"/>
          <w:sz w:val="24"/>
          <w:szCs w:val="24"/>
        </w:rPr>
      </w:pPr>
      <w:bookmarkStart w:id="607" w:name="_Toc251855011"/>
      <w:bookmarkStart w:id="608" w:name="_Toc251855421"/>
      <w:bookmarkStart w:id="609" w:name="_Toc126492586"/>
      <w:bookmarkStart w:id="610" w:name="_Toc126493001"/>
      <w:bookmarkStart w:id="611" w:name="_Toc126570513"/>
      <w:bookmarkStart w:id="612" w:name="_Toc126571826"/>
      <w:bookmarkStart w:id="613" w:name="_Toc126572607"/>
      <w:bookmarkStart w:id="614" w:name="_Toc126575241"/>
      <w:bookmarkStart w:id="615" w:name="_Toc126575918"/>
      <w:bookmarkStart w:id="616" w:name="_Toc126576793"/>
      <w:bookmarkStart w:id="617" w:name="_Toc252094002"/>
      <w:bookmarkStart w:id="618" w:name="_Toc252365392"/>
      <w:bookmarkStart w:id="619" w:name="_Toc252365663"/>
      <w:bookmarkStart w:id="620" w:name="_Toc252366208"/>
      <w:r w:rsidRPr="000756AF">
        <w:rPr>
          <w:rFonts w:ascii="Times New Roman" w:eastAsiaTheme="minorEastAsia" w:hAnsi="Times New Roman" w:cs="Times New Roman"/>
          <w:sz w:val="24"/>
          <w:szCs w:val="24"/>
        </w:rPr>
        <w:t>06 populations du Fenugrec : 04 populations provenant de la région des Ziban, une population introduite et une autre provenant de T’kout (wilaya de Batna).</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F47DCC" w:rsidRPr="000756AF" w:rsidRDefault="00F47DCC" w:rsidP="009F12DF">
      <w:pPr>
        <w:pStyle w:val="Paragraphedeliste"/>
        <w:numPr>
          <w:ilvl w:val="0"/>
          <w:numId w:val="11"/>
        </w:numPr>
        <w:spacing w:line="360" w:lineRule="auto"/>
        <w:jc w:val="both"/>
        <w:outlineLvl w:val="0"/>
        <w:rPr>
          <w:rFonts w:ascii="Times New Roman" w:eastAsiaTheme="minorEastAsia" w:hAnsi="Times New Roman" w:cs="Times New Roman"/>
          <w:sz w:val="24"/>
          <w:szCs w:val="24"/>
        </w:rPr>
      </w:pPr>
      <w:bookmarkStart w:id="621" w:name="_Toc251855012"/>
      <w:bookmarkStart w:id="622" w:name="_Toc251855422"/>
      <w:bookmarkStart w:id="623" w:name="_Toc126492587"/>
      <w:bookmarkStart w:id="624" w:name="_Toc126493002"/>
      <w:bookmarkStart w:id="625" w:name="_Toc126570514"/>
      <w:bookmarkStart w:id="626" w:name="_Toc126571827"/>
      <w:bookmarkStart w:id="627" w:name="_Toc126572608"/>
      <w:bookmarkStart w:id="628" w:name="_Toc126575242"/>
      <w:bookmarkStart w:id="629" w:name="_Toc126575919"/>
      <w:bookmarkStart w:id="630" w:name="_Toc126576794"/>
      <w:bookmarkStart w:id="631" w:name="_Toc252094003"/>
      <w:bookmarkStart w:id="632" w:name="_Toc252365393"/>
      <w:bookmarkStart w:id="633" w:name="_Toc252365664"/>
      <w:bookmarkStart w:id="634" w:name="_Toc252366209"/>
      <w:r w:rsidRPr="000756AF">
        <w:rPr>
          <w:rFonts w:ascii="Times New Roman" w:eastAsiaTheme="minorEastAsia" w:hAnsi="Times New Roman" w:cs="Times New Roman"/>
          <w:sz w:val="24"/>
          <w:szCs w:val="24"/>
        </w:rPr>
        <w:t xml:space="preserve">04 populations de la Nigelle : 02 populations provenant de la région des Ziban, </w:t>
      </w:r>
      <w:r w:rsidR="009F12DF">
        <w:rPr>
          <w:rFonts w:ascii="Times New Roman" w:eastAsiaTheme="minorEastAsia" w:hAnsi="Times New Roman" w:cs="Times New Roman"/>
          <w:sz w:val="24"/>
          <w:szCs w:val="24"/>
        </w:rPr>
        <w:t>une</w:t>
      </w:r>
      <w:r w:rsidRPr="000756AF">
        <w:rPr>
          <w:rFonts w:ascii="Times New Roman" w:eastAsiaTheme="minorEastAsia" w:hAnsi="Times New Roman" w:cs="Times New Roman"/>
          <w:sz w:val="24"/>
          <w:szCs w:val="24"/>
        </w:rPr>
        <w:t xml:space="preserve"> population introduite et </w:t>
      </w:r>
      <w:r w:rsidR="009F12DF">
        <w:rPr>
          <w:rFonts w:ascii="Times New Roman" w:eastAsiaTheme="minorEastAsia" w:hAnsi="Times New Roman" w:cs="Times New Roman"/>
          <w:sz w:val="24"/>
          <w:szCs w:val="24"/>
        </w:rPr>
        <w:t>une autre</w:t>
      </w:r>
      <w:r w:rsidRPr="000756AF">
        <w:rPr>
          <w:rFonts w:ascii="Times New Roman" w:eastAsiaTheme="minorEastAsia" w:hAnsi="Times New Roman" w:cs="Times New Roman"/>
          <w:sz w:val="24"/>
          <w:szCs w:val="24"/>
        </w:rPr>
        <w:t xml:space="preserve"> provenant de T’kout (wilaya de Batna).</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sidR="00F47DCC" w:rsidRDefault="00F47DCC" w:rsidP="004B44D4">
      <w:pPr>
        <w:pStyle w:val="Paragraphedeliste"/>
        <w:numPr>
          <w:ilvl w:val="0"/>
          <w:numId w:val="11"/>
        </w:numPr>
        <w:spacing w:line="360" w:lineRule="auto"/>
        <w:jc w:val="both"/>
        <w:outlineLvl w:val="0"/>
        <w:rPr>
          <w:rFonts w:ascii="Times New Roman" w:eastAsiaTheme="minorEastAsia" w:hAnsi="Times New Roman" w:cs="Times New Roman"/>
          <w:sz w:val="24"/>
          <w:szCs w:val="24"/>
        </w:rPr>
      </w:pPr>
      <w:bookmarkStart w:id="635" w:name="_Toc251855013"/>
      <w:bookmarkStart w:id="636" w:name="_Toc251855423"/>
      <w:bookmarkStart w:id="637" w:name="_Toc126492588"/>
      <w:bookmarkStart w:id="638" w:name="_Toc126493003"/>
      <w:bookmarkStart w:id="639" w:name="_Toc126570515"/>
      <w:bookmarkStart w:id="640" w:name="_Toc126571828"/>
      <w:bookmarkStart w:id="641" w:name="_Toc126572609"/>
      <w:bookmarkStart w:id="642" w:name="_Toc126575243"/>
      <w:bookmarkStart w:id="643" w:name="_Toc126575920"/>
      <w:bookmarkStart w:id="644" w:name="_Toc126576795"/>
      <w:bookmarkStart w:id="645" w:name="_Toc252094004"/>
      <w:bookmarkStart w:id="646" w:name="_Toc252365394"/>
      <w:bookmarkStart w:id="647" w:name="_Toc252365665"/>
      <w:bookmarkStart w:id="648" w:name="_Toc252366210"/>
      <w:r w:rsidRPr="000756AF">
        <w:rPr>
          <w:rFonts w:ascii="Times New Roman" w:eastAsiaTheme="minorEastAsia" w:hAnsi="Times New Roman" w:cs="Times New Roman"/>
          <w:sz w:val="24"/>
          <w:szCs w:val="24"/>
        </w:rPr>
        <w:t>04 populations du Carthame provenant de la région des Ziban.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0503A2" w:rsidRDefault="000503A2" w:rsidP="000503A2">
      <w:pPr>
        <w:spacing w:line="360" w:lineRule="auto"/>
        <w:jc w:val="both"/>
        <w:outlineLvl w:val="0"/>
        <w:rPr>
          <w:rFonts w:ascii="Times New Roman" w:hAnsi="Times New Roman" w:cs="Times New Roman"/>
          <w:sz w:val="24"/>
          <w:szCs w:val="24"/>
        </w:rPr>
      </w:pPr>
    </w:p>
    <w:p w:rsidR="000503A2" w:rsidRDefault="000503A2" w:rsidP="000503A2">
      <w:pPr>
        <w:spacing w:line="360" w:lineRule="auto"/>
        <w:jc w:val="both"/>
        <w:outlineLvl w:val="0"/>
        <w:rPr>
          <w:rFonts w:ascii="Times New Roman" w:hAnsi="Times New Roman" w:cs="Times New Roman"/>
          <w:sz w:val="24"/>
          <w:szCs w:val="24"/>
        </w:rPr>
      </w:pPr>
    </w:p>
    <w:p w:rsidR="000503A2" w:rsidRDefault="000503A2" w:rsidP="000503A2">
      <w:pPr>
        <w:spacing w:line="360" w:lineRule="auto"/>
        <w:jc w:val="both"/>
        <w:outlineLvl w:val="0"/>
        <w:rPr>
          <w:rFonts w:ascii="Times New Roman" w:hAnsi="Times New Roman" w:cs="Times New Roman"/>
          <w:sz w:val="24"/>
          <w:szCs w:val="24"/>
        </w:rPr>
      </w:pPr>
    </w:p>
    <w:p w:rsidR="000503A2" w:rsidRDefault="000503A2" w:rsidP="000503A2">
      <w:pPr>
        <w:spacing w:line="360" w:lineRule="auto"/>
        <w:jc w:val="both"/>
        <w:outlineLvl w:val="0"/>
        <w:rPr>
          <w:rFonts w:ascii="Times New Roman" w:hAnsi="Times New Roman" w:cs="Times New Roman"/>
          <w:sz w:val="24"/>
          <w:szCs w:val="24"/>
        </w:rPr>
      </w:pPr>
    </w:p>
    <w:p w:rsidR="000503A2" w:rsidRPr="000503A2" w:rsidRDefault="000503A2" w:rsidP="000503A2">
      <w:pPr>
        <w:spacing w:line="360" w:lineRule="auto"/>
        <w:jc w:val="both"/>
        <w:outlineLvl w:val="0"/>
        <w:rPr>
          <w:rFonts w:ascii="Times New Roman" w:hAnsi="Times New Roman" w:cs="Times New Roman"/>
          <w:sz w:val="24"/>
          <w:szCs w:val="24"/>
        </w:rPr>
      </w:pPr>
    </w:p>
    <w:p w:rsidR="0062362E" w:rsidRDefault="0062362E" w:rsidP="004B44D4">
      <w:pPr>
        <w:pStyle w:val="Paragraphedeliste"/>
        <w:spacing w:line="360" w:lineRule="auto"/>
        <w:ind w:left="1287"/>
        <w:jc w:val="lowKashida"/>
        <w:outlineLvl w:val="0"/>
        <w:rPr>
          <w:rFonts w:ascii="Times New Roman" w:hAnsi="Times New Roman" w:cs="Times New Roman"/>
          <w:sz w:val="24"/>
          <w:szCs w:val="24"/>
        </w:rPr>
      </w:pPr>
    </w:p>
    <w:p w:rsidR="00F47DCC" w:rsidRPr="00AC3F44" w:rsidRDefault="00F47DCC" w:rsidP="004B44D4">
      <w:pPr>
        <w:pStyle w:val="Paragraphedeliste"/>
        <w:numPr>
          <w:ilvl w:val="0"/>
          <w:numId w:val="14"/>
        </w:numPr>
        <w:spacing w:before="240" w:line="360" w:lineRule="auto"/>
        <w:jc w:val="both"/>
        <w:rPr>
          <w:rFonts w:ascii="Times New Roman" w:hAnsi="Times New Roman" w:cs="Times New Roman"/>
          <w:b/>
          <w:bCs/>
          <w:sz w:val="24"/>
          <w:szCs w:val="24"/>
        </w:rPr>
      </w:pPr>
      <w:bookmarkStart w:id="649" w:name="_Toc251855014"/>
      <w:bookmarkStart w:id="650" w:name="_Toc251855424"/>
      <w:bookmarkStart w:id="651" w:name="_Toc126492589"/>
      <w:bookmarkStart w:id="652" w:name="_Toc126493004"/>
      <w:bookmarkStart w:id="653" w:name="_Toc126570516"/>
      <w:bookmarkStart w:id="654" w:name="_Toc251855015"/>
      <w:bookmarkStart w:id="655" w:name="_Toc251855425"/>
      <w:bookmarkStart w:id="656" w:name="_Toc126492590"/>
      <w:bookmarkStart w:id="657" w:name="_Toc126493005"/>
      <w:bookmarkStart w:id="658" w:name="_Toc126570517"/>
      <w:bookmarkEnd w:id="649"/>
      <w:bookmarkEnd w:id="650"/>
      <w:bookmarkEnd w:id="651"/>
      <w:bookmarkEnd w:id="652"/>
      <w:bookmarkEnd w:id="653"/>
      <w:r w:rsidRPr="00AC3F44">
        <w:rPr>
          <w:rFonts w:ascii="Times New Roman" w:hAnsi="Times New Roman" w:cs="Times New Roman"/>
          <w:b/>
          <w:bCs/>
          <w:sz w:val="24"/>
          <w:szCs w:val="24"/>
        </w:rPr>
        <w:lastRenderedPageBreak/>
        <w:t>Origine des populations étudiées</w:t>
      </w:r>
      <w:bookmarkEnd w:id="654"/>
      <w:bookmarkEnd w:id="655"/>
      <w:bookmarkEnd w:id="656"/>
      <w:bookmarkEnd w:id="657"/>
      <w:bookmarkEnd w:id="658"/>
    </w:p>
    <w:p w:rsidR="00F47DCC" w:rsidRPr="00AC3F44" w:rsidRDefault="0007155C" w:rsidP="004B44D4">
      <w:pPr>
        <w:pStyle w:val="Paragraphedeliste"/>
        <w:numPr>
          <w:ilvl w:val="1"/>
          <w:numId w:val="14"/>
        </w:numPr>
        <w:spacing w:before="240" w:line="360" w:lineRule="auto"/>
        <w:jc w:val="both"/>
        <w:outlineLvl w:val="0"/>
        <w:rPr>
          <w:rFonts w:ascii="Times New Roman" w:hAnsi="Times New Roman" w:cs="Times New Roman"/>
          <w:b/>
          <w:bCs/>
          <w:sz w:val="24"/>
          <w:szCs w:val="24"/>
        </w:rPr>
      </w:pPr>
      <w:bookmarkStart w:id="659" w:name="_Toc251855016"/>
      <w:bookmarkStart w:id="660" w:name="_Toc251855426"/>
      <w:bookmarkStart w:id="661" w:name="_Toc126492591"/>
      <w:bookmarkStart w:id="662" w:name="_Toc126493006"/>
      <w:bookmarkStart w:id="663" w:name="_Toc126570518"/>
      <w:bookmarkStart w:id="664" w:name="_Toc126571829"/>
      <w:bookmarkStart w:id="665" w:name="_Toc126572610"/>
      <w:bookmarkStart w:id="666" w:name="_Toc126575244"/>
      <w:bookmarkStart w:id="667" w:name="_Toc126575921"/>
      <w:bookmarkStart w:id="668" w:name="_Toc126576796"/>
      <w:bookmarkStart w:id="669" w:name="_Toc252094005"/>
      <w:bookmarkStart w:id="670" w:name="_Toc252365395"/>
      <w:bookmarkStart w:id="671" w:name="_Toc252365666"/>
      <w:bookmarkStart w:id="672" w:name="_Toc252366211"/>
      <w:r>
        <w:rPr>
          <w:rFonts w:ascii="Times New Roman" w:hAnsi="Times New Roman" w:cs="Times New Roman"/>
          <w:b/>
          <w:bCs/>
          <w:sz w:val="24"/>
          <w:szCs w:val="24"/>
        </w:rPr>
        <w:t>Le F</w:t>
      </w:r>
      <w:r w:rsidR="00F47DCC" w:rsidRPr="00AC3F44">
        <w:rPr>
          <w:rFonts w:ascii="Times New Roman" w:hAnsi="Times New Roman" w:cs="Times New Roman"/>
          <w:b/>
          <w:bCs/>
          <w:sz w:val="24"/>
          <w:szCs w:val="24"/>
        </w:rPr>
        <w:t>enugrec</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2423AA" w:rsidRPr="002423AA" w:rsidRDefault="00F47DCC" w:rsidP="002423AA">
      <w:pPr>
        <w:pStyle w:val="Paragraphedeliste"/>
        <w:spacing w:before="240" w:line="360" w:lineRule="auto"/>
        <w:ind w:left="0" w:firstLine="284"/>
        <w:jc w:val="both"/>
        <w:outlineLvl w:val="0"/>
        <w:rPr>
          <w:rFonts w:ascii="Times New Roman" w:eastAsiaTheme="minorEastAsia" w:hAnsi="Times New Roman" w:cs="Times New Roman"/>
          <w:sz w:val="24"/>
          <w:szCs w:val="24"/>
        </w:rPr>
      </w:pPr>
      <w:bookmarkStart w:id="673" w:name="_Toc251855017"/>
      <w:bookmarkStart w:id="674" w:name="_Toc251855427"/>
      <w:bookmarkStart w:id="675" w:name="_Toc126492592"/>
      <w:bookmarkStart w:id="676" w:name="_Toc126493007"/>
      <w:bookmarkStart w:id="677" w:name="_Toc126570519"/>
      <w:bookmarkStart w:id="678" w:name="_Toc126571830"/>
      <w:bookmarkStart w:id="679" w:name="_Toc126572611"/>
      <w:bookmarkStart w:id="680" w:name="_Toc126575245"/>
      <w:bookmarkStart w:id="681" w:name="_Toc126575922"/>
      <w:bookmarkStart w:id="682" w:name="_Toc126576797"/>
      <w:bookmarkStart w:id="683" w:name="_Toc252094006"/>
      <w:bookmarkStart w:id="684" w:name="_Toc252365396"/>
      <w:bookmarkStart w:id="685" w:name="_Toc252365667"/>
      <w:bookmarkStart w:id="686" w:name="_Toc252366212"/>
      <w:r w:rsidRPr="0062362E">
        <w:rPr>
          <w:rFonts w:ascii="Times New Roman" w:eastAsiaTheme="minorEastAsia" w:hAnsi="Times New Roman" w:cs="Times New Roman"/>
          <w:sz w:val="24"/>
          <w:szCs w:val="24"/>
        </w:rPr>
        <w:t>Le tableau suivant (Tab. 2) précise les provenances des différentes populations étudiées.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rsidR="00051823" w:rsidRPr="001C2F50" w:rsidRDefault="00B16C26" w:rsidP="00BE587B">
      <w:pPr>
        <w:pStyle w:val="Lgende"/>
        <w:keepNext/>
        <w:spacing w:before="240" w:line="360" w:lineRule="auto"/>
        <w:jc w:val="center"/>
        <w:rPr>
          <w:rFonts w:asciiTheme="majorBidi" w:hAnsiTheme="majorBidi" w:cstheme="majorBidi"/>
          <w:noProof/>
          <w:color w:val="auto"/>
          <w:sz w:val="24"/>
          <w:szCs w:val="24"/>
        </w:rPr>
      </w:pPr>
      <w:bookmarkStart w:id="687" w:name="_Toc252195092"/>
      <w:r w:rsidRPr="00905E69">
        <w:rPr>
          <w:rFonts w:asciiTheme="majorBidi" w:hAnsiTheme="majorBidi" w:cstheme="majorBidi"/>
          <w:noProof/>
          <w:color w:val="auto"/>
          <w:sz w:val="24"/>
          <w:szCs w:val="24"/>
        </w:rPr>
        <w:t>Tabl</w:t>
      </w:r>
      <w:r w:rsidR="00051823" w:rsidRPr="00905E69">
        <w:rPr>
          <w:rFonts w:asciiTheme="majorBidi" w:hAnsiTheme="majorBidi" w:cstheme="majorBidi"/>
          <w:noProof/>
          <w:color w:val="auto"/>
          <w:sz w:val="24"/>
          <w:szCs w:val="24"/>
        </w:rPr>
        <w:t xml:space="preserve"> </w:t>
      </w:r>
      <w:r w:rsidR="00BE587B" w:rsidRPr="00905E69">
        <w:rPr>
          <w:rFonts w:asciiTheme="majorBidi" w:hAnsiTheme="majorBidi" w:cstheme="majorBidi"/>
          <w:noProof/>
          <w:color w:val="auto"/>
          <w:sz w:val="24"/>
          <w:szCs w:val="24"/>
        </w:rPr>
        <w:t>2</w:t>
      </w:r>
      <w:r w:rsidR="00051823" w:rsidRPr="00905E69">
        <w:rPr>
          <w:rFonts w:asciiTheme="majorBidi" w:hAnsiTheme="majorBidi" w:cstheme="majorBidi"/>
          <w:noProof/>
          <w:color w:val="auto"/>
          <w:sz w:val="24"/>
          <w:szCs w:val="24"/>
        </w:rPr>
        <w:t xml:space="preserve"> : Provenances des différentes populations de </w:t>
      </w:r>
      <w:r w:rsidR="00051823" w:rsidRPr="00905E69">
        <w:rPr>
          <w:rFonts w:asciiTheme="majorBidi" w:hAnsiTheme="majorBidi" w:cstheme="majorBidi"/>
          <w:i/>
          <w:iCs/>
          <w:noProof/>
          <w:color w:val="auto"/>
          <w:sz w:val="24"/>
          <w:szCs w:val="24"/>
        </w:rPr>
        <w:t>Trigonella foenum graecum</w:t>
      </w:r>
      <w:r w:rsidR="00051823" w:rsidRPr="00905E69">
        <w:rPr>
          <w:rFonts w:asciiTheme="majorBidi" w:hAnsiTheme="majorBidi" w:cstheme="majorBidi"/>
          <w:noProof/>
          <w:color w:val="auto"/>
          <w:sz w:val="24"/>
          <w:szCs w:val="24"/>
        </w:rPr>
        <w:t xml:space="preserve"> L.</w:t>
      </w:r>
      <w:bookmarkEnd w:id="68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81"/>
        <w:gridCol w:w="2598"/>
        <w:gridCol w:w="1748"/>
        <w:gridCol w:w="1373"/>
        <w:gridCol w:w="1634"/>
        <w:gridCol w:w="1105"/>
      </w:tblGrid>
      <w:tr w:rsidR="00F47DCC" w:rsidRPr="0062362E" w:rsidTr="0062362E">
        <w:trPr>
          <w:trHeight w:val="20"/>
        </w:trPr>
        <w:tc>
          <w:tcPr>
            <w:tcW w:w="829" w:type="pct"/>
            <w:vAlign w:val="center"/>
          </w:tcPr>
          <w:p w:rsidR="00F47DCC" w:rsidRPr="0062362E" w:rsidRDefault="00F47DCC" w:rsidP="0062362E">
            <w:pPr>
              <w:spacing w:after="0" w:line="240" w:lineRule="auto"/>
              <w:jc w:val="center"/>
              <w:rPr>
                <w:rFonts w:ascii="Times New Roman" w:hAnsi="Times New Roman" w:cs="Times New Roman"/>
                <w:b/>
                <w:bCs/>
                <w:sz w:val="20"/>
                <w:szCs w:val="20"/>
              </w:rPr>
            </w:pPr>
            <w:r w:rsidRPr="0062362E">
              <w:rPr>
                <w:rFonts w:ascii="Times New Roman" w:hAnsi="Times New Roman" w:cs="Times New Roman"/>
                <w:b/>
                <w:bCs/>
                <w:sz w:val="20"/>
                <w:szCs w:val="20"/>
              </w:rPr>
              <w:t>Provenance</w:t>
            </w:r>
          </w:p>
        </w:tc>
        <w:tc>
          <w:tcPr>
            <w:tcW w:w="1281" w:type="pct"/>
            <w:vAlign w:val="center"/>
          </w:tcPr>
          <w:p w:rsidR="00F47DCC" w:rsidRPr="0062362E" w:rsidRDefault="00F47DCC" w:rsidP="0062362E">
            <w:pPr>
              <w:spacing w:after="0" w:line="240" w:lineRule="auto"/>
              <w:jc w:val="center"/>
              <w:rPr>
                <w:rFonts w:ascii="Times New Roman" w:hAnsi="Times New Roman" w:cs="Times New Roman"/>
                <w:b/>
                <w:bCs/>
                <w:sz w:val="20"/>
                <w:szCs w:val="20"/>
              </w:rPr>
            </w:pPr>
            <w:r w:rsidRPr="0062362E">
              <w:rPr>
                <w:rFonts w:ascii="Times New Roman" w:hAnsi="Times New Roman" w:cs="Times New Roman"/>
                <w:b/>
                <w:bCs/>
                <w:sz w:val="20"/>
                <w:szCs w:val="20"/>
              </w:rPr>
              <w:t>Cordonnés géographiques</w:t>
            </w:r>
          </w:p>
        </w:tc>
        <w:tc>
          <w:tcPr>
            <w:tcW w:w="862" w:type="pct"/>
            <w:vAlign w:val="center"/>
          </w:tcPr>
          <w:p w:rsidR="00F47DCC" w:rsidRPr="0062362E" w:rsidRDefault="00F47DCC" w:rsidP="0062362E">
            <w:pPr>
              <w:spacing w:after="0" w:line="240" w:lineRule="auto"/>
              <w:jc w:val="center"/>
              <w:rPr>
                <w:rFonts w:ascii="Times New Roman" w:hAnsi="Times New Roman" w:cs="Times New Roman"/>
                <w:b/>
                <w:bCs/>
                <w:sz w:val="20"/>
                <w:szCs w:val="20"/>
              </w:rPr>
            </w:pPr>
            <w:r w:rsidRPr="0062362E">
              <w:rPr>
                <w:rFonts w:ascii="Times New Roman" w:hAnsi="Times New Roman" w:cs="Times New Roman"/>
                <w:b/>
                <w:bCs/>
                <w:sz w:val="20"/>
                <w:szCs w:val="20"/>
              </w:rPr>
              <w:t>Date de récolte</w:t>
            </w:r>
          </w:p>
        </w:tc>
        <w:tc>
          <w:tcPr>
            <w:tcW w:w="677" w:type="pct"/>
            <w:vAlign w:val="center"/>
          </w:tcPr>
          <w:p w:rsidR="00F47DCC" w:rsidRPr="0062362E" w:rsidRDefault="00F47DCC" w:rsidP="0062362E">
            <w:pPr>
              <w:spacing w:after="0" w:line="240" w:lineRule="auto"/>
              <w:jc w:val="center"/>
              <w:rPr>
                <w:rFonts w:ascii="Times New Roman" w:hAnsi="Times New Roman" w:cs="Times New Roman"/>
                <w:b/>
                <w:bCs/>
                <w:sz w:val="20"/>
                <w:szCs w:val="20"/>
              </w:rPr>
            </w:pPr>
            <w:r w:rsidRPr="0062362E">
              <w:rPr>
                <w:rFonts w:ascii="Times New Roman" w:hAnsi="Times New Roman" w:cs="Times New Roman"/>
                <w:b/>
                <w:bCs/>
                <w:sz w:val="20"/>
                <w:szCs w:val="20"/>
              </w:rPr>
              <w:t>Date de collecte</w:t>
            </w:r>
          </w:p>
        </w:tc>
        <w:tc>
          <w:tcPr>
            <w:tcW w:w="806" w:type="pct"/>
            <w:vAlign w:val="center"/>
          </w:tcPr>
          <w:p w:rsidR="00F47DCC" w:rsidRPr="0062362E" w:rsidRDefault="00F47DCC" w:rsidP="0062362E">
            <w:pPr>
              <w:spacing w:after="0" w:line="240" w:lineRule="auto"/>
              <w:jc w:val="center"/>
              <w:rPr>
                <w:rFonts w:ascii="Times New Roman" w:hAnsi="Times New Roman" w:cs="Times New Roman"/>
                <w:b/>
                <w:bCs/>
                <w:sz w:val="20"/>
                <w:szCs w:val="20"/>
              </w:rPr>
            </w:pPr>
            <w:r w:rsidRPr="0062362E">
              <w:rPr>
                <w:rFonts w:ascii="Times New Roman" w:hAnsi="Times New Roman" w:cs="Times New Roman"/>
                <w:b/>
                <w:bCs/>
                <w:sz w:val="20"/>
                <w:szCs w:val="20"/>
              </w:rPr>
              <w:t>Durée de régénération</w:t>
            </w:r>
          </w:p>
        </w:tc>
        <w:tc>
          <w:tcPr>
            <w:tcW w:w="545" w:type="pct"/>
            <w:vAlign w:val="center"/>
          </w:tcPr>
          <w:p w:rsidR="00F47DCC" w:rsidRPr="0062362E" w:rsidRDefault="00F47DCC" w:rsidP="0062362E">
            <w:pPr>
              <w:spacing w:after="0" w:line="240" w:lineRule="auto"/>
              <w:jc w:val="center"/>
              <w:rPr>
                <w:rFonts w:ascii="Times New Roman" w:hAnsi="Times New Roman" w:cs="Times New Roman"/>
                <w:b/>
                <w:bCs/>
                <w:sz w:val="20"/>
                <w:szCs w:val="20"/>
              </w:rPr>
            </w:pPr>
            <w:r w:rsidRPr="0062362E">
              <w:rPr>
                <w:rFonts w:ascii="Times New Roman" w:hAnsi="Times New Roman" w:cs="Times New Roman"/>
                <w:b/>
                <w:bCs/>
                <w:sz w:val="20"/>
                <w:szCs w:val="20"/>
              </w:rPr>
              <w:t>Symbole</w:t>
            </w:r>
          </w:p>
        </w:tc>
      </w:tr>
      <w:tr w:rsidR="00F47DCC" w:rsidRPr="0062362E" w:rsidTr="0062362E">
        <w:trPr>
          <w:trHeight w:val="20"/>
        </w:trPr>
        <w:tc>
          <w:tcPr>
            <w:tcW w:w="829"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Introduite (Chine)</w:t>
            </w:r>
          </w:p>
        </w:tc>
        <w:tc>
          <w:tcPr>
            <w:tcW w:w="1281" w:type="pct"/>
            <w:vAlign w:val="center"/>
          </w:tcPr>
          <w:p w:rsidR="00F47DCC" w:rsidRPr="0062362E" w:rsidRDefault="00F47DCC" w:rsidP="0062362E">
            <w:pPr>
              <w:spacing w:after="0" w:line="240" w:lineRule="auto"/>
              <w:jc w:val="center"/>
              <w:rPr>
                <w:rFonts w:ascii="Times New Roman" w:hAnsi="Times New Roman" w:cs="Times New Roman"/>
                <w:sz w:val="20"/>
                <w:szCs w:val="20"/>
              </w:rPr>
            </w:pPr>
          </w:p>
        </w:tc>
        <w:tc>
          <w:tcPr>
            <w:tcW w:w="862" w:type="pct"/>
            <w:vAlign w:val="center"/>
          </w:tcPr>
          <w:p w:rsidR="00F47DCC" w:rsidRPr="0062362E" w:rsidRDefault="00F47DCC" w:rsidP="0062362E">
            <w:pPr>
              <w:spacing w:after="0" w:line="240" w:lineRule="auto"/>
              <w:jc w:val="center"/>
              <w:rPr>
                <w:rFonts w:ascii="Times New Roman" w:hAnsi="Times New Roman" w:cs="Times New Roman"/>
                <w:sz w:val="20"/>
                <w:szCs w:val="20"/>
              </w:rPr>
            </w:pPr>
          </w:p>
        </w:tc>
        <w:tc>
          <w:tcPr>
            <w:tcW w:w="677" w:type="pct"/>
            <w:vAlign w:val="center"/>
          </w:tcPr>
          <w:p w:rsidR="00F47DCC" w:rsidRPr="0062362E" w:rsidRDefault="00F47DCC" w:rsidP="0062362E">
            <w:pPr>
              <w:spacing w:after="0" w:line="240" w:lineRule="auto"/>
              <w:jc w:val="center"/>
              <w:rPr>
                <w:rFonts w:ascii="Times New Roman" w:hAnsi="Times New Roman" w:cs="Times New Roman"/>
                <w:sz w:val="20"/>
                <w:szCs w:val="20"/>
              </w:rPr>
            </w:pPr>
          </w:p>
        </w:tc>
        <w:tc>
          <w:tcPr>
            <w:tcW w:w="806" w:type="pct"/>
            <w:vAlign w:val="center"/>
          </w:tcPr>
          <w:p w:rsidR="00F47DCC" w:rsidRPr="0062362E" w:rsidRDefault="00F47DCC" w:rsidP="0062362E">
            <w:pPr>
              <w:spacing w:after="0" w:line="240" w:lineRule="auto"/>
              <w:jc w:val="center"/>
              <w:rPr>
                <w:rFonts w:ascii="Times New Roman" w:hAnsi="Times New Roman" w:cs="Times New Roman"/>
                <w:sz w:val="20"/>
                <w:szCs w:val="20"/>
              </w:rPr>
            </w:pPr>
          </w:p>
        </w:tc>
        <w:tc>
          <w:tcPr>
            <w:tcW w:w="545" w:type="pct"/>
            <w:vAlign w:val="center"/>
          </w:tcPr>
          <w:p w:rsidR="00F47DCC" w:rsidRPr="0062362E" w:rsidRDefault="00F47DCC" w:rsidP="0062362E">
            <w:pPr>
              <w:spacing w:after="0" w:line="240" w:lineRule="auto"/>
              <w:jc w:val="center"/>
              <w:outlineLvl w:val="0"/>
              <w:rPr>
                <w:rFonts w:ascii="Times New Roman" w:hAnsi="Times New Roman" w:cs="Times New Roman"/>
                <w:sz w:val="20"/>
                <w:szCs w:val="20"/>
              </w:rPr>
            </w:pPr>
            <w:bookmarkStart w:id="688" w:name="_Toc251855019"/>
            <w:bookmarkStart w:id="689" w:name="_Toc251855429"/>
            <w:bookmarkStart w:id="690" w:name="_Toc126492593"/>
            <w:bookmarkStart w:id="691" w:name="_Toc126493008"/>
            <w:bookmarkStart w:id="692" w:name="_Toc126570520"/>
            <w:bookmarkStart w:id="693" w:name="_Toc126571831"/>
            <w:bookmarkStart w:id="694" w:name="_Toc126572612"/>
            <w:bookmarkStart w:id="695" w:name="_Toc126575246"/>
            <w:bookmarkStart w:id="696" w:name="_Toc126575923"/>
            <w:bookmarkStart w:id="697" w:name="_Toc126576798"/>
            <w:bookmarkStart w:id="698" w:name="_Toc252094007"/>
            <w:bookmarkStart w:id="699" w:name="_Toc252365397"/>
            <w:bookmarkStart w:id="700" w:name="_Toc252365668"/>
            <w:bookmarkStart w:id="701" w:name="_Toc252366213"/>
            <w:r w:rsidRPr="0062362E">
              <w:rPr>
                <w:rFonts w:ascii="Times New Roman" w:hAnsi="Times New Roman" w:cs="Times New Roman"/>
                <w:sz w:val="20"/>
                <w:szCs w:val="20"/>
              </w:rPr>
              <w:t>P1</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tc>
      </w:tr>
      <w:tr w:rsidR="00F47DCC" w:rsidRPr="0062362E" w:rsidTr="0062362E">
        <w:trPr>
          <w:trHeight w:val="20"/>
        </w:trPr>
        <w:tc>
          <w:tcPr>
            <w:tcW w:w="829"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T'kout</w:t>
            </w:r>
          </w:p>
        </w:tc>
        <w:tc>
          <w:tcPr>
            <w:tcW w:w="1281"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Altitude: 993m</w:t>
            </w:r>
          </w:p>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Nord: 35°08' 17''</w:t>
            </w:r>
          </w:p>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Est: 006°18'30.0''</w:t>
            </w:r>
          </w:p>
        </w:tc>
        <w:tc>
          <w:tcPr>
            <w:tcW w:w="862"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Juillet 2008</w:t>
            </w:r>
          </w:p>
        </w:tc>
        <w:tc>
          <w:tcPr>
            <w:tcW w:w="677"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01/11/2008</w:t>
            </w:r>
          </w:p>
        </w:tc>
        <w:tc>
          <w:tcPr>
            <w:tcW w:w="806"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Semences originales</w:t>
            </w:r>
          </w:p>
        </w:tc>
        <w:tc>
          <w:tcPr>
            <w:tcW w:w="545" w:type="pct"/>
            <w:vAlign w:val="center"/>
          </w:tcPr>
          <w:p w:rsidR="00F47DCC" w:rsidRPr="0062362E" w:rsidRDefault="00F47DCC" w:rsidP="0062362E">
            <w:pPr>
              <w:spacing w:after="0" w:line="240" w:lineRule="auto"/>
              <w:jc w:val="center"/>
              <w:outlineLvl w:val="0"/>
              <w:rPr>
                <w:rFonts w:ascii="Times New Roman" w:hAnsi="Times New Roman" w:cs="Times New Roman"/>
                <w:sz w:val="20"/>
                <w:szCs w:val="20"/>
              </w:rPr>
            </w:pPr>
            <w:bookmarkStart w:id="702" w:name="_Toc251855020"/>
            <w:bookmarkStart w:id="703" w:name="_Toc251855430"/>
            <w:bookmarkStart w:id="704" w:name="_Toc126492594"/>
            <w:bookmarkStart w:id="705" w:name="_Toc126493009"/>
            <w:bookmarkStart w:id="706" w:name="_Toc126570521"/>
            <w:bookmarkStart w:id="707" w:name="_Toc126571832"/>
            <w:bookmarkStart w:id="708" w:name="_Toc126572613"/>
            <w:bookmarkStart w:id="709" w:name="_Toc126575247"/>
            <w:bookmarkStart w:id="710" w:name="_Toc126575924"/>
            <w:bookmarkStart w:id="711" w:name="_Toc126576799"/>
            <w:bookmarkStart w:id="712" w:name="_Toc252094008"/>
            <w:bookmarkStart w:id="713" w:name="_Toc252365398"/>
            <w:bookmarkStart w:id="714" w:name="_Toc252365669"/>
            <w:bookmarkStart w:id="715" w:name="_Toc252366214"/>
            <w:r w:rsidRPr="0062362E">
              <w:rPr>
                <w:rFonts w:ascii="Times New Roman" w:hAnsi="Times New Roman" w:cs="Times New Roman"/>
                <w:sz w:val="20"/>
                <w:szCs w:val="20"/>
              </w:rPr>
              <w:t>P2</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tc>
      </w:tr>
      <w:tr w:rsidR="00F47DCC" w:rsidRPr="0062362E" w:rsidTr="0062362E">
        <w:trPr>
          <w:trHeight w:val="20"/>
        </w:trPr>
        <w:tc>
          <w:tcPr>
            <w:tcW w:w="829"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Ain Nagâ</w:t>
            </w:r>
          </w:p>
        </w:tc>
        <w:tc>
          <w:tcPr>
            <w:tcW w:w="1281"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Altitude:240m</w:t>
            </w:r>
          </w:p>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Nord: 34°43' 42.7''</w:t>
            </w:r>
          </w:p>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Est: 006°17'38.7''</w:t>
            </w:r>
          </w:p>
        </w:tc>
        <w:tc>
          <w:tcPr>
            <w:tcW w:w="862"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Mai 2008</w:t>
            </w:r>
          </w:p>
        </w:tc>
        <w:tc>
          <w:tcPr>
            <w:tcW w:w="677"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27/10/2008</w:t>
            </w:r>
          </w:p>
        </w:tc>
        <w:tc>
          <w:tcPr>
            <w:tcW w:w="806"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Plus de 20 ans</w:t>
            </w:r>
          </w:p>
        </w:tc>
        <w:tc>
          <w:tcPr>
            <w:tcW w:w="545" w:type="pct"/>
            <w:vAlign w:val="center"/>
          </w:tcPr>
          <w:p w:rsidR="00F47DCC" w:rsidRPr="0062362E" w:rsidRDefault="00F47DCC" w:rsidP="0062362E">
            <w:pPr>
              <w:spacing w:after="0" w:line="240" w:lineRule="auto"/>
              <w:jc w:val="center"/>
              <w:outlineLvl w:val="0"/>
              <w:rPr>
                <w:rFonts w:ascii="Times New Roman" w:hAnsi="Times New Roman" w:cs="Times New Roman"/>
                <w:sz w:val="20"/>
                <w:szCs w:val="20"/>
              </w:rPr>
            </w:pPr>
            <w:bookmarkStart w:id="716" w:name="_Toc251855021"/>
            <w:bookmarkStart w:id="717" w:name="_Toc251855431"/>
            <w:bookmarkStart w:id="718" w:name="_Toc126492595"/>
            <w:bookmarkStart w:id="719" w:name="_Toc126493010"/>
            <w:bookmarkStart w:id="720" w:name="_Toc126570522"/>
            <w:bookmarkStart w:id="721" w:name="_Toc126571833"/>
            <w:bookmarkStart w:id="722" w:name="_Toc126572614"/>
            <w:bookmarkStart w:id="723" w:name="_Toc126575248"/>
            <w:bookmarkStart w:id="724" w:name="_Toc126575925"/>
            <w:bookmarkStart w:id="725" w:name="_Toc126576800"/>
            <w:bookmarkStart w:id="726" w:name="_Toc252094009"/>
            <w:bookmarkStart w:id="727" w:name="_Toc252365399"/>
            <w:bookmarkStart w:id="728" w:name="_Toc252365670"/>
            <w:bookmarkStart w:id="729" w:name="_Toc252366215"/>
            <w:r w:rsidRPr="0062362E">
              <w:rPr>
                <w:rFonts w:ascii="Times New Roman" w:hAnsi="Times New Roman" w:cs="Times New Roman"/>
                <w:sz w:val="20"/>
                <w:szCs w:val="20"/>
              </w:rPr>
              <w:t>P3</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tc>
      </w:tr>
      <w:tr w:rsidR="00F47DCC" w:rsidRPr="0062362E" w:rsidTr="0062362E">
        <w:trPr>
          <w:trHeight w:val="20"/>
        </w:trPr>
        <w:tc>
          <w:tcPr>
            <w:tcW w:w="829"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Ain Nagâ</w:t>
            </w:r>
          </w:p>
        </w:tc>
        <w:tc>
          <w:tcPr>
            <w:tcW w:w="1281" w:type="pct"/>
            <w:vAlign w:val="center"/>
          </w:tcPr>
          <w:p w:rsidR="00F47DCC" w:rsidRPr="0062362E" w:rsidRDefault="00FC0FD6" w:rsidP="0062362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62" w:type="pct"/>
            <w:vAlign w:val="center"/>
          </w:tcPr>
          <w:p w:rsidR="00F47DCC" w:rsidRPr="0062362E" w:rsidRDefault="00F47DCC" w:rsidP="0062362E">
            <w:pPr>
              <w:spacing w:after="0" w:line="240" w:lineRule="auto"/>
              <w:jc w:val="center"/>
              <w:rPr>
                <w:rFonts w:ascii="Times New Roman" w:hAnsi="Times New Roman" w:cs="Times New Roman"/>
                <w:sz w:val="20"/>
                <w:szCs w:val="20"/>
              </w:rPr>
            </w:pPr>
          </w:p>
        </w:tc>
        <w:tc>
          <w:tcPr>
            <w:tcW w:w="677"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05/11/2008</w:t>
            </w:r>
          </w:p>
        </w:tc>
        <w:tc>
          <w:tcPr>
            <w:tcW w:w="806"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Plus de 30 ans</w:t>
            </w:r>
          </w:p>
        </w:tc>
        <w:tc>
          <w:tcPr>
            <w:tcW w:w="545" w:type="pct"/>
            <w:vAlign w:val="center"/>
          </w:tcPr>
          <w:p w:rsidR="00F47DCC" w:rsidRPr="0062362E" w:rsidRDefault="00F47DCC" w:rsidP="0062362E">
            <w:pPr>
              <w:spacing w:after="0" w:line="240" w:lineRule="auto"/>
              <w:jc w:val="center"/>
              <w:outlineLvl w:val="0"/>
              <w:rPr>
                <w:rFonts w:ascii="Times New Roman" w:hAnsi="Times New Roman" w:cs="Times New Roman"/>
                <w:sz w:val="20"/>
                <w:szCs w:val="20"/>
              </w:rPr>
            </w:pPr>
            <w:bookmarkStart w:id="730" w:name="_Toc251855022"/>
            <w:bookmarkStart w:id="731" w:name="_Toc251855432"/>
            <w:bookmarkStart w:id="732" w:name="_Toc126492596"/>
            <w:bookmarkStart w:id="733" w:name="_Toc126493011"/>
            <w:bookmarkStart w:id="734" w:name="_Toc126570523"/>
            <w:bookmarkStart w:id="735" w:name="_Toc126571834"/>
            <w:bookmarkStart w:id="736" w:name="_Toc126572615"/>
            <w:bookmarkStart w:id="737" w:name="_Toc126575249"/>
            <w:bookmarkStart w:id="738" w:name="_Toc126575926"/>
            <w:bookmarkStart w:id="739" w:name="_Toc126576801"/>
            <w:bookmarkStart w:id="740" w:name="_Toc252094010"/>
            <w:bookmarkStart w:id="741" w:name="_Toc252365400"/>
            <w:bookmarkStart w:id="742" w:name="_Toc252365671"/>
            <w:bookmarkStart w:id="743" w:name="_Toc252366216"/>
            <w:r w:rsidRPr="0062362E">
              <w:rPr>
                <w:rFonts w:ascii="Times New Roman" w:hAnsi="Times New Roman" w:cs="Times New Roman"/>
                <w:sz w:val="20"/>
                <w:szCs w:val="20"/>
              </w:rPr>
              <w:t>P4</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tc>
      </w:tr>
      <w:tr w:rsidR="00F47DCC" w:rsidRPr="0062362E" w:rsidTr="0062362E">
        <w:trPr>
          <w:trHeight w:val="20"/>
        </w:trPr>
        <w:tc>
          <w:tcPr>
            <w:tcW w:w="829"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Ouled Djallel</w:t>
            </w:r>
          </w:p>
        </w:tc>
        <w:tc>
          <w:tcPr>
            <w:tcW w:w="1281"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Altitude:192m</w:t>
            </w:r>
          </w:p>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Nord: 34°30' 00.1''</w:t>
            </w:r>
          </w:p>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Est: 005°00'24.9''</w:t>
            </w:r>
          </w:p>
        </w:tc>
        <w:tc>
          <w:tcPr>
            <w:tcW w:w="862"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Mai 2008</w:t>
            </w:r>
          </w:p>
        </w:tc>
        <w:tc>
          <w:tcPr>
            <w:tcW w:w="677"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03/11/2008</w:t>
            </w:r>
          </w:p>
        </w:tc>
        <w:tc>
          <w:tcPr>
            <w:tcW w:w="806"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Plus de 15 ans</w:t>
            </w:r>
          </w:p>
        </w:tc>
        <w:tc>
          <w:tcPr>
            <w:tcW w:w="545" w:type="pct"/>
            <w:vAlign w:val="center"/>
          </w:tcPr>
          <w:p w:rsidR="00F47DCC" w:rsidRPr="0062362E" w:rsidRDefault="00F47DCC" w:rsidP="0062362E">
            <w:pPr>
              <w:spacing w:after="0" w:line="240" w:lineRule="auto"/>
              <w:jc w:val="center"/>
              <w:outlineLvl w:val="0"/>
              <w:rPr>
                <w:rFonts w:ascii="Times New Roman" w:hAnsi="Times New Roman" w:cs="Times New Roman"/>
                <w:sz w:val="20"/>
                <w:szCs w:val="20"/>
              </w:rPr>
            </w:pPr>
            <w:bookmarkStart w:id="744" w:name="_Toc251855023"/>
            <w:bookmarkStart w:id="745" w:name="_Toc251855433"/>
            <w:bookmarkStart w:id="746" w:name="_Toc126492597"/>
            <w:bookmarkStart w:id="747" w:name="_Toc126493012"/>
            <w:bookmarkStart w:id="748" w:name="_Toc126570524"/>
            <w:bookmarkStart w:id="749" w:name="_Toc126571835"/>
            <w:bookmarkStart w:id="750" w:name="_Toc126572616"/>
            <w:bookmarkStart w:id="751" w:name="_Toc126575250"/>
            <w:bookmarkStart w:id="752" w:name="_Toc126575927"/>
            <w:bookmarkStart w:id="753" w:name="_Toc126576802"/>
            <w:bookmarkStart w:id="754" w:name="_Toc252094011"/>
            <w:bookmarkStart w:id="755" w:name="_Toc252365401"/>
            <w:bookmarkStart w:id="756" w:name="_Toc252365672"/>
            <w:bookmarkStart w:id="757" w:name="_Toc252366217"/>
            <w:r w:rsidRPr="0062362E">
              <w:rPr>
                <w:rFonts w:ascii="Times New Roman" w:hAnsi="Times New Roman" w:cs="Times New Roman"/>
                <w:sz w:val="20"/>
                <w:szCs w:val="20"/>
              </w:rPr>
              <w:t>P5</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tc>
      </w:tr>
      <w:tr w:rsidR="00F47DCC" w:rsidRPr="0062362E" w:rsidTr="0062362E">
        <w:trPr>
          <w:trHeight w:val="20"/>
        </w:trPr>
        <w:tc>
          <w:tcPr>
            <w:tcW w:w="829"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M’zérâa</w:t>
            </w:r>
          </w:p>
        </w:tc>
        <w:tc>
          <w:tcPr>
            <w:tcW w:w="1281"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Altitude : 17m</w:t>
            </w:r>
          </w:p>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N : 34°43’2.9’’</w:t>
            </w:r>
          </w:p>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E : 006°17’37.2’’</w:t>
            </w:r>
          </w:p>
        </w:tc>
        <w:tc>
          <w:tcPr>
            <w:tcW w:w="862"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Mai 2008</w:t>
            </w:r>
          </w:p>
        </w:tc>
        <w:tc>
          <w:tcPr>
            <w:tcW w:w="677"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Novembre 2008</w:t>
            </w:r>
          </w:p>
        </w:tc>
        <w:tc>
          <w:tcPr>
            <w:tcW w:w="806" w:type="pct"/>
            <w:vAlign w:val="center"/>
          </w:tcPr>
          <w:p w:rsidR="00F47DCC" w:rsidRPr="0062362E" w:rsidRDefault="00F47DCC" w:rsidP="0062362E">
            <w:pPr>
              <w:spacing w:after="0" w:line="240" w:lineRule="auto"/>
              <w:jc w:val="center"/>
              <w:rPr>
                <w:rFonts w:ascii="Times New Roman" w:hAnsi="Times New Roman" w:cs="Times New Roman"/>
                <w:sz w:val="20"/>
                <w:szCs w:val="20"/>
              </w:rPr>
            </w:pPr>
            <w:r w:rsidRPr="0062362E">
              <w:rPr>
                <w:rFonts w:ascii="Times New Roman" w:hAnsi="Times New Roman" w:cs="Times New Roman"/>
                <w:sz w:val="20"/>
                <w:szCs w:val="20"/>
              </w:rPr>
              <w:t>/</w:t>
            </w:r>
          </w:p>
        </w:tc>
        <w:tc>
          <w:tcPr>
            <w:tcW w:w="545" w:type="pct"/>
            <w:vAlign w:val="center"/>
          </w:tcPr>
          <w:p w:rsidR="00F47DCC" w:rsidRPr="0062362E" w:rsidRDefault="00F47DCC" w:rsidP="0062362E">
            <w:pPr>
              <w:spacing w:after="0" w:line="240" w:lineRule="auto"/>
              <w:jc w:val="center"/>
              <w:outlineLvl w:val="0"/>
              <w:rPr>
                <w:rFonts w:ascii="Times New Roman" w:hAnsi="Times New Roman" w:cs="Times New Roman"/>
                <w:sz w:val="20"/>
                <w:szCs w:val="20"/>
              </w:rPr>
            </w:pPr>
            <w:bookmarkStart w:id="758" w:name="_Toc251855024"/>
            <w:bookmarkStart w:id="759" w:name="_Toc251855434"/>
            <w:bookmarkStart w:id="760" w:name="_Toc126492598"/>
            <w:bookmarkStart w:id="761" w:name="_Toc126493013"/>
            <w:bookmarkStart w:id="762" w:name="_Toc126570525"/>
            <w:bookmarkStart w:id="763" w:name="_Toc126571836"/>
            <w:bookmarkStart w:id="764" w:name="_Toc126572617"/>
            <w:bookmarkStart w:id="765" w:name="_Toc126575251"/>
            <w:bookmarkStart w:id="766" w:name="_Toc126575928"/>
            <w:bookmarkStart w:id="767" w:name="_Toc126576803"/>
            <w:bookmarkStart w:id="768" w:name="_Toc252094012"/>
            <w:bookmarkStart w:id="769" w:name="_Toc252365402"/>
            <w:bookmarkStart w:id="770" w:name="_Toc252365673"/>
            <w:bookmarkStart w:id="771" w:name="_Toc252366218"/>
            <w:r w:rsidRPr="0062362E">
              <w:rPr>
                <w:rFonts w:ascii="Times New Roman" w:hAnsi="Times New Roman" w:cs="Times New Roman"/>
                <w:sz w:val="20"/>
                <w:szCs w:val="20"/>
              </w:rPr>
              <w:t>P6</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tc>
      </w:tr>
    </w:tbl>
    <w:p w:rsidR="00F47DCC" w:rsidRPr="0062362E" w:rsidRDefault="00F47DCC" w:rsidP="00F47DCC">
      <w:pPr>
        <w:spacing w:after="120" w:line="360" w:lineRule="auto"/>
        <w:jc w:val="lowKashida"/>
        <w:rPr>
          <w:rFonts w:ascii="Times New Roman" w:hAnsi="Times New Roman" w:cs="Times New Roman"/>
          <w:sz w:val="20"/>
          <w:szCs w:val="20"/>
        </w:rPr>
      </w:pPr>
    </w:p>
    <w:p w:rsidR="00F47DCC" w:rsidRDefault="00F47DCC" w:rsidP="004B44D4">
      <w:pPr>
        <w:pStyle w:val="Paragraphedeliste"/>
        <w:numPr>
          <w:ilvl w:val="1"/>
          <w:numId w:val="14"/>
        </w:numPr>
        <w:spacing w:before="240" w:line="360" w:lineRule="auto"/>
        <w:outlineLvl w:val="0"/>
        <w:rPr>
          <w:rFonts w:ascii="Times New Roman" w:hAnsi="Times New Roman" w:cs="Times New Roman"/>
          <w:b/>
          <w:bCs/>
          <w:sz w:val="24"/>
          <w:szCs w:val="24"/>
        </w:rPr>
      </w:pPr>
      <w:bookmarkStart w:id="772" w:name="_Toc251855025"/>
      <w:bookmarkStart w:id="773" w:name="_Toc251855435"/>
      <w:bookmarkStart w:id="774" w:name="_Toc126492599"/>
      <w:bookmarkStart w:id="775" w:name="_Toc126493014"/>
      <w:bookmarkStart w:id="776" w:name="_Toc126570526"/>
      <w:bookmarkStart w:id="777" w:name="_Toc126571837"/>
      <w:bookmarkStart w:id="778" w:name="_Toc126572618"/>
      <w:bookmarkStart w:id="779" w:name="_Toc126575252"/>
      <w:bookmarkStart w:id="780" w:name="_Toc126575929"/>
      <w:bookmarkStart w:id="781" w:name="_Toc126576804"/>
      <w:bookmarkStart w:id="782" w:name="_Toc252094013"/>
      <w:bookmarkStart w:id="783" w:name="_Toc252365403"/>
      <w:bookmarkStart w:id="784" w:name="_Toc252365674"/>
      <w:bookmarkStart w:id="785" w:name="_Toc252366219"/>
      <w:r w:rsidRPr="00585B3C">
        <w:rPr>
          <w:rFonts w:ascii="Times New Roman" w:hAnsi="Times New Roman" w:cs="Times New Roman"/>
          <w:b/>
          <w:bCs/>
          <w:sz w:val="24"/>
          <w:szCs w:val="24"/>
        </w:rPr>
        <w:t>Le Carthame</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Pr="00585B3C">
        <w:rPr>
          <w:rFonts w:ascii="Times New Roman" w:hAnsi="Times New Roman" w:cs="Times New Roman"/>
          <w:b/>
          <w:bCs/>
          <w:sz w:val="24"/>
          <w:szCs w:val="24"/>
        </w:rPr>
        <w:t xml:space="preserve"> </w:t>
      </w:r>
    </w:p>
    <w:p w:rsidR="00F47DCC" w:rsidRPr="0062362E" w:rsidRDefault="00F47DCC" w:rsidP="004B44D4">
      <w:pPr>
        <w:pStyle w:val="Paragraphedeliste"/>
        <w:spacing w:before="240" w:line="360" w:lineRule="auto"/>
        <w:ind w:left="0" w:firstLine="284"/>
        <w:outlineLvl w:val="0"/>
        <w:rPr>
          <w:rFonts w:ascii="Times New Roman" w:eastAsiaTheme="minorEastAsia" w:hAnsi="Times New Roman" w:cs="Times New Roman"/>
          <w:sz w:val="24"/>
          <w:szCs w:val="24"/>
        </w:rPr>
      </w:pPr>
      <w:bookmarkStart w:id="786" w:name="_Toc251855026"/>
      <w:bookmarkStart w:id="787" w:name="_Toc251855436"/>
      <w:bookmarkStart w:id="788" w:name="_Toc126492600"/>
      <w:bookmarkStart w:id="789" w:name="_Toc126493015"/>
      <w:bookmarkStart w:id="790" w:name="_Toc126570527"/>
      <w:bookmarkStart w:id="791" w:name="_Toc126571838"/>
      <w:bookmarkStart w:id="792" w:name="_Toc126572619"/>
      <w:bookmarkStart w:id="793" w:name="_Toc126575253"/>
      <w:bookmarkStart w:id="794" w:name="_Toc126575930"/>
      <w:bookmarkStart w:id="795" w:name="_Toc126576805"/>
      <w:bookmarkStart w:id="796" w:name="_Toc252094014"/>
      <w:bookmarkStart w:id="797" w:name="_Toc252365404"/>
      <w:bookmarkStart w:id="798" w:name="_Toc252365675"/>
      <w:bookmarkStart w:id="799" w:name="_Toc252366220"/>
      <w:r w:rsidRPr="0062362E">
        <w:rPr>
          <w:rFonts w:ascii="Times New Roman" w:eastAsiaTheme="minorEastAsia" w:hAnsi="Times New Roman" w:cs="Times New Roman"/>
          <w:sz w:val="24"/>
          <w:szCs w:val="24"/>
        </w:rPr>
        <w:t>Le tableau suivant (Tab. 3) précise les provenances des différentes populations étudiées.</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rsidR="001C2F50" w:rsidRPr="001C2F50" w:rsidRDefault="00B16C26" w:rsidP="00BE587B">
      <w:pPr>
        <w:pStyle w:val="Lgende"/>
        <w:keepNext/>
        <w:spacing w:line="360" w:lineRule="auto"/>
        <w:jc w:val="center"/>
        <w:rPr>
          <w:rFonts w:asciiTheme="majorBidi" w:hAnsiTheme="majorBidi" w:cstheme="majorBidi"/>
          <w:noProof/>
          <w:color w:val="auto"/>
          <w:sz w:val="24"/>
          <w:szCs w:val="24"/>
        </w:rPr>
      </w:pPr>
      <w:bookmarkStart w:id="800" w:name="_Toc252195093"/>
      <w:r w:rsidRPr="00905E69">
        <w:rPr>
          <w:rFonts w:asciiTheme="majorBidi" w:hAnsiTheme="majorBidi" w:cstheme="majorBidi"/>
          <w:noProof/>
          <w:color w:val="auto"/>
          <w:sz w:val="24"/>
          <w:szCs w:val="24"/>
        </w:rPr>
        <w:t>Tab</w:t>
      </w:r>
      <w:r w:rsidR="001C2F50" w:rsidRPr="00905E69">
        <w:rPr>
          <w:rFonts w:asciiTheme="majorBidi" w:hAnsiTheme="majorBidi" w:cstheme="majorBidi"/>
          <w:noProof/>
          <w:color w:val="auto"/>
          <w:sz w:val="24"/>
          <w:szCs w:val="24"/>
        </w:rPr>
        <w:t xml:space="preserve"> </w:t>
      </w:r>
      <w:r w:rsidR="00BE587B" w:rsidRPr="00905E69">
        <w:rPr>
          <w:rFonts w:asciiTheme="majorBidi" w:hAnsiTheme="majorBidi" w:cstheme="majorBidi"/>
          <w:noProof/>
          <w:color w:val="auto"/>
          <w:sz w:val="24"/>
          <w:szCs w:val="24"/>
        </w:rPr>
        <w:t>3</w:t>
      </w:r>
      <w:r w:rsidR="001C2F50" w:rsidRPr="00905E69">
        <w:rPr>
          <w:rFonts w:asciiTheme="majorBidi" w:hAnsiTheme="majorBidi" w:cstheme="majorBidi"/>
          <w:noProof/>
          <w:color w:val="auto"/>
          <w:sz w:val="24"/>
          <w:szCs w:val="24"/>
        </w:rPr>
        <w:t xml:space="preserve"> :Provenances des différentes populations de </w:t>
      </w:r>
      <w:r w:rsidR="001C2F50" w:rsidRPr="00905E69">
        <w:rPr>
          <w:rFonts w:asciiTheme="majorBidi" w:hAnsiTheme="majorBidi" w:cstheme="majorBidi"/>
          <w:i/>
          <w:iCs/>
          <w:noProof/>
          <w:color w:val="auto"/>
          <w:sz w:val="24"/>
          <w:szCs w:val="24"/>
        </w:rPr>
        <w:t>Carthamus tinctorius</w:t>
      </w:r>
      <w:r w:rsidR="001C2F50" w:rsidRPr="00905E69">
        <w:rPr>
          <w:rFonts w:asciiTheme="majorBidi" w:hAnsiTheme="majorBidi" w:cstheme="majorBidi"/>
          <w:noProof/>
          <w:color w:val="auto"/>
          <w:sz w:val="24"/>
          <w:szCs w:val="24"/>
        </w:rPr>
        <w:t xml:space="preserve"> L.</w:t>
      </w:r>
      <w:bookmarkEnd w:id="8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72"/>
        <w:gridCol w:w="2054"/>
        <w:gridCol w:w="1355"/>
        <w:gridCol w:w="1736"/>
        <w:gridCol w:w="2028"/>
        <w:gridCol w:w="1294"/>
      </w:tblGrid>
      <w:tr w:rsidR="00F47DCC" w:rsidRPr="00B45AD6" w:rsidTr="004A2A5D">
        <w:trPr>
          <w:trHeight w:val="170"/>
        </w:trPr>
        <w:tc>
          <w:tcPr>
            <w:tcW w:w="825" w:type="pct"/>
            <w:vAlign w:val="center"/>
          </w:tcPr>
          <w:p w:rsidR="00F47DCC" w:rsidRPr="00B45AD6" w:rsidRDefault="00F47DCC" w:rsidP="004A2A5D">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w:t>
            </w:r>
            <w:r w:rsidRPr="00B45AD6">
              <w:rPr>
                <w:rFonts w:ascii="Times New Roman" w:hAnsi="Times New Roman" w:cs="Times New Roman"/>
                <w:b/>
                <w:bCs/>
                <w:sz w:val="20"/>
                <w:szCs w:val="20"/>
              </w:rPr>
              <w:t>rovenance</w:t>
            </w:r>
          </w:p>
        </w:tc>
        <w:tc>
          <w:tcPr>
            <w:tcW w:w="1013" w:type="pct"/>
            <w:vAlign w:val="center"/>
          </w:tcPr>
          <w:p w:rsidR="00F47DCC" w:rsidRPr="00B45AD6" w:rsidRDefault="00F47DCC" w:rsidP="004A2A5D">
            <w:pPr>
              <w:spacing w:after="0" w:line="240" w:lineRule="auto"/>
              <w:jc w:val="center"/>
              <w:rPr>
                <w:rFonts w:ascii="Times New Roman" w:hAnsi="Times New Roman" w:cs="Times New Roman"/>
                <w:b/>
                <w:bCs/>
                <w:sz w:val="20"/>
                <w:szCs w:val="20"/>
              </w:rPr>
            </w:pPr>
            <w:r w:rsidRPr="00B45AD6">
              <w:rPr>
                <w:rFonts w:ascii="Times New Roman" w:hAnsi="Times New Roman" w:cs="Times New Roman"/>
                <w:b/>
                <w:bCs/>
                <w:sz w:val="20"/>
                <w:szCs w:val="20"/>
              </w:rPr>
              <w:t>Cordonnés</w:t>
            </w:r>
          </w:p>
          <w:p w:rsidR="00F47DCC" w:rsidRPr="00B45AD6" w:rsidRDefault="00F47DCC" w:rsidP="004A2A5D">
            <w:pPr>
              <w:spacing w:after="0" w:line="240" w:lineRule="auto"/>
              <w:jc w:val="center"/>
              <w:rPr>
                <w:rFonts w:ascii="Times New Roman" w:hAnsi="Times New Roman" w:cs="Times New Roman"/>
                <w:b/>
                <w:bCs/>
                <w:sz w:val="20"/>
                <w:szCs w:val="20"/>
              </w:rPr>
            </w:pPr>
            <w:r w:rsidRPr="00B45AD6">
              <w:rPr>
                <w:rFonts w:ascii="Times New Roman" w:hAnsi="Times New Roman" w:cs="Times New Roman"/>
                <w:b/>
                <w:bCs/>
                <w:sz w:val="20"/>
                <w:szCs w:val="20"/>
              </w:rPr>
              <w:t>géographiques</w:t>
            </w:r>
          </w:p>
        </w:tc>
        <w:tc>
          <w:tcPr>
            <w:tcW w:w="668" w:type="pct"/>
            <w:vAlign w:val="center"/>
          </w:tcPr>
          <w:p w:rsidR="00F47DCC" w:rsidRPr="00B45AD6" w:rsidRDefault="00F47DCC" w:rsidP="004A2A5D">
            <w:pPr>
              <w:spacing w:after="0" w:line="240" w:lineRule="auto"/>
              <w:jc w:val="center"/>
              <w:rPr>
                <w:rFonts w:ascii="Times New Roman" w:hAnsi="Times New Roman" w:cs="Times New Roman"/>
                <w:b/>
                <w:bCs/>
                <w:sz w:val="20"/>
                <w:szCs w:val="20"/>
              </w:rPr>
            </w:pPr>
            <w:r w:rsidRPr="00B45AD6">
              <w:rPr>
                <w:rFonts w:ascii="Times New Roman" w:hAnsi="Times New Roman" w:cs="Times New Roman"/>
                <w:b/>
                <w:bCs/>
                <w:sz w:val="20"/>
                <w:szCs w:val="20"/>
              </w:rPr>
              <w:t>Date de récolte</w:t>
            </w:r>
          </w:p>
        </w:tc>
        <w:tc>
          <w:tcPr>
            <w:tcW w:w="856" w:type="pct"/>
            <w:vAlign w:val="center"/>
          </w:tcPr>
          <w:p w:rsidR="00F47DCC" w:rsidRPr="00B45AD6" w:rsidRDefault="00F47DCC" w:rsidP="004A2A5D">
            <w:pPr>
              <w:spacing w:after="0" w:line="240" w:lineRule="auto"/>
              <w:jc w:val="center"/>
              <w:rPr>
                <w:rFonts w:ascii="Times New Roman" w:hAnsi="Times New Roman" w:cs="Times New Roman"/>
                <w:b/>
                <w:bCs/>
                <w:sz w:val="20"/>
                <w:szCs w:val="20"/>
              </w:rPr>
            </w:pPr>
            <w:r w:rsidRPr="00B45AD6">
              <w:rPr>
                <w:rFonts w:ascii="Times New Roman" w:hAnsi="Times New Roman" w:cs="Times New Roman"/>
                <w:b/>
                <w:bCs/>
                <w:sz w:val="20"/>
                <w:szCs w:val="20"/>
              </w:rPr>
              <w:t>Date de collecte</w:t>
            </w:r>
          </w:p>
        </w:tc>
        <w:tc>
          <w:tcPr>
            <w:tcW w:w="1000" w:type="pct"/>
            <w:vAlign w:val="center"/>
          </w:tcPr>
          <w:p w:rsidR="00F47DCC" w:rsidRPr="00B45AD6" w:rsidRDefault="00F47DCC" w:rsidP="004A2A5D">
            <w:pPr>
              <w:spacing w:after="0" w:line="240" w:lineRule="auto"/>
              <w:jc w:val="center"/>
              <w:rPr>
                <w:rFonts w:ascii="Times New Roman" w:hAnsi="Times New Roman" w:cs="Times New Roman"/>
                <w:b/>
                <w:bCs/>
                <w:sz w:val="20"/>
                <w:szCs w:val="20"/>
              </w:rPr>
            </w:pPr>
            <w:r w:rsidRPr="00B45AD6">
              <w:rPr>
                <w:rFonts w:ascii="Times New Roman" w:hAnsi="Times New Roman" w:cs="Times New Roman"/>
                <w:b/>
                <w:bCs/>
                <w:sz w:val="20"/>
                <w:szCs w:val="20"/>
              </w:rPr>
              <w:t>Durée de régénération</w:t>
            </w:r>
          </w:p>
        </w:tc>
        <w:tc>
          <w:tcPr>
            <w:tcW w:w="638" w:type="pct"/>
            <w:vAlign w:val="center"/>
          </w:tcPr>
          <w:p w:rsidR="00F47DCC" w:rsidRPr="00B45AD6" w:rsidRDefault="00F47DCC" w:rsidP="004A2A5D">
            <w:pPr>
              <w:spacing w:after="0" w:line="240" w:lineRule="auto"/>
              <w:jc w:val="center"/>
              <w:outlineLvl w:val="0"/>
              <w:rPr>
                <w:rFonts w:ascii="Times New Roman" w:hAnsi="Times New Roman" w:cs="Times New Roman"/>
                <w:b/>
                <w:bCs/>
                <w:sz w:val="20"/>
                <w:szCs w:val="20"/>
              </w:rPr>
            </w:pPr>
            <w:bookmarkStart w:id="801" w:name="_Toc251855028"/>
            <w:bookmarkStart w:id="802" w:name="_Toc251855438"/>
            <w:bookmarkStart w:id="803" w:name="_Toc126492601"/>
            <w:bookmarkStart w:id="804" w:name="_Toc126493016"/>
            <w:bookmarkStart w:id="805" w:name="_Toc126570528"/>
            <w:bookmarkStart w:id="806" w:name="_Toc126571839"/>
            <w:bookmarkStart w:id="807" w:name="_Toc126572620"/>
            <w:bookmarkStart w:id="808" w:name="_Toc126575254"/>
            <w:bookmarkStart w:id="809" w:name="_Toc126575931"/>
            <w:bookmarkStart w:id="810" w:name="_Toc126576806"/>
            <w:bookmarkStart w:id="811" w:name="_Toc252094015"/>
            <w:bookmarkStart w:id="812" w:name="_Toc252365405"/>
            <w:bookmarkStart w:id="813" w:name="_Toc252365676"/>
            <w:bookmarkStart w:id="814" w:name="_Toc252366221"/>
            <w:r w:rsidRPr="00B45AD6">
              <w:rPr>
                <w:rFonts w:ascii="Times New Roman" w:hAnsi="Times New Roman" w:cs="Times New Roman"/>
                <w:b/>
                <w:bCs/>
                <w:sz w:val="20"/>
                <w:szCs w:val="20"/>
              </w:rPr>
              <w:t>Symbole</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tc>
      </w:tr>
      <w:tr w:rsidR="00F47DCC" w:rsidRPr="00B45AD6" w:rsidTr="004A2A5D">
        <w:trPr>
          <w:trHeight w:val="170"/>
        </w:trPr>
        <w:tc>
          <w:tcPr>
            <w:tcW w:w="825" w:type="pct"/>
            <w:vAlign w:val="center"/>
          </w:tcPr>
          <w:p w:rsidR="00F47DCC" w:rsidRPr="00B45AD6" w:rsidRDefault="00F47DCC" w:rsidP="004A2A5D">
            <w:pPr>
              <w:tabs>
                <w:tab w:val="left" w:pos="1095"/>
              </w:tabs>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Ain Nagâ</w:t>
            </w:r>
          </w:p>
        </w:tc>
        <w:tc>
          <w:tcPr>
            <w:tcW w:w="1013"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Altitude:240m</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Nord: 34°43' 42.7''</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Est: 006°17'38.7''</w:t>
            </w:r>
          </w:p>
        </w:tc>
        <w:tc>
          <w:tcPr>
            <w:tcW w:w="668" w:type="pct"/>
            <w:vAlign w:val="center"/>
          </w:tcPr>
          <w:p w:rsidR="00F47DCC" w:rsidRPr="00B45AD6" w:rsidRDefault="00F47DCC" w:rsidP="004A2A5D">
            <w:pPr>
              <w:spacing w:after="0" w:line="240" w:lineRule="auto"/>
              <w:rPr>
                <w:rFonts w:ascii="Times New Roman" w:hAnsi="Times New Roman" w:cs="Times New Roman"/>
                <w:sz w:val="20"/>
                <w:szCs w:val="20"/>
              </w:rPr>
            </w:pPr>
            <w:r w:rsidRPr="00B45AD6">
              <w:rPr>
                <w:rFonts w:ascii="Times New Roman" w:hAnsi="Times New Roman" w:cs="Times New Roman"/>
                <w:sz w:val="20"/>
                <w:szCs w:val="20"/>
              </w:rPr>
              <w:t>Juin 2008</w:t>
            </w:r>
          </w:p>
        </w:tc>
        <w:tc>
          <w:tcPr>
            <w:tcW w:w="856"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27/10/2008</w:t>
            </w:r>
          </w:p>
        </w:tc>
        <w:tc>
          <w:tcPr>
            <w:tcW w:w="1000"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Plus de 20 ans</w:t>
            </w:r>
          </w:p>
        </w:tc>
        <w:tc>
          <w:tcPr>
            <w:tcW w:w="638" w:type="pct"/>
            <w:vAlign w:val="center"/>
          </w:tcPr>
          <w:p w:rsidR="00F47DCC" w:rsidRPr="00B45AD6" w:rsidRDefault="00F47DCC" w:rsidP="004A2A5D">
            <w:pPr>
              <w:spacing w:after="0" w:line="240" w:lineRule="auto"/>
              <w:jc w:val="center"/>
              <w:outlineLvl w:val="0"/>
              <w:rPr>
                <w:rFonts w:ascii="Times New Roman" w:hAnsi="Times New Roman" w:cs="Times New Roman"/>
                <w:sz w:val="20"/>
                <w:szCs w:val="20"/>
              </w:rPr>
            </w:pPr>
            <w:bookmarkStart w:id="815" w:name="_Toc251855029"/>
            <w:bookmarkStart w:id="816" w:name="_Toc251855439"/>
            <w:bookmarkStart w:id="817" w:name="_Toc126492602"/>
            <w:bookmarkStart w:id="818" w:name="_Toc126493017"/>
            <w:bookmarkStart w:id="819" w:name="_Toc126570529"/>
            <w:bookmarkStart w:id="820" w:name="_Toc126571840"/>
            <w:bookmarkStart w:id="821" w:name="_Toc126572621"/>
            <w:bookmarkStart w:id="822" w:name="_Toc126575255"/>
            <w:bookmarkStart w:id="823" w:name="_Toc126575932"/>
            <w:bookmarkStart w:id="824" w:name="_Toc126576807"/>
            <w:bookmarkStart w:id="825" w:name="_Toc252094016"/>
            <w:bookmarkStart w:id="826" w:name="_Toc252365406"/>
            <w:bookmarkStart w:id="827" w:name="_Toc252365677"/>
            <w:bookmarkStart w:id="828" w:name="_Toc252366222"/>
            <w:r w:rsidRPr="00B45AD6">
              <w:rPr>
                <w:rFonts w:ascii="Times New Roman" w:hAnsi="Times New Roman" w:cs="Times New Roman"/>
                <w:sz w:val="20"/>
                <w:szCs w:val="20"/>
              </w:rPr>
              <w:t>P'1</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tc>
      </w:tr>
      <w:tr w:rsidR="00F47DCC" w:rsidRPr="00B45AD6" w:rsidTr="004A2A5D">
        <w:trPr>
          <w:trHeight w:val="170"/>
        </w:trPr>
        <w:tc>
          <w:tcPr>
            <w:tcW w:w="825" w:type="pct"/>
            <w:vAlign w:val="center"/>
          </w:tcPr>
          <w:p w:rsidR="00F47DCC" w:rsidRPr="00B45AD6" w:rsidRDefault="00F47DCC" w:rsidP="004A2A5D">
            <w:pPr>
              <w:spacing w:after="0" w:line="240" w:lineRule="auto"/>
              <w:jc w:val="center"/>
              <w:rPr>
                <w:rFonts w:ascii="Times New Roman" w:hAnsi="Times New Roman" w:cs="Times New Roman"/>
                <w:sz w:val="20"/>
                <w:szCs w:val="20"/>
              </w:rPr>
            </w:pP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Ain Nagâ</w:t>
            </w:r>
          </w:p>
        </w:tc>
        <w:tc>
          <w:tcPr>
            <w:tcW w:w="1013" w:type="pct"/>
            <w:vAlign w:val="center"/>
          </w:tcPr>
          <w:p w:rsidR="00F47DCC" w:rsidRPr="00B45AD6" w:rsidRDefault="00072165" w:rsidP="004A2A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68"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Juin 2008</w:t>
            </w:r>
          </w:p>
        </w:tc>
        <w:tc>
          <w:tcPr>
            <w:tcW w:w="856" w:type="pct"/>
            <w:vAlign w:val="center"/>
          </w:tcPr>
          <w:p w:rsidR="00F47DCC" w:rsidRPr="00B45AD6" w:rsidRDefault="00F47DCC" w:rsidP="004A2A5D">
            <w:pPr>
              <w:spacing w:after="0" w:line="240" w:lineRule="auto"/>
              <w:jc w:val="center"/>
              <w:rPr>
                <w:rFonts w:ascii="Times New Roman" w:hAnsi="Times New Roman" w:cs="Times New Roman"/>
                <w:sz w:val="20"/>
                <w:szCs w:val="20"/>
              </w:rPr>
            </w:pP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05/10/2008</w:t>
            </w:r>
          </w:p>
        </w:tc>
        <w:tc>
          <w:tcPr>
            <w:tcW w:w="1000" w:type="pct"/>
            <w:vAlign w:val="center"/>
          </w:tcPr>
          <w:p w:rsidR="00F47DCC" w:rsidRPr="00B45AD6" w:rsidRDefault="00F47DCC" w:rsidP="004A2A5D">
            <w:pPr>
              <w:spacing w:after="0" w:line="240" w:lineRule="auto"/>
              <w:jc w:val="center"/>
              <w:rPr>
                <w:rFonts w:ascii="Times New Roman" w:hAnsi="Times New Roman" w:cs="Times New Roman"/>
                <w:sz w:val="20"/>
                <w:szCs w:val="20"/>
              </w:rPr>
            </w:pP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Plus de 20 ans</w:t>
            </w:r>
          </w:p>
        </w:tc>
        <w:tc>
          <w:tcPr>
            <w:tcW w:w="638" w:type="pct"/>
            <w:vAlign w:val="center"/>
          </w:tcPr>
          <w:p w:rsidR="00F47DCC" w:rsidRPr="00B45AD6" w:rsidRDefault="00F47DCC" w:rsidP="004A2A5D">
            <w:pPr>
              <w:spacing w:after="0" w:line="240" w:lineRule="auto"/>
              <w:jc w:val="center"/>
              <w:outlineLvl w:val="0"/>
              <w:rPr>
                <w:rFonts w:ascii="Times New Roman" w:hAnsi="Times New Roman" w:cs="Times New Roman"/>
                <w:sz w:val="20"/>
                <w:szCs w:val="20"/>
              </w:rPr>
            </w:pPr>
            <w:bookmarkStart w:id="829" w:name="_Toc251855030"/>
            <w:bookmarkStart w:id="830" w:name="_Toc251855440"/>
            <w:bookmarkStart w:id="831" w:name="_Toc126492603"/>
            <w:bookmarkStart w:id="832" w:name="_Toc126493018"/>
            <w:bookmarkStart w:id="833" w:name="_Toc126570530"/>
            <w:bookmarkStart w:id="834" w:name="_Toc126571841"/>
            <w:bookmarkStart w:id="835" w:name="_Toc126572622"/>
            <w:bookmarkStart w:id="836" w:name="_Toc126575256"/>
            <w:bookmarkStart w:id="837" w:name="_Toc126575933"/>
            <w:bookmarkStart w:id="838" w:name="_Toc126576808"/>
            <w:bookmarkStart w:id="839" w:name="_Toc252094017"/>
            <w:bookmarkStart w:id="840" w:name="_Toc252365407"/>
            <w:bookmarkStart w:id="841" w:name="_Toc252365678"/>
            <w:bookmarkStart w:id="842" w:name="_Toc252366223"/>
            <w:r w:rsidRPr="00B45AD6">
              <w:rPr>
                <w:rFonts w:ascii="Times New Roman" w:hAnsi="Times New Roman" w:cs="Times New Roman"/>
                <w:sz w:val="20"/>
                <w:szCs w:val="20"/>
              </w:rPr>
              <w:t>P' 2</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tc>
      </w:tr>
      <w:tr w:rsidR="00F47DCC" w:rsidRPr="00B45AD6" w:rsidTr="004A2A5D">
        <w:trPr>
          <w:trHeight w:val="170"/>
        </w:trPr>
        <w:tc>
          <w:tcPr>
            <w:tcW w:w="825"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Besbes</w:t>
            </w:r>
          </w:p>
        </w:tc>
        <w:tc>
          <w:tcPr>
            <w:tcW w:w="1013"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Altitude:243m</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Nord: 34°23' .7''</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Est: 004°51'57.8''</w:t>
            </w:r>
          </w:p>
        </w:tc>
        <w:tc>
          <w:tcPr>
            <w:tcW w:w="668"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Juin 2008</w:t>
            </w:r>
          </w:p>
        </w:tc>
        <w:tc>
          <w:tcPr>
            <w:tcW w:w="856"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03/11/2008</w:t>
            </w:r>
          </w:p>
        </w:tc>
        <w:tc>
          <w:tcPr>
            <w:tcW w:w="1000"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Plus de 30 ans</w:t>
            </w:r>
          </w:p>
        </w:tc>
        <w:tc>
          <w:tcPr>
            <w:tcW w:w="638"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P'3</w:t>
            </w:r>
          </w:p>
        </w:tc>
      </w:tr>
      <w:tr w:rsidR="00F47DCC" w:rsidRPr="00B45AD6" w:rsidTr="004A2A5D">
        <w:trPr>
          <w:trHeight w:val="170"/>
        </w:trPr>
        <w:tc>
          <w:tcPr>
            <w:tcW w:w="825"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Sidi Khaled</w:t>
            </w:r>
          </w:p>
        </w:tc>
        <w:tc>
          <w:tcPr>
            <w:tcW w:w="1013"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Altitude:215m</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Nord: 34°23' 29.5''</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Est: 00523'29.5''</w:t>
            </w:r>
          </w:p>
        </w:tc>
        <w:tc>
          <w:tcPr>
            <w:tcW w:w="668"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Juin 2008</w:t>
            </w:r>
          </w:p>
        </w:tc>
        <w:tc>
          <w:tcPr>
            <w:tcW w:w="856"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03/11/2008</w:t>
            </w:r>
          </w:p>
        </w:tc>
        <w:tc>
          <w:tcPr>
            <w:tcW w:w="1000"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Plus de 30 ans</w:t>
            </w:r>
          </w:p>
        </w:tc>
        <w:tc>
          <w:tcPr>
            <w:tcW w:w="638" w:type="pct"/>
            <w:vAlign w:val="center"/>
          </w:tcPr>
          <w:p w:rsidR="00F47DCC" w:rsidRPr="00B45AD6" w:rsidRDefault="00F47DCC" w:rsidP="004A2A5D">
            <w:pPr>
              <w:spacing w:after="0" w:line="240" w:lineRule="auto"/>
              <w:jc w:val="center"/>
              <w:outlineLvl w:val="0"/>
              <w:rPr>
                <w:rFonts w:ascii="Times New Roman" w:hAnsi="Times New Roman" w:cs="Times New Roman"/>
                <w:sz w:val="20"/>
                <w:szCs w:val="20"/>
              </w:rPr>
            </w:pPr>
            <w:bookmarkStart w:id="843" w:name="_Toc251855031"/>
            <w:bookmarkStart w:id="844" w:name="_Toc251855441"/>
            <w:bookmarkStart w:id="845" w:name="_Toc126492604"/>
            <w:bookmarkStart w:id="846" w:name="_Toc126493019"/>
            <w:bookmarkStart w:id="847" w:name="_Toc126570531"/>
            <w:bookmarkStart w:id="848" w:name="_Toc126571842"/>
            <w:bookmarkStart w:id="849" w:name="_Toc126572623"/>
            <w:bookmarkStart w:id="850" w:name="_Toc126575257"/>
            <w:bookmarkStart w:id="851" w:name="_Toc126575934"/>
            <w:bookmarkStart w:id="852" w:name="_Toc126576809"/>
            <w:bookmarkStart w:id="853" w:name="_Toc252094018"/>
            <w:bookmarkStart w:id="854" w:name="_Toc252365408"/>
            <w:bookmarkStart w:id="855" w:name="_Toc252365679"/>
            <w:bookmarkStart w:id="856" w:name="_Toc252366224"/>
            <w:r w:rsidRPr="00B45AD6">
              <w:rPr>
                <w:rFonts w:ascii="Times New Roman" w:hAnsi="Times New Roman" w:cs="Times New Roman"/>
                <w:sz w:val="20"/>
                <w:szCs w:val="20"/>
              </w:rPr>
              <w:t>P'4</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tc>
      </w:tr>
    </w:tbl>
    <w:p w:rsidR="00F47DCC" w:rsidRDefault="00F47DCC" w:rsidP="00F47DCC">
      <w:pPr>
        <w:spacing w:line="360" w:lineRule="auto"/>
        <w:ind w:left="360"/>
        <w:jc w:val="lowKashida"/>
        <w:rPr>
          <w:rFonts w:ascii="Times New Roman" w:hAnsi="Times New Roman" w:cs="Times New Roman"/>
          <w:b/>
          <w:bCs/>
          <w:sz w:val="16"/>
          <w:szCs w:val="16"/>
        </w:rPr>
      </w:pPr>
    </w:p>
    <w:p w:rsidR="000503A2" w:rsidRDefault="000503A2" w:rsidP="00F47DCC">
      <w:pPr>
        <w:spacing w:line="360" w:lineRule="auto"/>
        <w:ind w:left="360"/>
        <w:jc w:val="lowKashida"/>
        <w:rPr>
          <w:rFonts w:ascii="Times New Roman" w:hAnsi="Times New Roman" w:cs="Times New Roman"/>
          <w:b/>
          <w:bCs/>
          <w:sz w:val="16"/>
          <w:szCs w:val="16"/>
        </w:rPr>
      </w:pPr>
    </w:p>
    <w:p w:rsidR="000503A2" w:rsidRDefault="000503A2" w:rsidP="00F47DCC">
      <w:pPr>
        <w:spacing w:line="360" w:lineRule="auto"/>
        <w:ind w:left="360"/>
        <w:jc w:val="lowKashida"/>
        <w:rPr>
          <w:rFonts w:ascii="Times New Roman" w:hAnsi="Times New Roman" w:cs="Times New Roman"/>
          <w:b/>
          <w:bCs/>
          <w:sz w:val="16"/>
          <w:szCs w:val="16"/>
        </w:rPr>
      </w:pPr>
    </w:p>
    <w:p w:rsidR="000503A2" w:rsidRDefault="000503A2" w:rsidP="00F47DCC">
      <w:pPr>
        <w:spacing w:line="360" w:lineRule="auto"/>
        <w:ind w:left="360"/>
        <w:jc w:val="lowKashida"/>
        <w:rPr>
          <w:rFonts w:ascii="Times New Roman" w:hAnsi="Times New Roman" w:cs="Times New Roman"/>
          <w:b/>
          <w:bCs/>
          <w:sz w:val="16"/>
          <w:szCs w:val="16"/>
        </w:rPr>
      </w:pPr>
    </w:p>
    <w:p w:rsidR="000503A2" w:rsidRDefault="000503A2" w:rsidP="00F47DCC">
      <w:pPr>
        <w:spacing w:line="360" w:lineRule="auto"/>
        <w:ind w:left="360"/>
        <w:jc w:val="lowKashida"/>
        <w:rPr>
          <w:rFonts w:ascii="Times New Roman" w:hAnsi="Times New Roman" w:cs="Times New Roman"/>
          <w:b/>
          <w:bCs/>
          <w:sz w:val="16"/>
          <w:szCs w:val="16"/>
        </w:rPr>
      </w:pPr>
    </w:p>
    <w:p w:rsidR="000503A2" w:rsidRDefault="000503A2" w:rsidP="00F47DCC">
      <w:pPr>
        <w:spacing w:line="360" w:lineRule="auto"/>
        <w:ind w:left="360"/>
        <w:jc w:val="lowKashida"/>
        <w:rPr>
          <w:rFonts w:ascii="Times New Roman" w:hAnsi="Times New Roman" w:cs="Times New Roman"/>
          <w:b/>
          <w:bCs/>
          <w:sz w:val="16"/>
          <w:szCs w:val="16"/>
        </w:rPr>
      </w:pPr>
    </w:p>
    <w:p w:rsidR="000503A2" w:rsidRPr="008F68FE" w:rsidRDefault="000503A2" w:rsidP="00F47DCC">
      <w:pPr>
        <w:spacing w:line="360" w:lineRule="auto"/>
        <w:ind w:left="360"/>
        <w:jc w:val="lowKashida"/>
        <w:rPr>
          <w:rFonts w:ascii="Times New Roman" w:hAnsi="Times New Roman" w:cs="Times New Roman"/>
          <w:b/>
          <w:bCs/>
          <w:sz w:val="16"/>
          <w:szCs w:val="16"/>
        </w:rPr>
      </w:pPr>
    </w:p>
    <w:p w:rsidR="00F47DCC" w:rsidRPr="00D31B7A" w:rsidRDefault="00F47DCC" w:rsidP="00AD6B8B">
      <w:pPr>
        <w:pStyle w:val="Paragraphedeliste"/>
        <w:numPr>
          <w:ilvl w:val="1"/>
          <w:numId w:val="14"/>
        </w:numPr>
        <w:spacing w:before="240" w:line="360" w:lineRule="auto"/>
        <w:outlineLvl w:val="0"/>
        <w:rPr>
          <w:rFonts w:ascii="Times New Roman" w:hAnsi="Times New Roman" w:cs="Times New Roman"/>
          <w:b/>
          <w:bCs/>
          <w:sz w:val="24"/>
          <w:szCs w:val="24"/>
        </w:rPr>
      </w:pPr>
      <w:bookmarkStart w:id="857" w:name="_Toc251855032"/>
      <w:bookmarkStart w:id="858" w:name="_Toc251855442"/>
      <w:bookmarkStart w:id="859" w:name="_Toc126492605"/>
      <w:bookmarkStart w:id="860" w:name="_Toc126493020"/>
      <w:bookmarkStart w:id="861" w:name="_Toc126570532"/>
      <w:bookmarkStart w:id="862" w:name="_Toc126571843"/>
      <w:bookmarkStart w:id="863" w:name="_Toc126572624"/>
      <w:bookmarkStart w:id="864" w:name="_Toc126575258"/>
      <w:bookmarkStart w:id="865" w:name="_Toc126575935"/>
      <w:bookmarkStart w:id="866" w:name="_Toc126576810"/>
      <w:bookmarkStart w:id="867" w:name="_Toc252094019"/>
      <w:bookmarkStart w:id="868" w:name="_Toc252365409"/>
      <w:bookmarkStart w:id="869" w:name="_Toc252365680"/>
      <w:bookmarkStart w:id="870" w:name="_Toc252366225"/>
      <w:smartTag w:uri="urn:schemas-microsoft-com:office:smarttags" w:element="PersonName">
        <w:smartTagPr>
          <w:attr w:name="ProductID" w:val="la Nigelle"/>
        </w:smartTagPr>
        <w:r w:rsidRPr="00585B3C">
          <w:rPr>
            <w:rFonts w:ascii="Times New Roman" w:hAnsi="Times New Roman" w:cs="Times New Roman"/>
            <w:b/>
            <w:bCs/>
            <w:sz w:val="24"/>
            <w:szCs w:val="24"/>
          </w:rPr>
          <w:lastRenderedPageBreak/>
          <w:t>La Nigelle</w:t>
        </w:r>
      </w:smartTag>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rsidRPr="00D31B7A">
        <w:rPr>
          <w:rFonts w:ascii="Times New Roman" w:hAnsi="Times New Roman" w:cs="Times New Roman"/>
          <w:b/>
          <w:bCs/>
          <w:sz w:val="24"/>
          <w:szCs w:val="24"/>
        </w:rPr>
        <w:t xml:space="preserve"> </w:t>
      </w:r>
    </w:p>
    <w:p w:rsidR="00F47DCC" w:rsidRPr="00511E84" w:rsidRDefault="00F47DCC" w:rsidP="00195150">
      <w:pPr>
        <w:pStyle w:val="Paragraphedeliste"/>
        <w:spacing w:before="240" w:line="360" w:lineRule="auto"/>
        <w:ind w:left="0" w:firstLine="284"/>
        <w:outlineLvl w:val="0"/>
        <w:rPr>
          <w:rFonts w:ascii="Times New Roman" w:hAnsi="Times New Roman" w:cs="Times New Roman"/>
          <w:sz w:val="24"/>
          <w:szCs w:val="24"/>
        </w:rPr>
      </w:pPr>
      <w:bookmarkStart w:id="871" w:name="_Toc251855033"/>
      <w:bookmarkStart w:id="872" w:name="_Toc251855443"/>
      <w:bookmarkStart w:id="873" w:name="_Toc126492606"/>
      <w:bookmarkStart w:id="874" w:name="_Toc126493021"/>
      <w:bookmarkStart w:id="875" w:name="_Toc126570533"/>
      <w:bookmarkStart w:id="876" w:name="_Toc126571844"/>
      <w:bookmarkStart w:id="877" w:name="_Toc126572625"/>
      <w:bookmarkStart w:id="878" w:name="_Toc126575259"/>
      <w:bookmarkStart w:id="879" w:name="_Toc126575936"/>
      <w:bookmarkStart w:id="880" w:name="_Toc126576811"/>
      <w:bookmarkStart w:id="881" w:name="_Toc252094020"/>
      <w:bookmarkStart w:id="882" w:name="_Toc252365410"/>
      <w:bookmarkStart w:id="883" w:name="_Toc252365681"/>
      <w:bookmarkStart w:id="884" w:name="_Toc252366226"/>
      <w:r w:rsidRPr="00511E84">
        <w:rPr>
          <w:rFonts w:ascii="Times New Roman" w:hAnsi="Times New Roman" w:cs="Times New Roman"/>
          <w:sz w:val="24"/>
          <w:szCs w:val="24"/>
        </w:rPr>
        <w:t xml:space="preserve">Le tableau suivant (Tab. </w:t>
      </w:r>
      <w:r>
        <w:rPr>
          <w:rFonts w:ascii="Times New Roman" w:hAnsi="Times New Roman" w:cs="Times New Roman"/>
          <w:sz w:val="24"/>
          <w:szCs w:val="24"/>
        </w:rPr>
        <w:t>4</w:t>
      </w:r>
      <w:r w:rsidRPr="00511E84">
        <w:rPr>
          <w:rFonts w:ascii="Times New Roman" w:hAnsi="Times New Roman" w:cs="Times New Roman"/>
          <w:sz w:val="24"/>
          <w:szCs w:val="24"/>
        </w:rPr>
        <w:t>) précise les provenance</w:t>
      </w:r>
      <w:r>
        <w:rPr>
          <w:rFonts w:ascii="Times New Roman" w:hAnsi="Times New Roman" w:cs="Times New Roman"/>
          <w:sz w:val="24"/>
          <w:szCs w:val="24"/>
        </w:rPr>
        <w:t>s</w:t>
      </w:r>
      <w:r w:rsidRPr="00511E84">
        <w:rPr>
          <w:rFonts w:ascii="Times New Roman" w:hAnsi="Times New Roman" w:cs="Times New Roman"/>
          <w:sz w:val="24"/>
          <w:szCs w:val="24"/>
        </w:rPr>
        <w:t xml:space="preserve"> des différentes populations </w:t>
      </w:r>
      <w:r>
        <w:rPr>
          <w:rFonts w:ascii="Times New Roman" w:hAnsi="Times New Roman" w:cs="Times New Roman"/>
          <w:sz w:val="24"/>
          <w:szCs w:val="24"/>
        </w:rPr>
        <w:t>étudiées</w:t>
      </w:r>
      <w:r w:rsidRPr="00511E84">
        <w:rPr>
          <w:rFonts w:ascii="Times New Roman" w:hAnsi="Times New Roman" w:cs="Times New Roman"/>
          <w:sz w:val="24"/>
          <w:szCs w:val="24"/>
        </w:rPr>
        <w:t>.</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rsidR="001C2F50" w:rsidRPr="001C2F50" w:rsidRDefault="00B16C26" w:rsidP="00BE587B">
      <w:pPr>
        <w:pStyle w:val="Lgende"/>
        <w:keepNext/>
        <w:spacing w:line="360" w:lineRule="auto"/>
        <w:jc w:val="center"/>
        <w:rPr>
          <w:rFonts w:asciiTheme="majorBidi" w:hAnsiTheme="majorBidi" w:cstheme="majorBidi"/>
          <w:noProof/>
          <w:color w:val="auto"/>
          <w:sz w:val="24"/>
          <w:szCs w:val="24"/>
        </w:rPr>
      </w:pPr>
      <w:bookmarkStart w:id="885" w:name="_Toc252195094"/>
      <w:r w:rsidRPr="00905E69">
        <w:rPr>
          <w:rFonts w:asciiTheme="majorBidi" w:hAnsiTheme="majorBidi" w:cstheme="majorBidi"/>
          <w:noProof/>
          <w:color w:val="auto"/>
          <w:sz w:val="24"/>
          <w:szCs w:val="24"/>
        </w:rPr>
        <w:t>Tab</w:t>
      </w:r>
      <w:r w:rsidR="001C2F50" w:rsidRPr="00905E69">
        <w:rPr>
          <w:rFonts w:asciiTheme="majorBidi" w:hAnsiTheme="majorBidi" w:cstheme="majorBidi"/>
          <w:noProof/>
          <w:color w:val="auto"/>
          <w:sz w:val="24"/>
          <w:szCs w:val="24"/>
        </w:rPr>
        <w:t xml:space="preserve"> </w:t>
      </w:r>
      <w:r w:rsidR="00BE587B" w:rsidRPr="00905E69">
        <w:rPr>
          <w:rFonts w:asciiTheme="majorBidi" w:hAnsiTheme="majorBidi" w:cstheme="majorBidi"/>
          <w:noProof/>
          <w:color w:val="auto"/>
          <w:sz w:val="24"/>
          <w:szCs w:val="24"/>
        </w:rPr>
        <w:t>4</w:t>
      </w:r>
      <w:r w:rsidR="001C2F50" w:rsidRPr="00905E69">
        <w:rPr>
          <w:rFonts w:asciiTheme="majorBidi" w:hAnsiTheme="majorBidi" w:cstheme="majorBidi"/>
          <w:noProof/>
          <w:color w:val="auto"/>
          <w:sz w:val="24"/>
          <w:szCs w:val="24"/>
        </w:rPr>
        <w:t>:Provenances des différentes populations de</w:t>
      </w:r>
      <w:r w:rsidR="001C2F50" w:rsidRPr="00905E69">
        <w:rPr>
          <w:rFonts w:asciiTheme="majorBidi" w:hAnsiTheme="majorBidi" w:cstheme="majorBidi"/>
          <w:i/>
          <w:iCs/>
          <w:noProof/>
          <w:color w:val="auto"/>
          <w:sz w:val="24"/>
          <w:szCs w:val="24"/>
        </w:rPr>
        <w:t xml:space="preserve"> Nigila sativa </w:t>
      </w:r>
      <w:r w:rsidR="001C2F50" w:rsidRPr="00905E69">
        <w:rPr>
          <w:rFonts w:asciiTheme="majorBidi" w:hAnsiTheme="majorBidi" w:cstheme="majorBidi"/>
          <w:noProof/>
          <w:color w:val="auto"/>
          <w:sz w:val="24"/>
          <w:szCs w:val="24"/>
        </w:rPr>
        <w:t>L.</w:t>
      </w:r>
      <w:bookmarkEnd w:id="88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8"/>
        <w:gridCol w:w="2022"/>
        <w:gridCol w:w="1549"/>
        <w:gridCol w:w="1436"/>
        <w:gridCol w:w="1967"/>
        <w:gridCol w:w="1357"/>
      </w:tblGrid>
      <w:tr w:rsidR="00F47DCC" w:rsidRPr="00B45AD6" w:rsidTr="004A2A5D">
        <w:trPr>
          <w:trHeight w:val="170"/>
        </w:trPr>
        <w:tc>
          <w:tcPr>
            <w:tcW w:w="892" w:type="pct"/>
            <w:vAlign w:val="center"/>
          </w:tcPr>
          <w:p w:rsidR="00F47DCC" w:rsidRPr="00B45AD6" w:rsidRDefault="00F47DCC" w:rsidP="004A2A5D">
            <w:pPr>
              <w:spacing w:after="0" w:line="240" w:lineRule="auto"/>
              <w:jc w:val="center"/>
              <w:rPr>
                <w:rFonts w:ascii="Times New Roman" w:hAnsi="Times New Roman" w:cs="Times New Roman"/>
                <w:b/>
                <w:bCs/>
                <w:sz w:val="20"/>
                <w:szCs w:val="20"/>
              </w:rPr>
            </w:pPr>
            <w:r w:rsidRPr="00B45AD6">
              <w:rPr>
                <w:rFonts w:ascii="Times New Roman" w:hAnsi="Times New Roman" w:cs="Times New Roman"/>
                <w:b/>
                <w:bCs/>
                <w:sz w:val="20"/>
                <w:szCs w:val="20"/>
              </w:rPr>
              <w:t>provenance</w:t>
            </w:r>
          </w:p>
        </w:tc>
        <w:tc>
          <w:tcPr>
            <w:tcW w:w="997" w:type="pct"/>
            <w:vAlign w:val="center"/>
          </w:tcPr>
          <w:p w:rsidR="00F47DCC" w:rsidRPr="00B45AD6" w:rsidRDefault="00F47DCC" w:rsidP="004A2A5D">
            <w:pPr>
              <w:spacing w:after="0" w:line="240" w:lineRule="auto"/>
              <w:jc w:val="center"/>
              <w:rPr>
                <w:rFonts w:ascii="Times New Roman" w:hAnsi="Times New Roman" w:cs="Times New Roman"/>
                <w:b/>
                <w:bCs/>
                <w:sz w:val="20"/>
                <w:szCs w:val="20"/>
              </w:rPr>
            </w:pPr>
            <w:r w:rsidRPr="00B45AD6">
              <w:rPr>
                <w:rFonts w:ascii="Times New Roman" w:hAnsi="Times New Roman" w:cs="Times New Roman"/>
                <w:b/>
                <w:bCs/>
                <w:sz w:val="20"/>
                <w:szCs w:val="20"/>
              </w:rPr>
              <w:t>Cordonnés</w:t>
            </w:r>
          </w:p>
          <w:p w:rsidR="00F47DCC" w:rsidRPr="00B45AD6" w:rsidRDefault="00F47DCC" w:rsidP="004A2A5D">
            <w:pPr>
              <w:spacing w:after="0" w:line="240" w:lineRule="auto"/>
              <w:jc w:val="center"/>
              <w:rPr>
                <w:rFonts w:ascii="Times New Roman" w:hAnsi="Times New Roman" w:cs="Times New Roman"/>
                <w:b/>
                <w:bCs/>
                <w:sz w:val="20"/>
                <w:szCs w:val="20"/>
              </w:rPr>
            </w:pPr>
            <w:r w:rsidRPr="00B45AD6">
              <w:rPr>
                <w:rFonts w:ascii="Times New Roman" w:hAnsi="Times New Roman" w:cs="Times New Roman"/>
                <w:b/>
                <w:bCs/>
                <w:sz w:val="20"/>
                <w:szCs w:val="20"/>
              </w:rPr>
              <w:t>géographiques</w:t>
            </w:r>
          </w:p>
        </w:tc>
        <w:tc>
          <w:tcPr>
            <w:tcW w:w="764" w:type="pct"/>
            <w:vAlign w:val="center"/>
          </w:tcPr>
          <w:p w:rsidR="00F47DCC" w:rsidRPr="00B45AD6" w:rsidRDefault="00F47DCC" w:rsidP="004A2A5D">
            <w:pPr>
              <w:spacing w:after="0" w:line="240" w:lineRule="auto"/>
              <w:jc w:val="center"/>
              <w:rPr>
                <w:rFonts w:ascii="Times New Roman" w:hAnsi="Times New Roman" w:cs="Times New Roman"/>
                <w:b/>
                <w:bCs/>
                <w:sz w:val="20"/>
                <w:szCs w:val="20"/>
              </w:rPr>
            </w:pPr>
            <w:r w:rsidRPr="00B45AD6">
              <w:rPr>
                <w:rFonts w:ascii="Times New Roman" w:hAnsi="Times New Roman" w:cs="Times New Roman"/>
                <w:b/>
                <w:bCs/>
                <w:sz w:val="20"/>
                <w:szCs w:val="20"/>
              </w:rPr>
              <w:t>Date de récolte</w:t>
            </w:r>
          </w:p>
        </w:tc>
        <w:tc>
          <w:tcPr>
            <w:tcW w:w="708" w:type="pct"/>
            <w:vAlign w:val="center"/>
          </w:tcPr>
          <w:p w:rsidR="00F47DCC" w:rsidRPr="00B45AD6" w:rsidRDefault="00F47DCC" w:rsidP="004A2A5D">
            <w:pPr>
              <w:spacing w:after="0" w:line="240" w:lineRule="auto"/>
              <w:jc w:val="center"/>
              <w:rPr>
                <w:rFonts w:ascii="Times New Roman" w:hAnsi="Times New Roman" w:cs="Times New Roman"/>
                <w:b/>
                <w:bCs/>
                <w:sz w:val="20"/>
                <w:szCs w:val="20"/>
              </w:rPr>
            </w:pPr>
            <w:r w:rsidRPr="00B45AD6">
              <w:rPr>
                <w:rFonts w:ascii="Times New Roman" w:hAnsi="Times New Roman" w:cs="Times New Roman"/>
                <w:b/>
                <w:bCs/>
                <w:sz w:val="20"/>
                <w:szCs w:val="20"/>
              </w:rPr>
              <w:t>Date de collecte</w:t>
            </w:r>
          </w:p>
        </w:tc>
        <w:tc>
          <w:tcPr>
            <w:tcW w:w="970" w:type="pct"/>
            <w:vAlign w:val="center"/>
          </w:tcPr>
          <w:p w:rsidR="00F47DCC" w:rsidRPr="00B45AD6" w:rsidRDefault="00F47DCC" w:rsidP="004A2A5D">
            <w:pPr>
              <w:spacing w:after="0" w:line="240" w:lineRule="auto"/>
              <w:jc w:val="center"/>
              <w:rPr>
                <w:rFonts w:ascii="Times New Roman" w:hAnsi="Times New Roman" w:cs="Times New Roman"/>
                <w:b/>
                <w:bCs/>
                <w:sz w:val="20"/>
                <w:szCs w:val="20"/>
              </w:rPr>
            </w:pPr>
            <w:r w:rsidRPr="00B45AD6">
              <w:rPr>
                <w:rFonts w:ascii="Times New Roman" w:hAnsi="Times New Roman" w:cs="Times New Roman"/>
                <w:b/>
                <w:bCs/>
                <w:sz w:val="20"/>
                <w:szCs w:val="20"/>
              </w:rPr>
              <w:t>Durée de régénération</w:t>
            </w:r>
          </w:p>
        </w:tc>
        <w:tc>
          <w:tcPr>
            <w:tcW w:w="669" w:type="pct"/>
            <w:vAlign w:val="center"/>
          </w:tcPr>
          <w:p w:rsidR="00F47DCC" w:rsidRPr="00B45AD6" w:rsidRDefault="00F47DCC" w:rsidP="004A2A5D">
            <w:pPr>
              <w:spacing w:after="0" w:line="240" w:lineRule="auto"/>
              <w:jc w:val="center"/>
              <w:outlineLvl w:val="0"/>
              <w:rPr>
                <w:rFonts w:ascii="Times New Roman" w:hAnsi="Times New Roman" w:cs="Times New Roman"/>
                <w:b/>
                <w:bCs/>
                <w:sz w:val="20"/>
                <w:szCs w:val="20"/>
              </w:rPr>
            </w:pPr>
            <w:bookmarkStart w:id="886" w:name="_Toc251855035"/>
            <w:bookmarkStart w:id="887" w:name="_Toc251855445"/>
            <w:bookmarkStart w:id="888" w:name="_Toc126492607"/>
            <w:bookmarkStart w:id="889" w:name="_Toc126493022"/>
            <w:bookmarkStart w:id="890" w:name="_Toc126570534"/>
            <w:bookmarkStart w:id="891" w:name="_Toc126571845"/>
            <w:bookmarkStart w:id="892" w:name="_Toc126572626"/>
            <w:bookmarkStart w:id="893" w:name="_Toc126575260"/>
            <w:bookmarkStart w:id="894" w:name="_Toc126575937"/>
            <w:bookmarkStart w:id="895" w:name="_Toc126576812"/>
            <w:bookmarkStart w:id="896" w:name="_Toc252094021"/>
            <w:bookmarkStart w:id="897" w:name="_Toc252365411"/>
            <w:bookmarkStart w:id="898" w:name="_Toc252365682"/>
            <w:bookmarkStart w:id="899" w:name="_Toc252366227"/>
            <w:r w:rsidRPr="00B45AD6">
              <w:rPr>
                <w:rFonts w:ascii="Times New Roman" w:hAnsi="Times New Roman" w:cs="Times New Roman"/>
                <w:b/>
                <w:bCs/>
                <w:sz w:val="20"/>
                <w:szCs w:val="20"/>
              </w:rPr>
              <w:t>Symbole</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tc>
      </w:tr>
      <w:tr w:rsidR="00F47DCC" w:rsidRPr="00B45AD6" w:rsidTr="004A2A5D">
        <w:trPr>
          <w:trHeight w:val="170"/>
        </w:trPr>
        <w:tc>
          <w:tcPr>
            <w:tcW w:w="892"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Introduite</w:t>
            </w:r>
            <w:r>
              <w:rPr>
                <w:rFonts w:ascii="Times New Roman" w:hAnsi="Times New Roman" w:cs="Times New Roman"/>
                <w:sz w:val="20"/>
                <w:szCs w:val="20"/>
              </w:rPr>
              <w:t xml:space="preserve"> </w:t>
            </w:r>
            <w:r w:rsidRPr="00B45AD6">
              <w:rPr>
                <w:rFonts w:ascii="Times New Roman" w:hAnsi="Times New Roman" w:cs="Times New Roman"/>
                <w:sz w:val="20"/>
                <w:szCs w:val="20"/>
              </w:rPr>
              <w:t>(</w:t>
            </w:r>
            <w:r>
              <w:rPr>
                <w:rFonts w:ascii="Times New Roman" w:hAnsi="Times New Roman" w:cs="Times New Roman"/>
                <w:sz w:val="20"/>
                <w:szCs w:val="20"/>
              </w:rPr>
              <w:t>C</w:t>
            </w:r>
            <w:r w:rsidRPr="00B45AD6">
              <w:rPr>
                <w:rFonts w:ascii="Times New Roman" w:hAnsi="Times New Roman" w:cs="Times New Roman"/>
                <w:sz w:val="20"/>
                <w:szCs w:val="20"/>
              </w:rPr>
              <w:t>hine)</w:t>
            </w:r>
          </w:p>
        </w:tc>
        <w:tc>
          <w:tcPr>
            <w:tcW w:w="997" w:type="pct"/>
            <w:vAlign w:val="center"/>
          </w:tcPr>
          <w:p w:rsidR="00F47DCC" w:rsidRPr="00B45AD6" w:rsidRDefault="00F47DCC" w:rsidP="004A2A5D">
            <w:pPr>
              <w:spacing w:after="0" w:line="240" w:lineRule="auto"/>
              <w:jc w:val="center"/>
              <w:rPr>
                <w:rFonts w:ascii="Times New Roman" w:hAnsi="Times New Roman" w:cs="Times New Roman"/>
                <w:sz w:val="20"/>
                <w:szCs w:val="20"/>
              </w:rPr>
            </w:pPr>
          </w:p>
        </w:tc>
        <w:tc>
          <w:tcPr>
            <w:tcW w:w="764" w:type="pct"/>
            <w:vAlign w:val="center"/>
          </w:tcPr>
          <w:p w:rsidR="00F47DCC" w:rsidRPr="00B45AD6" w:rsidRDefault="00F47DCC" w:rsidP="004A2A5D">
            <w:pPr>
              <w:spacing w:after="0" w:line="240" w:lineRule="auto"/>
              <w:jc w:val="center"/>
              <w:rPr>
                <w:rFonts w:ascii="Times New Roman" w:hAnsi="Times New Roman" w:cs="Times New Roman"/>
                <w:sz w:val="20"/>
                <w:szCs w:val="20"/>
              </w:rPr>
            </w:pPr>
          </w:p>
        </w:tc>
        <w:tc>
          <w:tcPr>
            <w:tcW w:w="708" w:type="pct"/>
            <w:vAlign w:val="center"/>
          </w:tcPr>
          <w:p w:rsidR="00F47DCC" w:rsidRPr="00B45AD6" w:rsidRDefault="00F47DCC" w:rsidP="004A2A5D">
            <w:pPr>
              <w:spacing w:after="0" w:line="240" w:lineRule="auto"/>
              <w:jc w:val="center"/>
              <w:rPr>
                <w:rFonts w:ascii="Times New Roman" w:hAnsi="Times New Roman" w:cs="Times New Roman"/>
                <w:sz w:val="20"/>
                <w:szCs w:val="20"/>
              </w:rPr>
            </w:pPr>
          </w:p>
        </w:tc>
        <w:tc>
          <w:tcPr>
            <w:tcW w:w="970" w:type="pct"/>
            <w:vAlign w:val="center"/>
          </w:tcPr>
          <w:p w:rsidR="00F47DCC" w:rsidRPr="00B45AD6" w:rsidRDefault="00F47DCC" w:rsidP="004A2A5D">
            <w:pPr>
              <w:spacing w:after="0" w:line="240" w:lineRule="auto"/>
              <w:jc w:val="center"/>
              <w:rPr>
                <w:rFonts w:ascii="Times New Roman" w:hAnsi="Times New Roman" w:cs="Times New Roman"/>
                <w:sz w:val="20"/>
                <w:szCs w:val="20"/>
              </w:rPr>
            </w:pPr>
          </w:p>
        </w:tc>
        <w:tc>
          <w:tcPr>
            <w:tcW w:w="669" w:type="pct"/>
            <w:vAlign w:val="center"/>
          </w:tcPr>
          <w:p w:rsidR="00F47DCC" w:rsidRPr="00B45AD6" w:rsidRDefault="00F47DCC" w:rsidP="004A2A5D">
            <w:pPr>
              <w:spacing w:after="0" w:line="240" w:lineRule="auto"/>
              <w:jc w:val="center"/>
              <w:outlineLvl w:val="0"/>
              <w:rPr>
                <w:rFonts w:ascii="Times New Roman" w:hAnsi="Times New Roman" w:cs="Times New Roman"/>
                <w:sz w:val="20"/>
                <w:szCs w:val="20"/>
              </w:rPr>
            </w:pPr>
            <w:bookmarkStart w:id="900" w:name="_Toc251855036"/>
            <w:bookmarkStart w:id="901" w:name="_Toc251855446"/>
            <w:bookmarkStart w:id="902" w:name="_Toc126492608"/>
            <w:bookmarkStart w:id="903" w:name="_Toc126493023"/>
            <w:bookmarkStart w:id="904" w:name="_Toc126570535"/>
            <w:bookmarkStart w:id="905" w:name="_Toc126571846"/>
            <w:bookmarkStart w:id="906" w:name="_Toc126572627"/>
            <w:bookmarkStart w:id="907" w:name="_Toc126575261"/>
            <w:bookmarkStart w:id="908" w:name="_Toc126575938"/>
            <w:bookmarkStart w:id="909" w:name="_Toc126576813"/>
            <w:bookmarkStart w:id="910" w:name="_Toc252094022"/>
            <w:bookmarkStart w:id="911" w:name="_Toc252365412"/>
            <w:bookmarkStart w:id="912" w:name="_Toc252365683"/>
            <w:bookmarkStart w:id="913" w:name="_Toc252366228"/>
            <w:r w:rsidRPr="00B45AD6">
              <w:rPr>
                <w:rFonts w:ascii="Times New Roman" w:hAnsi="Times New Roman" w:cs="Times New Roman"/>
                <w:sz w:val="20"/>
                <w:szCs w:val="20"/>
              </w:rPr>
              <w:t>P''1</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tc>
      </w:tr>
      <w:tr w:rsidR="00F47DCC" w:rsidRPr="00B45AD6" w:rsidTr="004A2A5D">
        <w:trPr>
          <w:trHeight w:val="170"/>
        </w:trPr>
        <w:tc>
          <w:tcPr>
            <w:tcW w:w="892"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T'kout</w:t>
            </w:r>
          </w:p>
        </w:tc>
        <w:tc>
          <w:tcPr>
            <w:tcW w:w="997"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Altitude:993m</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Nord: 35°08' 17''</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Est: 006°18'30.0''</w:t>
            </w:r>
          </w:p>
        </w:tc>
        <w:tc>
          <w:tcPr>
            <w:tcW w:w="764"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Juillet 2008</w:t>
            </w:r>
          </w:p>
        </w:tc>
        <w:tc>
          <w:tcPr>
            <w:tcW w:w="708"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01/11/2008</w:t>
            </w:r>
          </w:p>
        </w:tc>
        <w:tc>
          <w:tcPr>
            <w:tcW w:w="970"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semence de la région</w:t>
            </w:r>
          </w:p>
        </w:tc>
        <w:tc>
          <w:tcPr>
            <w:tcW w:w="669" w:type="pct"/>
            <w:vAlign w:val="center"/>
          </w:tcPr>
          <w:p w:rsidR="00F47DCC" w:rsidRPr="00B45AD6" w:rsidRDefault="00F47DCC" w:rsidP="004A2A5D">
            <w:pPr>
              <w:spacing w:after="0" w:line="240" w:lineRule="auto"/>
              <w:jc w:val="center"/>
              <w:outlineLvl w:val="0"/>
              <w:rPr>
                <w:rFonts w:ascii="Times New Roman" w:hAnsi="Times New Roman" w:cs="Times New Roman"/>
                <w:sz w:val="20"/>
                <w:szCs w:val="20"/>
              </w:rPr>
            </w:pPr>
            <w:bookmarkStart w:id="914" w:name="_Toc251855037"/>
            <w:bookmarkStart w:id="915" w:name="_Toc251855447"/>
            <w:bookmarkStart w:id="916" w:name="_Toc126492609"/>
            <w:bookmarkStart w:id="917" w:name="_Toc126493024"/>
            <w:bookmarkStart w:id="918" w:name="_Toc126570536"/>
            <w:bookmarkStart w:id="919" w:name="_Toc126571847"/>
            <w:bookmarkStart w:id="920" w:name="_Toc126572628"/>
            <w:bookmarkStart w:id="921" w:name="_Toc126575262"/>
            <w:bookmarkStart w:id="922" w:name="_Toc126575939"/>
            <w:bookmarkStart w:id="923" w:name="_Toc126576814"/>
            <w:bookmarkStart w:id="924" w:name="_Toc252094023"/>
            <w:bookmarkStart w:id="925" w:name="_Toc252365413"/>
            <w:bookmarkStart w:id="926" w:name="_Toc252365684"/>
            <w:bookmarkStart w:id="927" w:name="_Toc252366229"/>
            <w:r w:rsidRPr="00B45AD6">
              <w:rPr>
                <w:rFonts w:ascii="Times New Roman" w:hAnsi="Times New Roman" w:cs="Times New Roman"/>
                <w:sz w:val="20"/>
                <w:szCs w:val="20"/>
              </w:rPr>
              <w:t>P'' 2</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tc>
      </w:tr>
      <w:tr w:rsidR="00F47DCC" w:rsidRPr="00B45AD6" w:rsidTr="004A2A5D">
        <w:trPr>
          <w:trHeight w:val="170"/>
        </w:trPr>
        <w:tc>
          <w:tcPr>
            <w:tcW w:w="892"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Ain Naga</w:t>
            </w:r>
          </w:p>
        </w:tc>
        <w:tc>
          <w:tcPr>
            <w:tcW w:w="997"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Altitude:240m</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Nord: 34°43' 42.7''</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Est: 006°17'38.7''</w:t>
            </w:r>
          </w:p>
        </w:tc>
        <w:tc>
          <w:tcPr>
            <w:tcW w:w="764"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Mai 2008</w:t>
            </w:r>
          </w:p>
        </w:tc>
        <w:tc>
          <w:tcPr>
            <w:tcW w:w="708"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05/11/2008</w:t>
            </w:r>
          </w:p>
        </w:tc>
        <w:tc>
          <w:tcPr>
            <w:tcW w:w="970"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Plus de 30 ans</w:t>
            </w:r>
          </w:p>
        </w:tc>
        <w:tc>
          <w:tcPr>
            <w:tcW w:w="669" w:type="pct"/>
            <w:vAlign w:val="center"/>
          </w:tcPr>
          <w:p w:rsidR="00F47DCC" w:rsidRPr="00B45AD6" w:rsidRDefault="00F47DCC" w:rsidP="004A2A5D">
            <w:pPr>
              <w:spacing w:after="0" w:line="240" w:lineRule="auto"/>
              <w:jc w:val="center"/>
              <w:outlineLvl w:val="0"/>
              <w:rPr>
                <w:rFonts w:ascii="Times New Roman" w:hAnsi="Times New Roman" w:cs="Times New Roman"/>
                <w:sz w:val="20"/>
                <w:szCs w:val="20"/>
              </w:rPr>
            </w:pPr>
            <w:bookmarkStart w:id="928" w:name="_Toc251855038"/>
            <w:bookmarkStart w:id="929" w:name="_Toc251855448"/>
            <w:bookmarkStart w:id="930" w:name="_Toc126492610"/>
            <w:bookmarkStart w:id="931" w:name="_Toc126493025"/>
            <w:bookmarkStart w:id="932" w:name="_Toc126570537"/>
            <w:bookmarkStart w:id="933" w:name="_Toc126571848"/>
            <w:bookmarkStart w:id="934" w:name="_Toc126572629"/>
            <w:bookmarkStart w:id="935" w:name="_Toc126575263"/>
            <w:bookmarkStart w:id="936" w:name="_Toc126575940"/>
            <w:bookmarkStart w:id="937" w:name="_Toc126576815"/>
            <w:bookmarkStart w:id="938" w:name="_Toc252094024"/>
            <w:bookmarkStart w:id="939" w:name="_Toc252365414"/>
            <w:bookmarkStart w:id="940" w:name="_Toc252365685"/>
            <w:bookmarkStart w:id="941" w:name="_Toc252366230"/>
            <w:r w:rsidRPr="00B45AD6">
              <w:rPr>
                <w:rFonts w:ascii="Times New Roman" w:hAnsi="Times New Roman" w:cs="Times New Roman"/>
                <w:sz w:val="20"/>
                <w:szCs w:val="20"/>
              </w:rPr>
              <w:t>P''3</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tc>
      </w:tr>
      <w:tr w:rsidR="00F47DCC" w:rsidRPr="00B45AD6" w:rsidTr="004A2A5D">
        <w:trPr>
          <w:trHeight w:val="170"/>
        </w:trPr>
        <w:tc>
          <w:tcPr>
            <w:tcW w:w="892"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Ouled Djallel</w:t>
            </w:r>
          </w:p>
          <w:p w:rsidR="00F47DCC" w:rsidRPr="00B45AD6" w:rsidRDefault="00F47DCC" w:rsidP="004A2A5D">
            <w:pPr>
              <w:spacing w:after="0" w:line="240" w:lineRule="auto"/>
              <w:jc w:val="center"/>
              <w:rPr>
                <w:rFonts w:ascii="Times New Roman" w:hAnsi="Times New Roman" w:cs="Times New Roman"/>
                <w:sz w:val="20"/>
                <w:szCs w:val="20"/>
              </w:rPr>
            </w:pPr>
          </w:p>
        </w:tc>
        <w:tc>
          <w:tcPr>
            <w:tcW w:w="997"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Altitude:192m</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Nord: 34°30' 00.1''</w:t>
            </w:r>
          </w:p>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Est: 005°00'24.9''</w:t>
            </w:r>
          </w:p>
        </w:tc>
        <w:tc>
          <w:tcPr>
            <w:tcW w:w="764" w:type="pct"/>
            <w:vAlign w:val="center"/>
          </w:tcPr>
          <w:p w:rsidR="00F47DCC" w:rsidRPr="00B45AD6" w:rsidRDefault="00072165" w:rsidP="004A2A5D">
            <w:pPr>
              <w:spacing w:after="0" w:line="240" w:lineRule="auto"/>
              <w:jc w:val="center"/>
              <w:rPr>
                <w:rFonts w:ascii="Times New Roman" w:hAnsi="Times New Roman" w:cs="Times New Roman"/>
                <w:sz w:val="20"/>
                <w:szCs w:val="20"/>
              </w:rPr>
            </w:pPr>
            <w:r w:rsidRPr="00072165">
              <w:rPr>
                <w:rFonts w:ascii="Times New Roman" w:hAnsi="Times New Roman" w:cs="Times New Roman"/>
                <w:sz w:val="20"/>
                <w:szCs w:val="20"/>
              </w:rPr>
              <w:t>Plus de 3 ans</w:t>
            </w:r>
          </w:p>
        </w:tc>
        <w:tc>
          <w:tcPr>
            <w:tcW w:w="708"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03/11/2008</w:t>
            </w:r>
          </w:p>
        </w:tc>
        <w:tc>
          <w:tcPr>
            <w:tcW w:w="970" w:type="pct"/>
            <w:vAlign w:val="center"/>
          </w:tcPr>
          <w:p w:rsidR="00F47DCC" w:rsidRPr="00B45AD6" w:rsidRDefault="00F47DCC" w:rsidP="004A2A5D">
            <w:pPr>
              <w:spacing w:after="0" w:line="240" w:lineRule="auto"/>
              <w:jc w:val="center"/>
              <w:rPr>
                <w:rFonts w:ascii="Times New Roman" w:hAnsi="Times New Roman" w:cs="Times New Roman"/>
                <w:sz w:val="20"/>
                <w:szCs w:val="20"/>
              </w:rPr>
            </w:pPr>
            <w:r w:rsidRPr="00B45AD6">
              <w:rPr>
                <w:rFonts w:ascii="Times New Roman" w:hAnsi="Times New Roman" w:cs="Times New Roman"/>
                <w:sz w:val="20"/>
                <w:szCs w:val="20"/>
              </w:rPr>
              <w:t>Plus de 30 ans</w:t>
            </w:r>
          </w:p>
        </w:tc>
        <w:tc>
          <w:tcPr>
            <w:tcW w:w="669" w:type="pct"/>
            <w:vAlign w:val="center"/>
          </w:tcPr>
          <w:p w:rsidR="00F47DCC" w:rsidRPr="00B45AD6" w:rsidRDefault="00F47DCC" w:rsidP="004A2A5D">
            <w:pPr>
              <w:spacing w:after="0" w:line="240" w:lineRule="auto"/>
              <w:jc w:val="center"/>
              <w:outlineLvl w:val="0"/>
              <w:rPr>
                <w:rFonts w:ascii="Times New Roman" w:hAnsi="Times New Roman" w:cs="Times New Roman"/>
                <w:sz w:val="20"/>
                <w:szCs w:val="20"/>
              </w:rPr>
            </w:pPr>
            <w:bookmarkStart w:id="942" w:name="_Toc251855039"/>
            <w:bookmarkStart w:id="943" w:name="_Toc251855449"/>
            <w:bookmarkStart w:id="944" w:name="_Toc126492611"/>
            <w:bookmarkStart w:id="945" w:name="_Toc126493026"/>
            <w:bookmarkStart w:id="946" w:name="_Toc126570538"/>
            <w:bookmarkStart w:id="947" w:name="_Toc126571849"/>
            <w:bookmarkStart w:id="948" w:name="_Toc126572630"/>
            <w:bookmarkStart w:id="949" w:name="_Toc126575264"/>
            <w:bookmarkStart w:id="950" w:name="_Toc126575941"/>
            <w:bookmarkStart w:id="951" w:name="_Toc126576816"/>
            <w:bookmarkStart w:id="952" w:name="_Toc252094025"/>
            <w:bookmarkStart w:id="953" w:name="_Toc252365415"/>
            <w:bookmarkStart w:id="954" w:name="_Toc252365686"/>
            <w:bookmarkStart w:id="955" w:name="_Toc252366231"/>
            <w:r w:rsidRPr="00B45AD6">
              <w:rPr>
                <w:rFonts w:ascii="Times New Roman" w:hAnsi="Times New Roman" w:cs="Times New Roman"/>
                <w:sz w:val="20"/>
                <w:szCs w:val="20"/>
              </w:rPr>
              <w:t>P'' 4</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tc>
      </w:tr>
    </w:tbl>
    <w:p w:rsidR="00F47DCC" w:rsidRPr="00585B3C" w:rsidRDefault="00F47DCC" w:rsidP="00F47DCC">
      <w:pPr>
        <w:spacing w:line="360" w:lineRule="auto"/>
        <w:rPr>
          <w:rFonts w:ascii="Times New Roman" w:hAnsi="Times New Roman" w:cs="Times New Roman"/>
          <w:b/>
          <w:bCs/>
          <w:sz w:val="24"/>
          <w:szCs w:val="24"/>
        </w:rPr>
      </w:pPr>
    </w:p>
    <w:p w:rsidR="00F47DCC" w:rsidRPr="00EF6BBF" w:rsidRDefault="00EF6BBF" w:rsidP="004B44D4">
      <w:pPr>
        <w:pStyle w:val="Titre1"/>
        <w:numPr>
          <w:ilvl w:val="0"/>
          <w:numId w:val="47"/>
        </w:numPr>
        <w:spacing w:after="240" w:line="360" w:lineRule="auto"/>
        <w:jc w:val="both"/>
        <w:rPr>
          <w:rFonts w:ascii="Times New Roman" w:hAnsi="Times New Roman"/>
          <w:color w:val="auto"/>
        </w:rPr>
      </w:pPr>
      <w:bookmarkStart w:id="956" w:name="_Toc126571850"/>
      <w:bookmarkStart w:id="957" w:name="_Toc126572631"/>
      <w:bookmarkStart w:id="958" w:name="_Toc126575265"/>
      <w:bookmarkStart w:id="959" w:name="_Toc126575942"/>
      <w:bookmarkStart w:id="960" w:name="_Toc126576817"/>
      <w:bookmarkStart w:id="961" w:name="_Toc252094026"/>
      <w:bookmarkStart w:id="962" w:name="_Toc252365416"/>
      <w:bookmarkStart w:id="963" w:name="_Toc252365687"/>
      <w:bookmarkStart w:id="964" w:name="_Toc252366232"/>
      <w:r w:rsidRPr="00EF6BBF">
        <w:rPr>
          <w:rFonts w:ascii="Times New Roman" w:hAnsi="Times New Roman"/>
          <w:color w:val="auto"/>
        </w:rPr>
        <w:t>Test de germination</w:t>
      </w:r>
      <w:bookmarkEnd w:id="956"/>
      <w:bookmarkEnd w:id="957"/>
      <w:bookmarkEnd w:id="958"/>
      <w:bookmarkEnd w:id="959"/>
      <w:bookmarkEnd w:id="960"/>
      <w:bookmarkEnd w:id="961"/>
      <w:bookmarkEnd w:id="962"/>
      <w:bookmarkEnd w:id="963"/>
      <w:bookmarkEnd w:id="964"/>
    </w:p>
    <w:p w:rsidR="00F47DCC" w:rsidRPr="00585B3C" w:rsidRDefault="00F47DCC" w:rsidP="004B44D4">
      <w:pPr>
        <w:spacing w:before="240" w:line="360" w:lineRule="auto"/>
        <w:ind w:firstLine="284"/>
        <w:jc w:val="both"/>
        <w:rPr>
          <w:rFonts w:ascii="Times New Roman" w:hAnsi="Times New Roman" w:cs="Times New Roman"/>
          <w:sz w:val="24"/>
          <w:szCs w:val="24"/>
        </w:rPr>
      </w:pPr>
      <w:r w:rsidRPr="00585B3C">
        <w:rPr>
          <w:rFonts w:ascii="Times New Roman" w:hAnsi="Times New Roman" w:cs="Times New Roman"/>
          <w:sz w:val="24"/>
          <w:szCs w:val="24"/>
        </w:rPr>
        <w:t>Le test de germination a débuté à la même date pour les trois espèces et dans les mêmes conditions.</w:t>
      </w:r>
    </w:p>
    <w:p w:rsidR="00F47DCC" w:rsidRPr="00585B3C" w:rsidRDefault="00F47DCC" w:rsidP="004B44D4">
      <w:pPr>
        <w:spacing w:before="240" w:line="360" w:lineRule="auto"/>
        <w:ind w:firstLine="284"/>
        <w:jc w:val="both"/>
        <w:rPr>
          <w:rFonts w:ascii="Times New Roman" w:hAnsi="Times New Roman" w:cs="Times New Roman"/>
          <w:sz w:val="24"/>
          <w:szCs w:val="24"/>
        </w:rPr>
      </w:pPr>
      <w:r w:rsidRPr="00585B3C">
        <w:rPr>
          <w:rFonts w:ascii="Times New Roman" w:hAnsi="Times New Roman" w:cs="Times New Roman"/>
          <w:sz w:val="24"/>
          <w:szCs w:val="24"/>
        </w:rPr>
        <w:t xml:space="preserve">Les graines ont été mises à germer dans des boites de pétri, le fond des boites étant tapissé de papier filtre, imbibé d’eau. </w:t>
      </w:r>
    </w:p>
    <w:p w:rsidR="00F47DCC" w:rsidRPr="00585B3C" w:rsidRDefault="00F47DCC" w:rsidP="004B44D4">
      <w:pPr>
        <w:spacing w:before="240" w:line="360" w:lineRule="auto"/>
        <w:ind w:firstLine="284"/>
        <w:jc w:val="both"/>
        <w:rPr>
          <w:rFonts w:ascii="Times New Roman" w:hAnsi="Times New Roman" w:cs="Times New Roman"/>
          <w:sz w:val="24"/>
          <w:szCs w:val="24"/>
        </w:rPr>
      </w:pPr>
      <w:r w:rsidRPr="00DC37C7">
        <w:rPr>
          <w:rFonts w:ascii="Times New Roman" w:hAnsi="Times New Roman" w:cs="Times New Roman"/>
          <w:sz w:val="24"/>
          <w:szCs w:val="24"/>
        </w:rPr>
        <w:t>Les graines au nombre de 100 par boite pour le fenugrec et la nigelle. Par contre</w:t>
      </w:r>
      <w:r>
        <w:rPr>
          <w:rFonts w:ascii="Times New Roman" w:hAnsi="Times New Roman" w:cs="Times New Roman"/>
          <w:sz w:val="24"/>
          <w:szCs w:val="24"/>
        </w:rPr>
        <w:t>,</w:t>
      </w:r>
      <w:r w:rsidRPr="00DC37C7">
        <w:rPr>
          <w:rFonts w:ascii="Times New Roman" w:hAnsi="Times New Roman" w:cs="Times New Roman"/>
          <w:sz w:val="24"/>
          <w:szCs w:val="24"/>
        </w:rPr>
        <w:t xml:space="preserve"> 50 graines par localité ont été déposées par boite chez le carthame, puisque on n’a pas une </w:t>
      </w:r>
      <w:r w:rsidRPr="00987262">
        <w:rPr>
          <w:rFonts w:ascii="Times New Roman" w:hAnsi="Times New Roman" w:cs="Times New Roman"/>
          <w:sz w:val="24"/>
          <w:szCs w:val="24"/>
        </w:rPr>
        <w:t>quantité suffisante</w:t>
      </w:r>
      <w:r w:rsidRPr="00DC37C7">
        <w:rPr>
          <w:rFonts w:ascii="Times New Roman" w:hAnsi="Times New Roman" w:cs="Times New Roman"/>
          <w:sz w:val="24"/>
          <w:szCs w:val="24"/>
        </w:rPr>
        <w:t xml:space="preserve"> de semences (soit trois répétions pour chaque provenance).</w:t>
      </w:r>
      <w:r w:rsidRPr="00585B3C">
        <w:rPr>
          <w:rFonts w:ascii="Times New Roman" w:hAnsi="Times New Roman" w:cs="Times New Roman"/>
          <w:sz w:val="24"/>
          <w:szCs w:val="24"/>
        </w:rPr>
        <w:t xml:space="preserve"> </w:t>
      </w:r>
    </w:p>
    <w:p w:rsidR="00BF60E3" w:rsidRDefault="00F47DCC" w:rsidP="00BF60E3">
      <w:pPr>
        <w:spacing w:before="240" w:line="360" w:lineRule="auto"/>
        <w:ind w:firstLine="284"/>
        <w:jc w:val="both"/>
        <w:rPr>
          <w:rFonts w:ascii="Times New Roman" w:hAnsi="Times New Roman" w:cs="Times New Roman"/>
          <w:sz w:val="24"/>
          <w:szCs w:val="24"/>
        </w:rPr>
      </w:pPr>
      <w:r w:rsidRPr="00585B3C">
        <w:rPr>
          <w:rFonts w:ascii="Times New Roman" w:hAnsi="Times New Roman" w:cs="Times New Roman"/>
          <w:sz w:val="24"/>
          <w:szCs w:val="24"/>
        </w:rPr>
        <w:t xml:space="preserve">Nous avons compté le nombre de graines germées chaque jour, ce qui nous a permis de </w:t>
      </w:r>
      <w:r w:rsidRPr="00DC37C7">
        <w:rPr>
          <w:rFonts w:ascii="Times New Roman" w:hAnsi="Times New Roman" w:cs="Times New Roman"/>
          <w:sz w:val="24"/>
          <w:szCs w:val="24"/>
        </w:rPr>
        <w:t>déterminer</w:t>
      </w:r>
      <w:r>
        <w:rPr>
          <w:rFonts w:ascii="Times New Roman" w:hAnsi="Times New Roman" w:cs="Times New Roman"/>
          <w:sz w:val="24"/>
          <w:szCs w:val="24"/>
        </w:rPr>
        <w:t> :</w:t>
      </w:r>
    </w:p>
    <w:p w:rsidR="00BF60E3" w:rsidRPr="00BF60E3" w:rsidRDefault="00BF60E3" w:rsidP="00BF60E3">
      <w:pPr>
        <w:pStyle w:val="Paragraphedeliste"/>
        <w:numPr>
          <w:ilvl w:val="0"/>
          <w:numId w:val="57"/>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La vitesse de germination journalière : c’est </w:t>
      </w:r>
      <w:r w:rsidRPr="00585B3C">
        <w:rPr>
          <w:rFonts w:ascii="Times New Roman" w:hAnsi="Times New Roman" w:cs="Times New Roman"/>
          <w:sz w:val="24"/>
          <w:szCs w:val="24"/>
        </w:rPr>
        <w:t>le pourcentage cumulé de germination des graines</w:t>
      </w:r>
      <w:r w:rsidRPr="00BF60E3">
        <w:rPr>
          <w:rFonts w:ascii="Times New Roman" w:hAnsi="Times New Roman" w:cs="Times New Roman"/>
          <w:sz w:val="24"/>
          <w:szCs w:val="24"/>
        </w:rPr>
        <w:t xml:space="preserve"> </w:t>
      </w:r>
      <w:r w:rsidR="00101AB3">
        <w:rPr>
          <w:rFonts w:ascii="Times New Roman" w:hAnsi="Times New Roman" w:cs="Times New Roman"/>
          <w:sz w:val="24"/>
          <w:szCs w:val="24"/>
        </w:rPr>
        <w:t xml:space="preserve">divisé </w:t>
      </w:r>
      <w:r w:rsidRPr="00585B3C">
        <w:rPr>
          <w:rFonts w:ascii="Times New Roman" w:hAnsi="Times New Roman" w:cs="Times New Roman"/>
          <w:sz w:val="24"/>
          <w:szCs w:val="24"/>
        </w:rPr>
        <w:t>par le nombre de jours écoulés depuis le semis</w:t>
      </w:r>
      <w:r>
        <w:rPr>
          <w:rFonts w:ascii="Times New Roman" w:hAnsi="Times New Roman" w:cs="Times New Roman"/>
          <w:sz w:val="24"/>
          <w:szCs w:val="24"/>
        </w:rPr>
        <w:t>.</w:t>
      </w:r>
    </w:p>
    <w:p w:rsidR="00F47DCC" w:rsidRPr="00585B3C" w:rsidRDefault="00F47DCC" w:rsidP="004B44D4">
      <w:pPr>
        <w:numPr>
          <w:ilvl w:val="0"/>
          <w:numId w:val="9"/>
        </w:numPr>
        <w:spacing w:after="0" w:line="360" w:lineRule="auto"/>
        <w:jc w:val="both"/>
        <w:outlineLvl w:val="0"/>
        <w:rPr>
          <w:rFonts w:ascii="Times New Roman" w:hAnsi="Times New Roman" w:cs="Times New Roman"/>
          <w:sz w:val="24"/>
          <w:szCs w:val="24"/>
        </w:rPr>
      </w:pPr>
      <w:bookmarkStart w:id="965" w:name="_Toc251855040"/>
      <w:bookmarkStart w:id="966" w:name="_Toc251855450"/>
      <w:bookmarkStart w:id="967" w:name="_Toc126492612"/>
      <w:bookmarkStart w:id="968" w:name="_Toc126493027"/>
      <w:bookmarkStart w:id="969" w:name="_Toc126570539"/>
      <w:bookmarkStart w:id="970" w:name="_Toc126571851"/>
      <w:bookmarkStart w:id="971" w:name="_Toc126572632"/>
      <w:bookmarkStart w:id="972" w:name="_Toc126575266"/>
      <w:bookmarkStart w:id="973" w:name="_Toc126575943"/>
      <w:bookmarkStart w:id="974" w:name="_Toc126576818"/>
      <w:bookmarkStart w:id="975" w:name="_Toc252094027"/>
      <w:bookmarkStart w:id="976" w:name="_Toc252365417"/>
      <w:bookmarkStart w:id="977" w:name="_Toc252365688"/>
      <w:bookmarkStart w:id="978" w:name="_Toc252366233"/>
      <w:r w:rsidRPr="00585B3C">
        <w:rPr>
          <w:rFonts w:ascii="Times New Roman" w:hAnsi="Times New Roman" w:cs="Times New Roman"/>
          <w:sz w:val="24"/>
          <w:szCs w:val="24"/>
        </w:rPr>
        <w:t>La capacité de germination (le pourcentage de germination) : c’est le pourcentage de semences ayant été capable de germer dans des conditions bien définies (NEFFATI</w:t>
      </w:r>
      <w:r>
        <w:rPr>
          <w:rFonts w:ascii="Times New Roman" w:hAnsi="Times New Roman" w:cs="Times New Roman"/>
          <w:sz w:val="24"/>
          <w:szCs w:val="24"/>
        </w:rPr>
        <w:t>, 2008) ;</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F47DCC" w:rsidRPr="00585B3C" w:rsidRDefault="00F47DCC" w:rsidP="004B44D4">
      <w:pPr>
        <w:numPr>
          <w:ilvl w:val="0"/>
          <w:numId w:val="9"/>
        </w:numPr>
        <w:spacing w:after="0" w:line="360" w:lineRule="auto"/>
        <w:jc w:val="both"/>
        <w:outlineLvl w:val="0"/>
        <w:rPr>
          <w:rFonts w:ascii="Times New Roman" w:hAnsi="Times New Roman" w:cs="Times New Roman"/>
          <w:sz w:val="24"/>
          <w:szCs w:val="24"/>
        </w:rPr>
      </w:pPr>
      <w:bookmarkStart w:id="979" w:name="_Toc251855041"/>
      <w:bookmarkStart w:id="980" w:name="_Toc251855451"/>
      <w:bookmarkStart w:id="981" w:name="_Toc126492613"/>
      <w:bookmarkStart w:id="982" w:name="_Toc126493028"/>
      <w:bookmarkStart w:id="983" w:name="_Toc126570540"/>
      <w:bookmarkStart w:id="984" w:name="_Toc126571852"/>
      <w:bookmarkStart w:id="985" w:name="_Toc126572633"/>
      <w:bookmarkStart w:id="986" w:name="_Toc126575267"/>
      <w:bookmarkStart w:id="987" w:name="_Toc126575944"/>
      <w:bookmarkStart w:id="988" w:name="_Toc126576819"/>
      <w:bookmarkStart w:id="989" w:name="_Toc252094028"/>
      <w:bookmarkStart w:id="990" w:name="_Toc252365418"/>
      <w:bookmarkStart w:id="991" w:name="_Toc252365689"/>
      <w:bookmarkStart w:id="992" w:name="_Toc252366234"/>
      <w:r w:rsidRPr="00585B3C">
        <w:rPr>
          <w:rFonts w:ascii="Times New Roman" w:hAnsi="Times New Roman" w:cs="Times New Roman"/>
          <w:sz w:val="24"/>
          <w:szCs w:val="24"/>
        </w:rPr>
        <w:t>La valeur germinative selon la formule de CZABATOR (1962)</w:t>
      </w:r>
      <w:r>
        <w:rPr>
          <w:rFonts w:ascii="Times New Roman" w:hAnsi="Times New Roman" w:cs="Times New Roman"/>
          <w:sz w:val="24"/>
          <w:szCs w:val="24"/>
        </w:rPr>
        <w:t> :</w:t>
      </w:r>
      <w:r w:rsidRPr="00585B3C">
        <w:rPr>
          <w:rFonts w:ascii="Times New Roman" w:hAnsi="Times New Roman" w:cs="Times New Roman"/>
          <w:sz w:val="24"/>
          <w:szCs w:val="24"/>
        </w:rPr>
        <w:t xml:space="preserve"> la valeur germinative est l’un des paramètres qui estime la qualité de semence (WILLAN, 1992)</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rsidR="00F47DCC" w:rsidRPr="00365DD2" w:rsidRDefault="00F47DCC" w:rsidP="004B44D4">
      <w:pPr>
        <w:spacing w:before="240" w:line="360" w:lineRule="auto"/>
        <w:ind w:firstLine="567"/>
        <w:jc w:val="both"/>
        <w:rPr>
          <w:rFonts w:ascii="Times New Roman" w:hAnsi="Times New Roman" w:cs="Times New Roman"/>
          <w:b/>
          <w:bCs/>
          <w:sz w:val="24"/>
          <w:szCs w:val="24"/>
        </w:rPr>
      </w:pPr>
      <w:r w:rsidRPr="00365DD2">
        <w:rPr>
          <w:rFonts w:ascii="Times New Roman" w:hAnsi="Times New Roman" w:cs="Times New Roman"/>
          <w:b/>
          <w:bCs/>
          <w:sz w:val="24"/>
          <w:szCs w:val="24"/>
        </w:rPr>
        <w:t>VG = GJM finale × VC</w:t>
      </w:r>
    </w:p>
    <w:p w:rsidR="00F47DCC" w:rsidRPr="00585B3C" w:rsidRDefault="00F47DCC" w:rsidP="004B44D4">
      <w:pPr>
        <w:numPr>
          <w:ilvl w:val="0"/>
          <w:numId w:val="9"/>
        </w:numPr>
        <w:spacing w:after="0" w:line="360" w:lineRule="auto"/>
        <w:jc w:val="both"/>
        <w:outlineLvl w:val="0"/>
        <w:rPr>
          <w:rFonts w:ascii="Times New Roman" w:hAnsi="Times New Roman" w:cs="Times New Roman"/>
          <w:sz w:val="24"/>
          <w:szCs w:val="24"/>
        </w:rPr>
      </w:pPr>
      <w:bookmarkStart w:id="993" w:name="_Toc251855042"/>
      <w:bookmarkStart w:id="994" w:name="_Toc251855452"/>
      <w:bookmarkStart w:id="995" w:name="_Toc126492614"/>
      <w:bookmarkStart w:id="996" w:name="_Toc126493029"/>
      <w:bookmarkStart w:id="997" w:name="_Toc126570541"/>
      <w:bookmarkStart w:id="998" w:name="_Toc126571853"/>
      <w:bookmarkStart w:id="999" w:name="_Toc126572634"/>
      <w:bookmarkStart w:id="1000" w:name="_Toc126575268"/>
      <w:bookmarkStart w:id="1001" w:name="_Toc126575945"/>
      <w:bookmarkStart w:id="1002" w:name="_Toc126576820"/>
      <w:bookmarkStart w:id="1003" w:name="_Toc252094029"/>
      <w:bookmarkStart w:id="1004" w:name="_Toc252365419"/>
      <w:bookmarkStart w:id="1005" w:name="_Toc252365690"/>
      <w:bookmarkStart w:id="1006" w:name="_Toc252366235"/>
      <w:r>
        <w:rPr>
          <w:rFonts w:ascii="Times New Roman" w:hAnsi="Times New Roman" w:cs="Times New Roman"/>
          <w:sz w:val="24"/>
          <w:szCs w:val="24"/>
        </w:rPr>
        <w:t>VG = La valeur germinative ;</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rsidR="00F47DCC" w:rsidRPr="00585B3C" w:rsidRDefault="00F47DCC" w:rsidP="004B44D4">
      <w:pPr>
        <w:numPr>
          <w:ilvl w:val="0"/>
          <w:numId w:val="9"/>
        </w:numPr>
        <w:spacing w:after="0" w:line="360" w:lineRule="auto"/>
        <w:jc w:val="both"/>
        <w:outlineLvl w:val="0"/>
        <w:rPr>
          <w:rFonts w:ascii="Times New Roman" w:hAnsi="Times New Roman" w:cs="Times New Roman"/>
          <w:sz w:val="24"/>
          <w:szCs w:val="24"/>
        </w:rPr>
      </w:pPr>
      <w:bookmarkStart w:id="1007" w:name="_Toc251855043"/>
      <w:bookmarkStart w:id="1008" w:name="_Toc251855453"/>
      <w:bookmarkStart w:id="1009" w:name="_Toc126492615"/>
      <w:bookmarkStart w:id="1010" w:name="_Toc126493030"/>
      <w:bookmarkStart w:id="1011" w:name="_Toc126570542"/>
      <w:bookmarkStart w:id="1012" w:name="_Toc126571854"/>
      <w:bookmarkStart w:id="1013" w:name="_Toc126572635"/>
      <w:bookmarkStart w:id="1014" w:name="_Toc126575269"/>
      <w:bookmarkStart w:id="1015" w:name="_Toc126575946"/>
      <w:bookmarkStart w:id="1016" w:name="_Toc126576821"/>
      <w:bookmarkStart w:id="1017" w:name="_Toc252094030"/>
      <w:bookmarkStart w:id="1018" w:name="_Toc252365420"/>
      <w:bookmarkStart w:id="1019" w:name="_Toc252365691"/>
      <w:bookmarkStart w:id="1020" w:name="_Toc252366236"/>
      <w:r w:rsidRPr="00585B3C">
        <w:rPr>
          <w:rFonts w:ascii="Times New Roman" w:hAnsi="Times New Roman" w:cs="Times New Roman"/>
          <w:sz w:val="24"/>
          <w:szCs w:val="24"/>
        </w:rPr>
        <w:lastRenderedPageBreak/>
        <w:t>GJM finale = la germination journalière moyenne (finale), calculée en divisant le pourcentage cumulé de germination des graines pleines à la fin de l'essai par le nombre de jours entre le semis et la fin de l'essai</w:t>
      </w:r>
      <w:r>
        <w:rPr>
          <w:rFonts w:ascii="Times New Roman" w:hAnsi="Times New Roman" w:cs="Times New Roman"/>
          <w:sz w:val="24"/>
          <w:szCs w:val="24"/>
        </w:rPr>
        <w:t> ;</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F47DCC" w:rsidRPr="000756AF" w:rsidRDefault="00F47DCC" w:rsidP="002D4750">
      <w:pPr>
        <w:numPr>
          <w:ilvl w:val="0"/>
          <w:numId w:val="9"/>
        </w:numPr>
        <w:spacing w:after="0" w:line="360" w:lineRule="auto"/>
        <w:jc w:val="both"/>
        <w:outlineLvl w:val="0"/>
        <w:rPr>
          <w:rFonts w:ascii="Times New Roman" w:hAnsi="Times New Roman" w:cs="Times New Roman"/>
          <w:sz w:val="24"/>
          <w:szCs w:val="24"/>
        </w:rPr>
      </w:pPr>
      <w:bookmarkStart w:id="1021" w:name="_Toc251855044"/>
      <w:bookmarkStart w:id="1022" w:name="_Toc251855454"/>
      <w:bookmarkStart w:id="1023" w:name="_Toc126492616"/>
      <w:bookmarkStart w:id="1024" w:name="_Toc126493031"/>
      <w:bookmarkStart w:id="1025" w:name="_Toc126570543"/>
      <w:bookmarkStart w:id="1026" w:name="_Toc126571855"/>
      <w:bookmarkStart w:id="1027" w:name="_Toc126572636"/>
      <w:bookmarkStart w:id="1028" w:name="_Toc126575270"/>
      <w:bookmarkStart w:id="1029" w:name="_Toc126575947"/>
      <w:bookmarkStart w:id="1030" w:name="_Toc126576822"/>
      <w:bookmarkStart w:id="1031" w:name="_Toc252094031"/>
      <w:bookmarkStart w:id="1032" w:name="_Toc252365421"/>
      <w:bookmarkStart w:id="1033" w:name="_Toc252365692"/>
      <w:bookmarkStart w:id="1034" w:name="_Toc252366237"/>
      <w:r w:rsidRPr="00585B3C">
        <w:rPr>
          <w:rFonts w:ascii="Times New Roman" w:hAnsi="Times New Roman" w:cs="Times New Roman"/>
          <w:sz w:val="24"/>
          <w:szCs w:val="24"/>
        </w:rPr>
        <w:t>VC = la valeur de crête, qui correspond à la germination journalière moyenne maximale (pourcentage cumulé de germination des graines pleines divisé par le nombre de jours écoulés depuis le semis = la vitesse de germination journalière maximale).</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rsidR="00F47DCC" w:rsidRPr="00EF6BBF" w:rsidRDefault="00EF6BBF" w:rsidP="004B44D4">
      <w:pPr>
        <w:pStyle w:val="Titre1"/>
        <w:numPr>
          <w:ilvl w:val="0"/>
          <w:numId w:val="47"/>
        </w:numPr>
        <w:spacing w:after="240" w:line="360" w:lineRule="auto"/>
        <w:jc w:val="both"/>
        <w:rPr>
          <w:rFonts w:ascii="Times New Roman" w:hAnsi="Times New Roman"/>
          <w:color w:val="auto"/>
        </w:rPr>
      </w:pPr>
      <w:bookmarkStart w:id="1035" w:name="_Toc126571856"/>
      <w:bookmarkStart w:id="1036" w:name="_Toc126572637"/>
      <w:bookmarkStart w:id="1037" w:name="_Toc126575271"/>
      <w:bookmarkStart w:id="1038" w:name="_Toc126575948"/>
      <w:bookmarkStart w:id="1039" w:name="_Toc126576823"/>
      <w:bookmarkStart w:id="1040" w:name="_Toc252094032"/>
      <w:bookmarkStart w:id="1041" w:name="_Toc252365422"/>
      <w:bookmarkStart w:id="1042" w:name="_Toc252365693"/>
      <w:bookmarkStart w:id="1043" w:name="_Toc252366238"/>
      <w:r w:rsidRPr="00EF6BBF">
        <w:rPr>
          <w:rFonts w:ascii="Times New Roman" w:hAnsi="Times New Roman"/>
          <w:color w:val="auto"/>
        </w:rPr>
        <w:t>Mise en place et conduite de l'essai</w:t>
      </w:r>
      <w:bookmarkEnd w:id="1035"/>
      <w:bookmarkEnd w:id="1036"/>
      <w:bookmarkEnd w:id="1037"/>
      <w:bookmarkEnd w:id="1038"/>
      <w:bookmarkEnd w:id="1039"/>
      <w:bookmarkEnd w:id="1040"/>
      <w:bookmarkEnd w:id="1041"/>
      <w:bookmarkEnd w:id="1042"/>
      <w:bookmarkEnd w:id="1043"/>
      <w:r w:rsidRPr="00EF6BBF">
        <w:rPr>
          <w:rFonts w:ascii="Times New Roman" w:hAnsi="Times New Roman"/>
          <w:color w:val="auto"/>
        </w:rPr>
        <w:t xml:space="preserve"> </w:t>
      </w:r>
    </w:p>
    <w:p w:rsidR="00F47DCC" w:rsidRPr="00D31B7A" w:rsidRDefault="00F47DCC" w:rsidP="004B44D4">
      <w:pPr>
        <w:pStyle w:val="Paragraphedeliste"/>
        <w:numPr>
          <w:ilvl w:val="0"/>
          <w:numId w:val="15"/>
        </w:numPr>
        <w:spacing w:before="240" w:line="360" w:lineRule="auto"/>
        <w:jc w:val="both"/>
        <w:rPr>
          <w:rFonts w:ascii="Times New Roman" w:hAnsi="Times New Roman" w:cs="Times New Roman"/>
          <w:b/>
          <w:bCs/>
          <w:sz w:val="24"/>
          <w:szCs w:val="24"/>
        </w:rPr>
      </w:pPr>
      <w:r w:rsidRPr="00D31B7A">
        <w:rPr>
          <w:rFonts w:ascii="Times New Roman" w:hAnsi="Times New Roman" w:cs="Times New Roman"/>
          <w:b/>
          <w:bCs/>
          <w:sz w:val="24"/>
          <w:szCs w:val="24"/>
        </w:rPr>
        <w:t>Dispositif expérimental.</w:t>
      </w:r>
    </w:p>
    <w:p w:rsidR="00F47DCC" w:rsidRPr="00987262" w:rsidRDefault="00F47DCC" w:rsidP="004B44D4">
      <w:pPr>
        <w:spacing w:before="240" w:line="360" w:lineRule="auto"/>
        <w:ind w:firstLine="284"/>
        <w:jc w:val="both"/>
        <w:rPr>
          <w:rFonts w:ascii="Times New Roman" w:hAnsi="Times New Roman" w:cs="Times New Roman"/>
          <w:sz w:val="24"/>
          <w:szCs w:val="24"/>
        </w:rPr>
      </w:pPr>
      <w:r w:rsidRPr="00987262">
        <w:rPr>
          <w:rFonts w:ascii="Times New Roman" w:hAnsi="Times New Roman" w:cs="Times New Roman"/>
          <w:sz w:val="24"/>
          <w:szCs w:val="24"/>
        </w:rPr>
        <w:t xml:space="preserve">L'essai a été mené selon un dispositif en bloc aléatoire qui comporte un facteur étudié (les populations) et un facteur contrôlé (bloc). L’écartement entre les blocs est de 1.5m et entre les traitements </w:t>
      </w:r>
      <w:smartTag w:uri="urn:schemas-microsoft-com:office:smarttags" w:element="metricconverter">
        <w:smartTagPr>
          <w:attr w:name="ProductID" w:val="50 cm"/>
        </w:smartTagPr>
        <w:smartTag w:uri="urn:schemas-microsoft-com:office:smarttags" w:element="metricconverter">
          <w:smartTagPr>
            <w:attr w:name="ProductID" w:val="50 cm"/>
          </w:smartTagPr>
          <w:r w:rsidRPr="00987262">
            <w:rPr>
              <w:rFonts w:ascii="Times New Roman" w:hAnsi="Times New Roman" w:cs="Times New Roman"/>
              <w:sz w:val="24"/>
              <w:szCs w:val="24"/>
            </w:rPr>
            <w:t>50 cm</w:t>
          </w:r>
        </w:smartTag>
        <w:r w:rsidRPr="00987262">
          <w:rPr>
            <w:rFonts w:ascii="Times New Roman" w:hAnsi="Times New Roman" w:cs="Times New Roman"/>
            <w:sz w:val="24"/>
            <w:szCs w:val="24"/>
          </w:rPr>
          <w:t>.</w:t>
        </w:r>
      </w:smartTag>
    </w:p>
    <w:p w:rsidR="00F47DCC" w:rsidRDefault="00F47DCC" w:rsidP="004B44D4">
      <w:pPr>
        <w:spacing w:before="240" w:line="360" w:lineRule="auto"/>
        <w:ind w:firstLine="284"/>
        <w:jc w:val="both"/>
        <w:rPr>
          <w:rFonts w:ascii="Times New Roman" w:hAnsi="Times New Roman" w:cs="Times New Roman"/>
          <w:sz w:val="24"/>
          <w:szCs w:val="24"/>
        </w:rPr>
      </w:pPr>
      <w:r w:rsidRPr="00987262">
        <w:rPr>
          <w:rFonts w:ascii="Times New Roman" w:hAnsi="Times New Roman" w:cs="Times New Roman"/>
          <w:sz w:val="24"/>
          <w:szCs w:val="24"/>
        </w:rPr>
        <w:t xml:space="preserve">Les 4 blocs ont été divisés en 14 parcelles élémentaires de </w:t>
      </w:r>
      <w:smartTag w:uri="urn:schemas-microsoft-com:office:smarttags" w:element="metricconverter">
        <w:smartTagPr>
          <w:attr w:name="ProductID" w:val="2 m"/>
        </w:smartTagPr>
        <w:r w:rsidRPr="00987262">
          <w:rPr>
            <w:rFonts w:ascii="Times New Roman" w:hAnsi="Times New Roman" w:cs="Times New Roman"/>
            <w:sz w:val="24"/>
            <w:szCs w:val="24"/>
          </w:rPr>
          <w:t>2 m</w:t>
        </w:r>
      </w:smartTag>
      <w:r w:rsidRPr="00987262">
        <w:rPr>
          <w:rFonts w:ascii="Times New Roman" w:hAnsi="Times New Roman" w:cs="Times New Roman"/>
          <w:sz w:val="24"/>
          <w:szCs w:val="24"/>
        </w:rPr>
        <w:t xml:space="preserve"> sur </w:t>
      </w:r>
      <w:smartTag w:uri="urn:schemas-microsoft-com:office:smarttags" w:element="metricconverter">
        <w:smartTagPr>
          <w:attr w:name="ProductID" w:val="2 m"/>
        </w:smartTagPr>
        <w:r w:rsidRPr="00987262">
          <w:rPr>
            <w:rFonts w:ascii="Times New Roman" w:hAnsi="Times New Roman" w:cs="Times New Roman"/>
            <w:sz w:val="24"/>
            <w:szCs w:val="24"/>
          </w:rPr>
          <w:t>2 m</w:t>
        </w:r>
      </w:smartTag>
      <w:r w:rsidRPr="00987262">
        <w:rPr>
          <w:rFonts w:ascii="Times New Roman" w:hAnsi="Times New Roman" w:cs="Times New Roman"/>
          <w:sz w:val="24"/>
          <w:szCs w:val="24"/>
        </w:rPr>
        <w:t>, d’une surface de 4 m</w:t>
      </w:r>
      <w:r w:rsidR="00713F79">
        <w:rPr>
          <w:rFonts w:ascii="Times New Roman" w:hAnsi="Times New Roman" w:cs="Times New Roman"/>
          <w:sz w:val="24"/>
          <w:szCs w:val="24"/>
          <w:vertAlign w:val="superscript"/>
        </w:rPr>
        <w:t>2</w:t>
      </w:r>
      <w:r w:rsidR="00E9501E">
        <w:rPr>
          <w:rFonts w:ascii="Times New Roman" w:hAnsi="Times New Roman" w:cs="Times New Roman"/>
          <w:sz w:val="24"/>
          <w:szCs w:val="24"/>
          <w:vertAlign w:val="superscript"/>
        </w:rPr>
        <w:t xml:space="preserve"> </w:t>
      </w:r>
      <w:r w:rsidR="00E9501E">
        <w:rPr>
          <w:rFonts w:ascii="Times New Roman" w:hAnsi="Times New Roman" w:cs="Times New Roman"/>
          <w:sz w:val="24"/>
          <w:szCs w:val="24"/>
        </w:rPr>
        <w:t>. Chaque parcelle est divisée en 4 lignes</w:t>
      </w:r>
      <w:r w:rsidR="00713F79">
        <w:rPr>
          <w:rFonts w:ascii="Times New Roman" w:hAnsi="Times New Roman" w:cs="Times New Roman"/>
          <w:sz w:val="24"/>
          <w:szCs w:val="24"/>
          <w:vertAlign w:val="superscript"/>
        </w:rPr>
        <w:t xml:space="preserve"> </w:t>
      </w:r>
      <w:r w:rsidRPr="00987262">
        <w:rPr>
          <w:rFonts w:ascii="Times New Roman" w:hAnsi="Times New Roman" w:cs="Times New Roman"/>
          <w:sz w:val="24"/>
          <w:szCs w:val="24"/>
        </w:rPr>
        <w:t xml:space="preserve"> (Fig. 14). La figure 15 montre une vue générale de la parcelle expérimentale.</w:t>
      </w:r>
    </w:p>
    <w:p w:rsidR="009F3C8B" w:rsidRDefault="009F3C8B" w:rsidP="004B44D4">
      <w:pPr>
        <w:spacing w:before="240" w:line="360" w:lineRule="auto"/>
        <w:ind w:firstLine="284"/>
        <w:jc w:val="both"/>
        <w:rPr>
          <w:rFonts w:ascii="Times New Roman" w:hAnsi="Times New Roman" w:cs="Times New Roman"/>
          <w:sz w:val="24"/>
          <w:szCs w:val="24"/>
        </w:rPr>
      </w:pPr>
    </w:p>
    <w:p w:rsidR="009F3C8B" w:rsidRDefault="009F3C8B" w:rsidP="004B44D4">
      <w:pPr>
        <w:spacing w:before="240" w:line="360" w:lineRule="auto"/>
        <w:ind w:firstLine="284"/>
        <w:jc w:val="both"/>
        <w:rPr>
          <w:rFonts w:ascii="Times New Roman" w:hAnsi="Times New Roman" w:cs="Times New Roman"/>
          <w:sz w:val="24"/>
          <w:szCs w:val="24"/>
        </w:rPr>
      </w:pPr>
    </w:p>
    <w:p w:rsidR="009F3C8B" w:rsidRDefault="009F3C8B" w:rsidP="004B44D4">
      <w:pPr>
        <w:spacing w:before="240" w:line="360" w:lineRule="auto"/>
        <w:ind w:firstLine="284"/>
        <w:jc w:val="both"/>
        <w:rPr>
          <w:rFonts w:ascii="Times New Roman" w:hAnsi="Times New Roman" w:cs="Times New Roman"/>
          <w:sz w:val="24"/>
          <w:szCs w:val="24"/>
        </w:rPr>
      </w:pPr>
    </w:p>
    <w:p w:rsidR="00B16C26" w:rsidRPr="009F3C8B" w:rsidRDefault="00811D6A" w:rsidP="009F3C8B">
      <w:pPr>
        <w:spacing w:before="240" w:line="360" w:lineRule="auto"/>
        <w:ind w:firstLine="284"/>
        <w:jc w:val="both"/>
        <w:rPr>
          <w:rFonts w:ascii="Times New Roman" w:hAnsi="Times New Roman" w:cs="Times New Roman"/>
          <w:sz w:val="24"/>
          <w:szCs w:val="24"/>
        </w:rPr>
      </w:pPr>
      <w:r w:rsidRPr="00811D6A">
        <w:rPr>
          <w:rFonts w:ascii="Times New Roman" w:hAnsi="Times New Roman" w:cs="Times New Roman"/>
          <w:b/>
          <w:bCs/>
          <w:noProof/>
          <w:sz w:val="24"/>
          <w:szCs w:val="24"/>
        </w:rPr>
        <w:lastRenderedPageBreak/>
        <w:pict>
          <v:line id="_x0000_s1031" style="position:absolute;left:0;text-align:left;flip:y;z-index:251663360" from="479.7pt,187.15pt" to="479.7pt,205.15pt">
            <v:stroke startarrow="block" endarrow="block"/>
          </v:line>
        </w:pict>
      </w:r>
      <w:r w:rsidRPr="00811D6A">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486pt;margin-top:271.8pt;width:45pt;height:18pt;z-index:251665408" filled="f" fillcolor="#bbe0e3" stroked="f">
            <v:textbox style="mso-next-textbox:#_x0000_s1033">
              <w:txbxContent>
                <w:p w:rsidR="008F5138" w:rsidRPr="007A63B7" w:rsidRDefault="008F5138" w:rsidP="00F47DCC">
                  <w:pPr>
                    <w:autoSpaceDE w:val="0"/>
                    <w:autoSpaceDN w:val="0"/>
                    <w:adjustRightInd w:val="0"/>
                    <w:rPr>
                      <w:rFonts w:ascii="Times New Roman" w:hAnsi="Times New Roman" w:cs="Times New Roman"/>
                      <w:b/>
                      <w:bCs/>
                      <w:color w:val="000000"/>
                    </w:rPr>
                  </w:pPr>
                  <w:r w:rsidRPr="007A63B7">
                    <w:rPr>
                      <w:rFonts w:ascii="Times New Roman" w:hAnsi="Times New Roman" w:cs="Times New Roman"/>
                      <w:b/>
                      <w:bCs/>
                      <w:color w:val="000000"/>
                    </w:rPr>
                    <w:t>2 m</w:t>
                  </w:r>
                </w:p>
              </w:txbxContent>
            </v:textbox>
          </v:shape>
        </w:pict>
      </w:r>
      <w:r w:rsidRPr="00811D6A">
        <w:rPr>
          <w:rFonts w:ascii="Times New Roman" w:hAnsi="Times New Roman" w:cs="Times New Roman"/>
          <w:b/>
          <w:bCs/>
          <w:noProof/>
          <w:sz w:val="24"/>
          <w:szCs w:val="24"/>
        </w:rPr>
        <w:pict>
          <v:shape id="_x0000_s1032" type="#_x0000_t202" style="position:absolute;left:0;text-align:left;margin-left:447.3pt;margin-top:315pt;width:45pt;height:18pt;z-index:251664384" filled="f" fillcolor="#bbe0e3" stroked="f">
            <v:textbox style="mso-next-textbox:#_x0000_s1032">
              <w:txbxContent>
                <w:p w:rsidR="008F5138" w:rsidRPr="007A63B7" w:rsidRDefault="008F5138" w:rsidP="00F47DCC">
                  <w:pPr>
                    <w:autoSpaceDE w:val="0"/>
                    <w:autoSpaceDN w:val="0"/>
                    <w:adjustRightInd w:val="0"/>
                    <w:rPr>
                      <w:rFonts w:ascii="Times New Roman" w:hAnsi="Times New Roman" w:cs="Times New Roman"/>
                      <w:b/>
                      <w:bCs/>
                      <w:color w:val="000000"/>
                    </w:rPr>
                  </w:pPr>
                  <w:r w:rsidRPr="007A63B7">
                    <w:rPr>
                      <w:rFonts w:ascii="Times New Roman" w:hAnsi="Times New Roman" w:cs="Times New Roman"/>
                      <w:b/>
                      <w:bCs/>
                      <w:color w:val="000000"/>
                    </w:rPr>
                    <w:t>2 m</w:t>
                  </w:r>
                </w:p>
              </w:txbxContent>
            </v:textbox>
          </v:shape>
        </w:pict>
      </w:r>
      <w:r w:rsidRPr="00811D6A">
        <w:rPr>
          <w:rFonts w:ascii="Times New Roman" w:hAnsi="Times New Roman" w:cs="Times New Roman"/>
          <w:b/>
          <w:bCs/>
          <w:noProof/>
          <w:sz w:val="24"/>
          <w:szCs w:val="24"/>
        </w:rPr>
        <w:pict>
          <v:shape id="_x0000_s1036" type="#_x0000_t202" style="position:absolute;left:0;text-align:left;margin-left:239.5pt;margin-top:315pt;width:45pt;height:18pt;z-index:251668480" filled="f" fillcolor="#bbe0e3" stroked="f">
            <v:textbox style="mso-next-textbox:#_x0000_s1036">
              <w:txbxContent>
                <w:p w:rsidR="008F5138" w:rsidRPr="005B4E0F" w:rsidRDefault="008F5138" w:rsidP="00F47DCC">
                  <w:pPr>
                    <w:autoSpaceDE w:val="0"/>
                    <w:autoSpaceDN w:val="0"/>
                    <w:adjustRightInd w:val="0"/>
                    <w:rPr>
                      <w:rFonts w:asciiTheme="majorBidi" w:hAnsiTheme="majorBidi" w:cstheme="majorBidi"/>
                      <w:b/>
                      <w:bCs/>
                      <w:color w:val="000000"/>
                    </w:rPr>
                  </w:pPr>
                  <w:smartTag w:uri="urn:schemas-microsoft-com:office:smarttags" w:element="metricconverter">
                    <w:smartTagPr>
                      <w:attr w:name="ProductID" w:val="50 cm"/>
                    </w:smartTagPr>
                    <w:r w:rsidRPr="005B4E0F">
                      <w:rPr>
                        <w:rFonts w:asciiTheme="majorBidi" w:hAnsiTheme="majorBidi" w:cstheme="majorBidi"/>
                        <w:b/>
                        <w:bCs/>
                        <w:color w:val="000000"/>
                      </w:rPr>
                      <w:t>50 cm</w:t>
                    </w:r>
                  </w:smartTag>
                </w:p>
              </w:txbxContent>
            </v:textbox>
          </v:shape>
        </w:pict>
      </w:r>
      <w:r w:rsidRPr="00811D6A">
        <w:rPr>
          <w:rFonts w:ascii="Times New Roman" w:hAnsi="Times New Roman" w:cs="Times New Roman"/>
          <w:b/>
          <w:bCs/>
          <w:noProof/>
          <w:sz w:val="24"/>
          <w:szCs w:val="24"/>
        </w:rPr>
        <w:pict>
          <v:line id="_x0000_s1035" style="position:absolute;left:0;text-align:left;z-index:251667456" from="248pt,315pt" to="266pt,315pt">
            <v:stroke startarrow="block" endarrow="block"/>
          </v:line>
        </w:pict>
      </w:r>
      <w:r w:rsidRPr="00811D6A">
        <w:rPr>
          <w:rFonts w:ascii="Times New Roman" w:hAnsi="Times New Roman" w:cs="Times New Roman"/>
          <w:b/>
          <w:bCs/>
          <w:noProof/>
          <w:sz w:val="24"/>
          <w:szCs w:val="24"/>
        </w:rPr>
        <w:pict>
          <v:line id="_x0000_s1030" style="position:absolute;left:0;text-align:left;z-index:251662336" from="486pt,266.35pt" to="486pt,306pt">
            <v:stroke startarrow="block" endarrow="block"/>
          </v:line>
        </w:pict>
      </w:r>
      <w:r w:rsidRPr="00811D6A">
        <w:rPr>
          <w:rFonts w:ascii="Times New Roman" w:hAnsi="Times New Roman" w:cs="Times New Roman"/>
          <w:b/>
          <w:bCs/>
          <w:noProof/>
          <w:sz w:val="24"/>
          <w:szCs w:val="24"/>
        </w:rPr>
        <w:pict>
          <v:shape id="_x0000_s1034" type="#_x0000_t202" style="position:absolute;left:0;text-align:left;margin-left:481.45pt;margin-top:182.65pt;width:45pt;height:18pt;z-index:251666432" filled="f" fillcolor="#bbe0e3" stroked="f">
            <v:textbox style="mso-next-textbox:#_x0000_s1034">
              <w:txbxContent>
                <w:p w:rsidR="008F5138" w:rsidRPr="007A63B7" w:rsidRDefault="008F5138" w:rsidP="00F47DCC">
                  <w:pPr>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1,</w:t>
                  </w:r>
                  <w:r w:rsidRPr="007A63B7">
                    <w:rPr>
                      <w:rFonts w:ascii="Times New Roman" w:hAnsi="Times New Roman" w:cs="Times New Roman"/>
                      <w:b/>
                      <w:bCs/>
                      <w:color w:val="000000"/>
                    </w:rPr>
                    <w:t>5 m</w:t>
                  </w:r>
                </w:p>
              </w:txbxContent>
            </v:textbox>
          </v:shape>
        </w:pict>
      </w:r>
      <w:r w:rsidR="009F3C8B" w:rsidRPr="009F3C8B">
        <w:rPr>
          <w:rFonts w:ascii="Times New Roman" w:hAnsi="Times New Roman" w:cs="Times New Roman"/>
          <w:noProof/>
          <w:sz w:val="24"/>
          <w:szCs w:val="24"/>
        </w:rPr>
        <w:drawing>
          <wp:inline distT="0" distB="0" distL="0" distR="0">
            <wp:extent cx="6179869" cy="4370120"/>
            <wp:effectExtent l="19050" t="0" r="0" b="0"/>
            <wp:docPr id="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6185407" cy="4374036"/>
                    </a:xfrm>
                    <a:prstGeom prst="rect">
                      <a:avLst/>
                    </a:prstGeom>
                    <a:noFill/>
                    <a:ln w="9525">
                      <a:noFill/>
                      <a:miter lim="800000"/>
                      <a:headEnd/>
                      <a:tailEnd/>
                    </a:ln>
                  </pic:spPr>
                </pic:pic>
              </a:graphicData>
            </a:graphic>
          </wp:inline>
        </w:drawing>
      </w:r>
      <w:r w:rsidRPr="00811D6A">
        <w:rPr>
          <w:rFonts w:ascii="Times New Roman" w:hAnsi="Times New Roman" w:cs="Times New Roman"/>
          <w:b/>
          <w:bCs/>
          <w:noProof/>
          <w:sz w:val="24"/>
          <w:szCs w:val="24"/>
        </w:rPr>
        <w:pict>
          <v:line id="_x0000_s1029" style="position:absolute;left:0;text-align:left;z-index:251661312;mso-position-horizontal-relative:text;mso-position-vertical-relative:text" from="450pt,315pt" to="477pt,315pt">
            <v:stroke startarrow="block" endarrow="block"/>
          </v:line>
        </w:pict>
      </w:r>
    </w:p>
    <w:p w:rsidR="00F47DCC" w:rsidRPr="009F3C8B" w:rsidRDefault="00B16C26" w:rsidP="009F3C8B">
      <w:pPr>
        <w:pStyle w:val="Lgende"/>
        <w:spacing w:before="240" w:line="360" w:lineRule="auto"/>
        <w:jc w:val="center"/>
        <w:rPr>
          <w:rFonts w:asciiTheme="majorBidi" w:hAnsiTheme="majorBidi" w:cstheme="majorBidi"/>
          <w:color w:val="auto"/>
          <w:sz w:val="24"/>
          <w:szCs w:val="24"/>
        </w:rPr>
      </w:pPr>
      <w:bookmarkStart w:id="1044" w:name="_Toc252194951"/>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14</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:Schéma du dispositif expérimental de l’essai.</w:t>
      </w:r>
      <w:bookmarkEnd w:id="1044"/>
    </w:p>
    <w:p w:rsidR="00B16C26" w:rsidRDefault="00F47DCC" w:rsidP="004B44D4">
      <w:pPr>
        <w:keepNext/>
        <w:spacing w:after="120" w:line="360" w:lineRule="auto"/>
        <w:jc w:val="center"/>
      </w:pPr>
      <w:r>
        <w:rPr>
          <w:noProof/>
        </w:rPr>
        <w:drawing>
          <wp:inline distT="0" distB="0" distL="0" distR="0">
            <wp:extent cx="5604659" cy="3451141"/>
            <wp:effectExtent l="133350" t="38100" r="53191" b="73109"/>
            <wp:docPr id="24" name="Image 15" descr="DSC0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SC05410"/>
                    <pic:cNvPicPr>
                      <a:picLocks noChangeAspect="1" noChangeArrowheads="1"/>
                    </pic:cNvPicPr>
                  </pic:nvPicPr>
                  <pic:blipFill>
                    <a:blip r:embed="rId56"/>
                    <a:srcRect/>
                    <a:stretch>
                      <a:fillRect/>
                    </a:stretch>
                  </pic:blipFill>
                  <pic:spPr bwMode="auto">
                    <a:xfrm>
                      <a:off x="0" y="0"/>
                      <a:ext cx="5617016" cy="3458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B4E0F" w:rsidRPr="00463B12" w:rsidRDefault="00B16C26" w:rsidP="004B44D4">
      <w:pPr>
        <w:pStyle w:val="Lgende"/>
        <w:spacing w:before="240" w:line="360" w:lineRule="auto"/>
        <w:jc w:val="center"/>
        <w:rPr>
          <w:rFonts w:asciiTheme="majorBidi" w:hAnsiTheme="majorBidi" w:cstheme="majorBidi"/>
          <w:color w:val="auto"/>
          <w:sz w:val="24"/>
          <w:szCs w:val="24"/>
        </w:rPr>
      </w:pPr>
      <w:bookmarkStart w:id="1045" w:name="_Toc252194952"/>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15</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:Vue générale de la parcelle expérimentale.</w:t>
      </w:r>
      <w:bookmarkEnd w:id="1045"/>
    </w:p>
    <w:p w:rsidR="00F47DCC" w:rsidRPr="00585B3C" w:rsidRDefault="00F47DCC" w:rsidP="004B44D4">
      <w:pPr>
        <w:spacing w:line="360" w:lineRule="auto"/>
        <w:jc w:val="center"/>
        <w:outlineLvl w:val="0"/>
        <w:rPr>
          <w:rFonts w:ascii="Times New Roman" w:hAnsi="Times New Roman" w:cs="Times New Roman"/>
          <w:b/>
          <w:bCs/>
          <w:sz w:val="24"/>
          <w:szCs w:val="24"/>
        </w:rPr>
      </w:pPr>
    </w:p>
    <w:p w:rsidR="00F47DCC" w:rsidRPr="00585B3C" w:rsidRDefault="00F47DCC" w:rsidP="004B44D4">
      <w:pPr>
        <w:pStyle w:val="Paragraphedeliste"/>
        <w:numPr>
          <w:ilvl w:val="0"/>
          <w:numId w:val="15"/>
        </w:numPr>
        <w:spacing w:before="240" w:line="360" w:lineRule="auto"/>
        <w:jc w:val="lowKashida"/>
        <w:rPr>
          <w:rFonts w:ascii="Times New Roman" w:hAnsi="Times New Roman" w:cs="Times New Roman"/>
          <w:b/>
          <w:bCs/>
          <w:sz w:val="24"/>
          <w:szCs w:val="24"/>
        </w:rPr>
      </w:pPr>
      <w:r w:rsidRPr="00585B3C">
        <w:rPr>
          <w:rFonts w:ascii="Times New Roman" w:hAnsi="Times New Roman" w:cs="Times New Roman"/>
          <w:b/>
          <w:bCs/>
          <w:sz w:val="24"/>
          <w:szCs w:val="24"/>
        </w:rPr>
        <w:t xml:space="preserve"> Précédant cultural</w:t>
      </w:r>
    </w:p>
    <w:p w:rsidR="00F47DCC" w:rsidRPr="00987262" w:rsidRDefault="00EA61D7" w:rsidP="004B44D4">
      <w:pPr>
        <w:spacing w:before="240" w:line="360" w:lineRule="auto"/>
        <w:ind w:firstLine="284"/>
        <w:jc w:val="both"/>
        <w:rPr>
          <w:rFonts w:ascii="Times New Roman" w:hAnsi="Times New Roman" w:cs="Times New Roman"/>
          <w:sz w:val="24"/>
          <w:szCs w:val="24"/>
        </w:rPr>
      </w:pPr>
      <w:r>
        <w:rPr>
          <w:rFonts w:ascii="Times New Roman" w:hAnsi="Times New Roman" w:cs="Times New Roman"/>
          <w:sz w:val="24"/>
          <w:szCs w:val="24"/>
        </w:rPr>
        <w:t>L’essai a été effectué sur</w:t>
      </w:r>
      <w:r w:rsidR="00F47DCC" w:rsidRPr="00987262">
        <w:rPr>
          <w:rFonts w:ascii="Times New Roman" w:hAnsi="Times New Roman" w:cs="Times New Roman"/>
          <w:sz w:val="24"/>
          <w:szCs w:val="24"/>
        </w:rPr>
        <w:t xml:space="preserve"> une parcelle occupée précédemment par une culture d’espèces condimentaires et aromatiques (Carthame, Nigelle, Fenugrec).</w:t>
      </w:r>
    </w:p>
    <w:p w:rsidR="00F47DCC" w:rsidRPr="00987262" w:rsidRDefault="00F47DCC" w:rsidP="004B44D4">
      <w:pPr>
        <w:pStyle w:val="Paragraphedeliste"/>
        <w:numPr>
          <w:ilvl w:val="0"/>
          <w:numId w:val="15"/>
        </w:numPr>
        <w:spacing w:before="240" w:line="360" w:lineRule="auto"/>
        <w:jc w:val="lowKashida"/>
        <w:rPr>
          <w:rFonts w:ascii="Times New Roman" w:hAnsi="Times New Roman" w:cs="Times New Roman"/>
          <w:b/>
          <w:bCs/>
          <w:sz w:val="24"/>
          <w:szCs w:val="24"/>
        </w:rPr>
      </w:pPr>
      <w:r w:rsidRPr="00987262">
        <w:rPr>
          <w:rFonts w:ascii="Times New Roman" w:hAnsi="Times New Roman" w:cs="Times New Roman"/>
          <w:b/>
          <w:bCs/>
          <w:sz w:val="24"/>
          <w:szCs w:val="24"/>
        </w:rPr>
        <w:t xml:space="preserve"> Préparation du sol</w:t>
      </w:r>
    </w:p>
    <w:p w:rsidR="00F47DCC" w:rsidRPr="00585B3C" w:rsidRDefault="00F47DCC" w:rsidP="004B44D4">
      <w:pPr>
        <w:spacing w:before="240" w:line="360" w:lineRule="auto"/>
        <w:ind w:firstLine="284"/>
        <w:jc w:val="both"/>
        <w:rPr>
          <w:rFonts w:ascii="Times New Roman" w:hAnsi="Times New Roman" w:cs="Times New Roman"/>
          <w:sz w:val="24"/>
          <w:szCs w:val="24"/>
        </w:rPr>
      </w:pPr>
      <w:r w:rsidRPr="00987262">
        <w:rPr>
          <w:rFonts w:ascii="Times New Roman" w:hAnsi="Times New Roman" w:cs="Times New Roman"/>
          <w:sz w:val="24"/>
          <w:szCs w:val="24"/>
        </w:rPr>
        <w:t>Le premier labour profon</w:t>
      </w:r>
      <w:r w:rsidR="00EA61D7">
        <w:rPr>
          <w:rFonts w:ascii="Times New Roman" w:hAnsi="Times New Roman" w:cs="Times New Roman"/>
          <w:sz w:val="24"/>
          <w:szCs w:val="24"/>
        </w:rPr>
        <w:t xml:space="preserve">d du sol a été effectué en fin </w:t>
      </w:r>
      <w:r w:rsidR="008F5138">
        <w:rPr>
          <w:rFonts w:ascii="Times New Roman" w:hAnsi="Times New Roman" w:cs="Times New Roman"/>
          <w:sz w:val="24"/>
          <w:szCs w:val="24"/>
        </w:rPr>
        <w:t>S</w:t>
      </w:r>
      <w:r w:rsidRPr="00987262">
        <w:rPr>
          <w:rFonts w:ascii="Times New Roman" w:hAnsi="Times New Roman" w:cs="Times New Roman"/>
          <w:sz w:val="24"/>
          <w:szCs w:val="24"/>
        </w:rPr>
        <w:t>eptembre 2007 à l'aide d'une charrue à soc ; la rep</w:t>
      </w:r>
      <w:r w:rsidR="008F5138">
        <w:rPr>
          <w:rFonts w:ascii="Times New Roman" w:hAnsi="Times New Roman" w:cs="Times New Roman"/>
          <w:sz w:val="24"/>
          <w:szCs w:val="24"/>
        </w:rPr>
        <w:t>rise du labour a eu lieu le 17 O</w:t>
      </w:r>
      <w:r w:rsidRPr="00987262">
        <w:rPr>
          <w:rFonts w:ascii="Times New Roman" w:hAnsi="Times New Roman" w:cs="Times New Roman"/>
          <w:sz w:val="24"/>
          <w:szCs w:val="24"/>
        </w:rPr>
        <w:t>ctobre 2008 à l'aide d'un covercrop, suivie d'un amendement sableux (192 qx /Ha) et de 2 passages de covercrop</w:t>
      </w:r>
      <w:r w:rsidRPr="00585B3C">
        <w:rPr>
          <w:rFonts w:ascii="Times New Roman" w:hAnsi="Times New Roman" w:cs="Times New Roman"/>
          <w:sz w:val="24"/>
          <w:szCs w:val="24"/>
        </w:rPr>
        <w:t xml:space="preserve">. </w:t>
      </w:r>
    </w:p>
    <w:p w:rsidR="00F47DCC" w:rsidRPr="00585B3C" w:rsidRDefault="00F47DCC" w:rsidP="004B44D4">
      <w:pPr>
        <w:pStyle w:val="Paragraphedeliste"/>
        <w:numPr>
          <w:ilvl w:val="0"/>
          <w:numId w:val="15"/>
        </w:numPr>
        <w:spacing w:before="240" w:line="360" w:lineRule="auto"/>
        <w:jc w:val="lowKashida"/>
        <w:rPr>
          <w:rFonts w:ascii="Times New Roman" w:hAnsi="Times New Roman" w:cs="Times New Roman"/>
          <w:b/>
          <w:bCs/>
          <w:sz w:val="24"/>
          <w:szCs w:val="24"/>
        </w:rPr>
      </w:pPr>
      <w:r w:rsidRPr="00585B3C">
        <w:rPr>
          <w:rFonts w:ascii="Times New Roman" w:hAnsi="Times New Roman" w:cs="Times New Roman"/>
          <w:b/>
          <w:bCs/>
          <w:sz w:val="24"/>
          <w:szCs w:val="24"/>
        </w:rPr>
        <w:t>Le semis</w:t>
      </w:r>
    </w:p>
    <w:p w:rsidR="00F47DCC" w:rsidRPr="007F259B" w:rsidRDefault="00F47DCC" w:rsidP="004B44D4">
      <w:pPr>
        <w:spacing w:before="240" w:line="360" w:lineRule="auto"/>
        <w:ind w:firstLine="284"/>
        <w:jc w:val="both"/>
        <w:rPr>
          <w:rFonts w:ascii="Times New Roman" w:hAnsi="Times New Roman" w:cs="Times New Roman"/>
          <w:sz w:val="24"/>
          <w:szCs w:val="24"/>
        </w:rPr>
      </w:pPr>
      <w:r w:rsidRPr="007F259B">
        <w:rPr>
          <w:rFonts w:ascii="Times New Roman" w:hAnsi="Times New Roman" w:cs="Times New Roman"/>
          <w:sz w:val="24"/>
          <w:szCs w:val="24"/>
        </w:rPr>
        <w:t>Le semis manuel a été effectué le 20 Janvier 2009 ; (la date de semis</w:t>
      </w:r>
      <w:r w:rsidR="008F5138">
        <w:rPr>
          <w:rFonts w:ascii="Times New Roman" w:hAnsi="Times New Roman" w:cs="Times New Roman"/>
          <w:sz w:val="24"/>
          <w:szCs w:val="24"/>
        </w:rPr>
        <w:t xml:space="preserve"> est</w:t>
      </w:r>
      <w:r w:rsidRPr="007F259B">
        <w:rPr>
          <w:rFonts w:ascii="Times New Roman" w:hAnsi="Times New Roman" w:cs="Times New Roman"/>
          <w:sz w:val="24"/>
          <w:szCs w:val="24"/>
        </w:rPr>
        <w:t xml:space="preserve"> assez tardive du fait des conditions techniques et climatiques).  Les graines ont été semées en ligne, l’écartement entre les lignes est de </w:t>
      </w:r>
      <w:smartTag w:uri="urn:schemas-microsoft-com:office:smarttags" w:element="metricconverter">
        <w:smartTagPr>
          <w:attr w:name="ProductID" w:val="40 cm"/>
        </w:smartTagPr>
        <w:r w:rsidRPr="007F259B">
          <w:rPr>
            <w:rFonts w:ascii="Times New Roman" w:hAnsi="Times New Roman" w:cs="Times New Roman"/>
            <w:sz w:val="24"/>
            <w:szCs w:val="24"/>
          </w:rPr>
          <w:t>40 cm</w:t>
        </w:r>
      </w:smartTag>
      <w:r w:rsidRPr="007F259B">
        <w:rPr>
          <w:rFonts w:ascii="Times New Roman" w:hAnsi="Times New Roman" w:cs="Times New Roman"/>
          <w:sz w:val="24"/>
          <w:szCs w:val="24"/>
        </w:rPr>
        <w:t>.</w:t>
      </w:r>
    </w:p>
    <w:p w:rsidR="00F47DCC" w:rsidRPr="007F259B" w:rsidRDefault="00F47DCC" w:rsidP="004B44D4">
      <w:pPr>
        <w:pStyle w:val="Paragraphedeliste"/>
        <w:numPr>
          <w:ilvl w:val="0"/>
          <w:numId w:val="16"/>
        </w:numPr>
        <w:spacing w:before="240" w:line="360" w:lineRule="auto"/>
        <w:jc w:val="both"/>
        <w:rPr>
          <w:rFonts w:ascii="Times New Roman" w:hAnsi="Times New Roman" w:cs="Times New Roman"/>
          <w:sz w:val="24"/>
          <w:szCs w:val="24"/>
        </w:rPr>
      </w:pPr>
      <w:r w:rsidRPr="007F259B">
        <w:rPr>
          <w:rFonts w:ascii="Times New Roman" w:hAnsi="Times New Roman" w:cs="Times New Roman"/>
          <w:b/>
          <w:sz w:val="24"/>
          <w:szCs w:val="24"/>
        </w:rPr>
        <w:t xml:space="preserve">Le carthame: </w:t>
      </w:r>
      <w:r w:rsidRPr="006E279C">
        <w:rPr>
          <w:rFonts w:ascii="Times New Roman" w:hAnsi="Times New Roman" w:cs="Times New Roman"/>
          <w:bCs/>
          <w:sz w:val="24"/>
          <w:szCs w:val="24"/>
        </w:rPr>
        <w:t xml:space="preserve">le </w:t>
      </w:r>
      <w:r w:rsidRPr="007F259B">
        <w:rPr>
          <w:rFonts w:ascii="Times New Roman" w:hAnsi="Times New Roman" w:cs="Times New Roman"/>
          <w:sz w:val="24"/>
          <w:szCs w:val="24"/>
        </w:rPr>
        <w:t xml:space="preserve">semis est en poquet de 02 graines à une profondeur de </w:t>
      </w:r>
      <w:smartTag w:uri="urn:schemas-microsoft-com:office:smarttags" w:element="metricconverter">
        <w:smartTagPr>
          <w:attr w:name="ProductID" w:val="03 cm"/>
        </w:smartTagPr>
        <w:r w:rsidRPr="007F259B">
          <w:rPr>
            <w:rFonts w:ascii="Times New Roman" w:hAnsi="Times New Roman" w:cs="Times New Roman"/>
            <w:sz w:val="24"/>
            <w:szCs w:val="24"/>
          </w:rPr>
          <w:t>03 cm</w:t>
        </w:r>
      </w:smartTag>
      <w:r w:rsidRPr="007F259B">
        <w:rPr>
          <w:rFonts w:ascii="Times New Roman" w:hAnsi="Times New Roman" w:cs="Times New Roman"/>
          <w:sz w:val="24"/>
          <w:szCs w:val="24"/>
        </w:rPr>
        <w:t xml:space="preserve">, chaque ligne comporte 06 poquets, et l’espacement est de </w:t>
      </w:r>
      <w:smartTag w:uri="urn:schemas-microsoft-com:office:smarttags" w:element="metricconverter">
        <w:smartTagPr>
          <w:attr w:name="ProductID" w:val="25 cm"/>
        </w:smartTagPr>
        <w:r w:rsidRPr="007F259B">
          <w:rPr>
            <w:rFonts w:ascii="Times New Roman" w:hAnsi="Times New Roman" w:cs="Times New Roman"/>
            <w:sz w:val="24"/>
            <w:szCs w:val="24"/>
          </w:rPr>
          <w:t>25 cm</w:t>
        </w:r>
      </w:smartTag>
      <w:r w:rsidRPr="007F259B">
        <w:rPr>
          <w:rFonts w:ascii="Times New Roman" w:hAnsi="Times New Roman" w:cs="Times New Roman"/>
          <w:sz w:val="24"/>
          <w:szCs w:val="24"/>
        </w:rPr>
        <w:t>.</w:t>
      </w:r>
    </w:p>
    <w:p w:rsidR="00F47DCC" w:rsidRPr="007F259B" w:rsidRDefault="00F47DCC" w:rsidP="005F56BD">
      <w:pPr>
        <w:pStyle w:val="Paragraphedeliste"/>
        <w:numPr>
          <w:ilvl w:val="0"/>
          <w:numId w:val="16"/>
        </w:numPr>
        <w:spacing w:before="240" w:line="360" w:lineRule="auto"/>
        <w:jc w:val="both"/>
        <w:rPr>
          <w:rFonts w:ascii="Times New Roman" w:hAnsi="Times New Roman" w:cs="Times New Roman"/>
          <w:sz w:val="24"/>
          <w:szCs w:val="24"/>
        </w:rPr>
      </w:pPr>
      <w:r w:rsidRPr="007F259B">
        <w:rPr>
          <w:rFonts w:ascii="Times New Roman" w:hAnsi="Times New Roman" w:cs="Times New Roman"/>
          <w:b/>
          <w:sz w:val="24"/>
          <w:szCs w:val="24"/>
        </w:rPr>
        <w:t>Le Fenugrec :</w:t>
      </w:r>
      <w:r w:rsidRPr="007F259B">
        <w:rPr>
          <w:rFonts w:ascii="Times New Roman" w:hAnsi="Times New Roman" w:cs="Times New Roman"/>
          <w:sz w:val="24"/>
          <w:szCs w:val="24"/>
        </w:rPr>
        <w:t xml:space="preserve"> la profondeur </w:t>
      </w:r>
      <w:r w:rsidR="005F56BD">
        <w:rPr>
          <w:rFonts w:ascii="Times New Roman" w:hAnsi="Times New Roman" w:cs="Times New Roman"/>
          <w:sz w:val="24"/>
          <w:szCs w:val="24"/>
        </w:rPr>
        <w:t>du</w:t>
      </w:r>
      <w:r w:rsidRPr="007F259B">
        <w:rPr>
          <w:rFonts w:ascii="Times New Roman" w:hAnsi="Times New Roman" w:cs="Times New Roman"/>
          <w:sz w:val="24"/>
          <w:szCs w:val="24"/>
        </w:rPr>
        <w:t xml:space="preserve"> semis est </w:t>
      </w:r>
      <w:r w:rsidR="008F5138">
        <w:rPr>
          <w:rFonts w:ascii="Times New Roman" w:hAnsi="Times New Roman" w:cs="Times New Roman"/>
          <w:sz w:val="24"/>
          <w:szCs w:val="24"/>
        </w:rPr>
        <w:t xml:space="preserve">de </w:t>
      </w:r>
      <w:r w:rsidRPr="007F259B">
        <w:rPr>
          <w:rFonts w:ascii="Times New Roman" w:hAnsi="Times New Roman" w:cs="Times New Roman"/>
          <w:sz w:val="24"/>
          <w:szCs w:val="24"/>
        </w:rPr>
        <w:t xml:space="preserve">1 à </w:t>
      </w:r>
      <w:smartTag w:uri="urn:schemas-microsoft-com:office:smarttags" w:element="metricconverter">
        <w:smartTagPr>
          <w:attr w:name="ProductID" w:val="3 cm"/>
        </w:smartTagPr>
        <w:r w:rsidRPr="007F259B">
          <w:rPr>
            <w:rFonts w:ascii="Times New Roman" w:hAnsi="Times New Roman" w:cs="Times New Roman"/>
            <w:sz w:val="24"/>
            <w:szCs w:val="24"/>
          </w:rPr>
          <w:t>3 cm</w:t>
        </w:r>
      </w:smartTag>
      <w:r w:rsidRPr="007F259B">
        <w:rPr>
          <w:rFonts w:ascii="Times New Roman" w:hAnsi="Times New Roman" w:cs="Times New Roman"/>
          <w:sz w:val="24"/>
          <w:szCs w:val="24"/>
        </w:rPr>
        <w:t xml:space="preserve"> à raison de 80 graines par ligne d</w:t>
      </w:r>
      <w:r w:rsidR="002B4DB3">
        <w:rPr>
          <w:rFonts w:ascii="Times New Roman" w:hAnsi="Times New Roman" w:cs="Times New Roman"/>
          <w:sz w:val="24"/>
          <w:szCs w:val="24"/>
        </w:rPr>
        <w:t>e 1,</w:t>
      </w:r>
      <w:r w:rsidRPr="007F259B">
        <w:rPr>
          <w:rFonts w:ascii="Times New Roman" w:hAnsi="Times New Roman" w:cs="Times New Roman"/>
          <w:sz w:val="24"/>
          <w:szCs w:val="24"/>
        </w:rPr>
        <w:t>40 cm.</w:t>
      </w:r>
    </w:p>
    <w:p w:rsidR="00F47DCC" w:rsidRPr="007F259B" w:rsidRDefault="00F47DCC" w:rsidP="004B44D4">
      <w:pPr>
        <w:pStyle w:val="Paragraphedeliste"/>
        <w:numPr>
          <w:ilvl w:val="0"/>
          <w:numId w:val="16"/>
        </w:numPr>
        <w:spacing w:before="240" w:line="360" w:lineRule="auto"/>
        <w:jc w:val="both"/>
        <w:rPr>
          <w:rFonts w:ascii="Times New Roman" w:hAnsi="Times New Roman" w:cs="Times New Roman"/>
          <w:sz w:val="24"/>
          <w:szCs w:val="24"/>
        </w:rPr>
      </w:pPr>
      <w:r w:rsidRPr="007F259B">
        <w:rPr>
          <w:rFonts w:ascii="Times New Roman" w:hAnsi="Times New Roman" w:cs="Times New Roman"/>
          <w:b/>
          <w:sz w:val="24"/>
          <w:szCs w:val="24"/>
        </w:rPr>
        <w:t>La Nigelle :</w:t>
      </w:r>
      <w:r w:rsidRPr="007F259B">
        <w:rPr>
          <w:rFonts w:ascii="Times New Roman" w:hAnsi="Times New Roman" w:cs="Times New Roman"/>
          <w:sz w:val="24"/>
          <w:szCs w:val="24"/>
        </w:rPr>
        <w:t xml:space="preserve"> les graines sont préalablement sca</w:t>
      </w:r>
      <w:r w:rsidR="008F5138">
        <w:rPr>
          <w:rFonts w:ascii="Times New Roman" w:hAnsi="Times New Roman" w:cs="Times New Roman"/>
          <w:sz w:val="24"/>
          <w:szCs w:val="24"/>
        </w:rPr>
        <w:t xml:space="preserve">rifiées à l’aide d’un papier  </w:t>
      </w:r>
      <w:r w:rsidRPr="007F259B">
        <w:rPr>
          <w:rFonts w:ascii="Times New Roman" w:hAnsi="Times New Roman" w:cs="Times New Roman"/>
          <w:sz w:val="24"/>
          <w:szCs w:val="24"/>
        </w:rPr>
        <w:t xml:space="preserve">verre. La profondeur de semis est 1 à </w:t>
      </w:r>
      <w:smartTag w:uri="urn:schemas-microsoft-com:office:smarttags" w:element="metricconverter">
        <w:smartTagPr>
          <w:attr w:name="ProductID" w:val="3 cm"/>
        </w:smartTagPr>
        <w:r w:rsidRPr="007F259B">
          <w:rPr>
            <w:rFonts w:ascii="Times New Roman" w:hAnsi="Times New Roman" w:cs="Times New Roman"/>
            <w:sz w:val="24"/>
            <w:szCs w:val="24"/>
          </w:rPr>
          <w:t>3 cm</w:t>
        </w:r>
      </w:smartTag>
      <w:r w:rsidRPr="007F259B">
        <w:rPr>
          <w:rFonts w:ascii="Times New Roman" w:hAnsi="Times New Roman" w:cs="Times New Roman"/>
          <w:sz w:val="24"/>
          <w:szCs w:val="24"/>
        </w:rPr>
        <w:t xml:space="preserve"> à raiso</w:t>
      </w:r>
      <w:r w:rsidR="002B4DB3">
        <w:rPr>
          <w:rFonts w:ascii="Times New Roman" w:hAnsi="Times New Roman" w:cs="Times New Roman"/>
          <w:sz w:val="24"/>
          <w:szCs w:val="24"/>
        </w:rPr>
        <w:t>n de 100 graines par ligne de 1,</w:t>
      </w:r>
      <w:r w:rsidRPr="007F259B">
        <w:rPr>
          <w:rFonts w:ascii="Times New Roman" w:hAnsi="Times New Roman" w:cs="Times New Roman"/>
          <w:sz w:val="24"/>
          <w:szCs w:val="24"/>
        </w:rPr>
        <w:t>40 cm.</w:t>
      </w:r>
    </w:p>
    <w:p w:rsidR="00F47DCC" w:rsidRPr="00B80132" w:rsidRDefault="00F47DCC" w:rsidP="004B44D4">
      <w:pPr>
        <w:pStyle w:val="Paragraphedeliste"/>
        <w:spacing w:before="240" w:line="360" w:lineRule="auto"/>
        <w:jc w:val="both"/>
        <w:rPr>
          <w:rFonts w:ascii="Times New Roman" w:hAnsi="Times New Roman" w:cs="Times New Roman"/>
          <w:sz w:val="24"/>
          <w:szCs w:val="24"/>
        </w:rPr>
      </w:pPr>
    </w:p>
    <w:p w:rsidR="00F47DCC" w:rsidRPr="00585B3C" w:rsidRDefault="00F47DCC" w:rsidP="004B44D4">
      <w:pPr>
        <w:pStyle w:val="Paragraphedeliste"/>
        <w:numPr>
          <w:ilvl w:val="0"/>
          <w:numId w:val="15"/>
        </w:numPr>
        <w:spacing w:before="240" w:line="360" w:lineRule="auto"/>
        <w:jc w:val="lowKashida"/>
        <w:rPr>
          <w:rFonts w:ascii="Times New Roman" w:hAnsi="Times New Roman" w:cs="Times New Roman"/>
          <w:b/>
          <w:bCs/>
          <w:sz w:val="24"/>
          <w:szCs w:val="24"/>
        </w:rPr>
      </w:pPr>
      <w:r w:rsidRPr="00585B3C">
        <w:rPr>
          <w:rFonts w:ascii="Times New Roman" w:hAnsi="Times New Roman" w:cs="Times New Roman"/>
          <w:b/>
          <w:bCs/>
          <w:sz w:val="24"/>
          <w:szCs w:val="24"/>
        </w:rPr>
        <w:t>Déroulement de l’essai </w:t>
      </w:r>
    </w:p>
    <w:p w:rsidR="00F47DCC" w:rsidRPr="00585B3C" w:rsidRDefault="00F47DCC" w:rsidP="004B44D4">
      <w:pPr>
        <w:spacing w:before="240" w:line="360" w:lineRule="auto"/>
        <w:ind w:firstLine="284"/>
        <w:jc w:val="both"/>
        <w:rPr>
          <w:rFonts w:ascii="Times New Roman" w:hAnsi="Times New Roman" w:cs="Times New Roman"/>
          <w:sz w:val="24"/>
          <w:szCs w:val="24"/>
        </w:rPr>
      </w:pPr>
      <w:r w:rsidRPr="00585B3C">
        <w:rPr>
          <w:rFonts w:ascii="Times New Roman" w:hAnsi="Times New Roman" w:cs="Times New Roman"/>
          <w:sz w:val="24"/>
          <w:szCs w:val="24"/>
        </w:rPr>
        <w:t xml:space="preserve">Durant tout le cycle de développement des populations, des attaques de puceron ont été observées sur le fenugrec, les dégâts n’ont été pas </w:t>
      </w:r>
      <w:r w:rsidRPr="00CD0823">
        <w:rPr>
          <w:rFonts w:ascii="Times New Roman" w:hAnsi="Times New Roman" w:cs="Times New Roman"/>
          <w:sz w:val="24"/>
          <w:szCs w:val="24"/>
        </w:rPr>
        <w:t>enregistrés grâce à</w:t>
      </w:r>
      <w:r w:rsidRPr="00585B3C">
        <w:rPr>
          <w:rFonts w:ascii="Times New Roman" w:hAnsi="Times New Roman" w:cs="Times New Roman"/>
          <w:sz w:val="24"/>
          <w:szCs w:val="24"/>
        </w:rPr>
        <w:t xml:space="preserve"> la présence des coccinelles.  </w:t>
      </w:r>
    </w:p>
    <w:p w:rsidR="00F47DCC" w:rsidRPr="00585B3C" w:rsidRDefault="00F47DCC" w:rsidP="004B44D4">
      <w:pPr>
        <w:spacing w:before="240" w:line="360" w:lineRule="auto"/>
        <w:ind w:firstLine="284"/>
        <w:jc w:val="both"/>
        <w:rPr>
          <w:rFonts w:ascii="Times New Roman" w:hAnsi="Times New Roman" w:cs="Times New Roman"/>
          <w:sz w:val="24"/>
          <w:szCs w:val="24"/>
        </w:rPr>
      </w:pPr>
      <w:r>
        <w:rPr>
          <w:rFonts w:ascii="Times New Roman" w:hAnsi="Times New Roman" w:cs="Times New Roman"/>
          <w:sz w:val="24"/>
          <w:szCs w:val="24"/>
        </w:rPr>
        <w:t>Par ailleurs,</w:t>
      </w:r>
      <w:r w:rsidRPr="00585B3C">
        <w:rPr>
          <w:rFonts w:ascii="Times New Roman" w:hAnsi="Times New Roman" w:cs="Times New Roman"/>
          <w:sz w:val="24"/>
          <w:szCs w:val="24"/>
        </w:rPr>
        <w:t xml:space="preserve"> une attaque de mineuse a été observée sur les feuilles du fenugrec (les plants n’ont pas été particulièrement affectés par celle-ci).</w:t>
      </w:r>
    </w:p>
    <w:p w:rsidR="00F47DCC" w:rsidRDefault="00F47DCC" w:rsidP="004B44D4">
      <w:pPr>
        <w:spacing w:before="240" w:line="360" w:lineRule="auto"/>
        <w:ind w:firstLine="284"/>
        <w:jc w:val="both"/>
        <w:rPr>
          <w:rFonts w:ascii="Times New Roman" w:hAnsi="Times New Roman" w:cs="Times New Roman"/>
          <w:sz w:val="24"/>
          <w:szCs w:val="24"/>
        </w:rPr>
      </w:pPr>
      <w:r w:rsidRPr="00585B3C">
        <w:rPr>
          <w:rFonts w:ascii="Times New Roman" w:hAnsi="Times New Roman" w:cs="Times New Roman"/>
          <w:sz w:val="24"/>
          <w:szCs w:val="24"/>
        </w:rPr>
        <w:t xml:space="preserve">Concernant le carthame, </w:t>
      </w:r>
      <w:r>
        <w:rPr>
          <w:rFonts w:ascii="Times New Roman" w:hAnsi="Times New Roman" w:cs="Times New Roman"/>
          <w:sz w:val="24"/>
          <w:szCs w:val="24"/>
        </w:rPr>
        <w:t>l</w:t>
      </w:r>
      <w:r w:rsidR="008F5138">
        <w:rPr>
          <w:rFonts w:ascii="Times New Roman" w:hAnsi="Times New Roman" w:cs="Times New Roman"/>
          <w:sz w:val="24"/>
          <w:szCs w:val="24"/>
        </w:rPr>
        <w:t>es graines sont infectées par l</w:t>
      </w:r>
      <w:r w:rsidRPr="00585B3C">
        <w:rPr>
          <w:rFonts w:ascii="Times New Roman" w:hAnsi="Times New Roman" w:cs="Times New Roman"/>
          <w:sz w:val="24"/>
          <w:szCs w:val="24"/>
        </w:rPr>
        <w:t xml:space="preserve">’alternarise </w:t>
      </w:r>
      <w:r w:rsidRPr="000C09D1">
        <w:rPr>
          <w:rFonts w:ascii="Times New Roman" w:hAnsi="Times New Roman" w:cs="Times New Roman"/>
          <w:i/>
          <w:sz w:val="24"/>
          <w:szCs w:val="24"/>
        </w:rPr>
        <w:t>(Alternaria carthami Chowdburly)</w:t>
      </w:r>
      <w:r w:rsidRPr="00585B3C">
        <w:rPr>
          <w:rFonts w:ascii="Times New Roman" w:hAnsi="Times New Roman" w:cs="Times New Roman"/>
          <w:sz w:val="24"/>
          <w:szCs w:val="24"/>
        </w:rPr>
        <w:t xml:space="preserve"> avec des dégâts remarquables. O</w:t>
      </w:r>
      <w:r w:rsidR="008F5138">
        <w:rPr>
          <w:rFonts w:ascii="Times New Roman" w:hAnsi="Times New Roman" w:cs="Times New Roman"/>
          <w:sz w:val="24"/>
          <w:szCs w:val="24"/>
        </w:rPr>
        <w:t>n a observé aussi l’attaque de c</w:t>
      </w:r>
      <w:r w:rsidRPr="00585B3C">
        <w:rPr>
          <w:rFonts w:ascii="Times New Roman" w:hAnsi="Times New Roman" w:cs="Times New Roman"/>
          <w:sz w:val="24"/>
          <w:szCs w:val="24"/>
        </w:rPr>
        <w:t xml:space="preserve">utworm occidental pâle </w:t>
      </w:r>
      <w:r w:rsidRPr="000C09D1">
        <w:rPr>
          <w:rFonts w:ascii="Times New Roman" w:hAnsi="Times New Roman" w:cs="Times New Roman"/>
          <w:i/>
          <w:sz w:val="24"/>
          <w:szCs w:val="24"/>
        </w:rPr>
        <w:t>(Agrotis orthogonia)</w:t>
      </w:r>
      <w:r>
        <w:rPr>
          <w:rFonts w:ascii="Times New Roman" w:hAnsi="Times New Roman" w:cs="Times New Roman"/>
          <w:sz w:val="24"/>
          <w:szCs w:val="24"/>
        </w:rPr>
        <w:t xml:space="preserve"> </w:t>
      </w:r>
      <w:r w:rsidRPr="00585B3C">
        <w:rPr>
          <w:rFonts w:ascii="Times New Roman" w:hAnsi="Times New Roman" w:cs="Times New Roman"/>
          <w:sz w:val="24"/>
          <w:szCs w:val="24"/>
        </w:rPr>
        <w:t>et</w:t>
      </w:r>
      <w:r w:rsidRPr="000C09D1">
        <w:rPr>
          <w:rFonts w:ascii="Times New Roman" w:hAnsi="Times New Roman" w:cs="Times New Roman"/>
          <w:i/>
          <w:sz w:val="24"/>
          <w:szCs w:val="24"/>
        </w:rPr>
        <w:t xml:space="preserve"> Lygus bugs </w:t>
      </w:r>
      <w:r w:rsidRPr="000C09D1">
        <w:rPr>
          <w:rFonts w:ascii="Times New Roman" w:hAnsi="Times New Roman" w:cs="Times New Roman"/>
          <w:sz w:val="24"/>
          <w:szCs w:val="24"/>
        </w:rPr>
        <w:t>(Fig</w:t>
      </w:r>
      <w:r>
        <w:rPr>
          <w:rFonts w:ascii="Times New Roman" w:hAnsi="Times New Roman" w:cs="Times New Roman"/>
          <w:sz w:val="24"/>
          <w:szCs w:val="24"/>
        </w:rPr>
        <w:t>. 16</w:t>
      </w:r>
      <w:r w:rsidRPr="000C09D1">
        <w:rPr>
          <w:rFonts w:ascii="Times New Roman" w:hAnsi="Times New Roman" w:cs="Times New Roman"/>
          <w:sz w:val="24"/>
          <w:szCs w:val="24"/>
        </w:rPr>
        <w:t>).</w:t>
      </w:r>
    </w:p>
    <w:p w:rsidR="00F47DCC" w:rsidRPr="00CE690D" w:rsidRDefault="00811D6A" w:rsidP="00CE690D">
      <w:pPr>
        <w:keepNext/>
        <w:spacing w:before="240" w:after="120" w:line="360" w:lineRule="auto"/>
        <w:ind w:firstLine="567"/>
        <w:jc w:val="center"/>
      </w:pPr>
      <w:r w:rsidRPr="00811D6A">
        <w:rPr>
          <w:rFonts w:ascii="Times New Roman" w:hAnsi="Times New Roman" w:cs="Times New Roman"/>
          <w:noProof/>
          <w:sz w:val="24"/>
          <w:szCs w:val="24"/>
        </w:rPr>
        <w:lastRenderedPageBreak/>
        <w:pict>
          <v:roundrect id="_x0000_s1038" style="position:absolute;left:0;text-align:left;margin-left:278.25pt;margin-top:149.2pt;width:24.15pt;height:21.2pt;z-index:251670528;mso-width-relative:margin;mso-height-relative:margin" arcsize="10923f" fillcolor="white [3201]" strokecolor="#c2d69b [1942]" strokeweight="1pt">
            <v:fill color2="#d6e3bc [1302]" focusposition="1" focussize="" focus="100%" type="gradient"/>
            <v:shadow on="t" type="perspective" color="#4e6128 [1606]" opacity=".5" offset="1pt" offset2="-3pt"/>
            <v:textbox style="mso-next-textbox:#_x0000_s1038">
              <w:txbxContent>
                <w:p w:rsidR="008F5138" w:rsidRPr="00BF014D" w:rsidRDefault="008F5138" w:rsidP="00F47DCC">
                  <w:pPr>
                    <w:rPr>
                      <w:rFonts w:ascii="Times New Roman" w:hAnsi="Times New Roman" w:cs="Times New Roman"/>
                      <w:sz w:val="20"/>
                      <w:szCs w:val="20"/>
                    </w:rPr>
                  </w:pPr>
                  <w:r w:rsidRPr="00BF014D">
                    <w:rPr>
                      <w:rFonts w:ascii="Times New Roman" w:hAnsi="Times New Roman" w:cs="Times New Roman"/>
                    </w:rPr>
                    <w:t>2</w:t>
                  </w:r>
                </w:p>
              </w:txbxContent>
            </v:textbox>
          </v:roundrect>
        </w:pict>
      </w:r>
      <w:r w:rsidRPr="00811D6A">
        <w:rPr>
          <w:rFonts w:ascii="Times New Roman" w:hAnsi="Times New Roman" w:cs="Times New Roman"/>
          <w:noProof/>
          <w:sz w:val="24"/>
          <w:szCs w:val="24"/>
          <w:lang w:eastAsia="en-US"/>
        </w:rPr>
        <w:pict>
          <v:roundrect id="_x0000_s1037" style="position:absolute;left:0;text-align:left;margin-left:41.2pt;margin-top:151.55pt;width:26.1pt;height:19.65pt;z-index:251669504;mso-width-relative:margin;mso-height-relative:margin" arcsize="10923f" fillcolor="white [3201]" strokecolor="#c2d69b [1942]" strokeweight="1pt">
            <v:fill color2="#d6e3bc [1302]" focusposition="1" focussize="" focus="100%" type="gradient"/>
            <v:shadow on="t" type="perspective" color="#4e6128 [1606]" opacity=".5" offset="1pt" offset2="-3pt"/>
            <v:textbox style="mso-next-textbox:#_x0000_s1037">
              <w:txbxContent>
                <w:p w:rsidR="008F5138" w:rsidRPr="00BF014D" w:rsidRDefault="008F5138" w:rsidP="00F47DCC">
                  <w:pPr>
                    <w:rPr>
                      <w:rFonts w:ascii="Times New Roman" w:hAnsi="Times New Roman" w:cs="Times New Roman"/>
                    </w:rPr>
                  </w:pPr>
                  <w:r w:rsidRPr="00BF014D">
                    <w:rPr>
                      <w:rFonts w:ascii="Times New Roman" w:hAnsi="Times New Roman" w:cs="Times New Roman"/>
                    </w:rPr>
                    <w:t>1</w:t>
                  </w:r>
                </w:p>
              </w:txbxContent>
            </v:textbox>
          </v:roundrect>
        </w:pict>
      </w:r>
      <w:r w:rsidR="00F47DCC">
        <w:rPr>
          <w:noProof/>
        </w:rPr>
        <w:drawing>
          <wp:inline distT="0" distB="0" distL="0" distR="0">
            <wp:extent cx="2927458" cy="2180731"/>
            <wp:effectExtent l="38100" t="0" r="25292" b="638669"/>
            <wp:docPr id="25" name="Image 18" descr="DSC0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SC09827"/>
                    <pic:cNvPicPr>
                      <a:picLocks noChangeAspect="1" noChangeArrowheads="1"/>
                    </pic:cNvPicPr>
                  </pic:nvPicPr>
                  <pic:blipFill>
                    <a:blip r:embed="rId57"/>
                    <a:srcRect/>
                    <a:stretch>
                      <a:fillRect/>
                    </a:stretch>
                  </pic:blipFill>
                  <pic:spPr bwMode="auto">
                    <a:xfrm>
                      <a:off x="0" y="0"/>
                      <a:ext cx="2949855" cy="2197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47DCC">
        <w:rPr>
          <w:noProof/>
        </w:rPr>
        <w:drawing>
          <wp:inline distT="0" distB="0" distL="0" distR="0">
            <wp:extent cx="2879637" cy="2146864"/>
            <wp:effectExtent l="38100" t="0" r="15963" b="653486"/>
            <wp:docPr id="27" name="Image 16" descr="DSC0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SC06368"/>
                    <pic:cNvPicPr>
                      <a:picLocks noChangeAspect="1" noChangeArrowheads="1"/>
                    </pic:cNvPicPr>
                  </pic:nvPicPr>
                  <pic:blipFill>
                    <a:blip r:embed="rId58"/>
                    <a:srcRect/>
                    <a:stretch>
                      <a:fillRect/>
                    </a:stretch>
                  </pic:blipFill>
                  <pic:spPr bwMode="auto">
                    <a:xfrm>
                      <a:off x="0" y="0"/>
                      <a:ext cx="2879637" cy="21468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1046" w:name="_Toc252194953"/>
      <w:r w:rsidR="00B16C26" w:rsidRPr="00CE690D">
        <w:rPr>
          <w:rFonts w:asciiTheme="majorBidi" w:hAnsiTheme="majorBidi" w:cstheme="majorBidi"/>
          <w:b/>
          <w:bCs/>
          <w:sz w:val="24"/>
          <w:szCs w:val="24"/>
        </w:rPr>
        <w:t xml:space="preserve">Fig. </w:t>
      </w:r>
      <w:r w:rsidRPr="00CE690D">
        <w:rPr>
          <w:rFonts w:asciiTheme="majorBidi" w:hAnsiTheme="majorBidi" w:cstheme="majorBidi"/>
          <w:b/>
          <w:bCs/>
          <w:sz w:val="24"/>
          <w:szCs w:val="24"/>
        </w:rPr>
        <w:fldChar w:fldCharType="begin"/>
      </w:r>
      <w:r w:rsidR="00B16C26" w:rsidRPr="00CE690D">
        <w:rPr>
          <w:rFonts w:asciiTheme="majorBidi" w:hAnsiTheme="majorBidi" w:cstheme="majorBidi"/>
          <w:b/>
          <w:bCs/>
          <w:sz w:val="24"/>
          <w:szCs w:val="24"/>
        </w:rPr>
        <w:instrText xml:space="preserve"> SEQ Figure \* ARABIC </w:instrText>
      </w:r>
      <w:r w:rsidRPr="00CE690D">
        <w:rPr>
          <w:rFonts w:asciiTheme="majorBidi" w:hAnsiTheme="majorBidi" w:cstheme="majorBidi"/>
          <w:b/>
          <w:bCs/>
          <w:sz w:val="24"/>
          <w:szCs w:val="24"/>
        </w:rPr>
        <w:fldChar w:fldCharType="separate"/>
      </w:r>
      <w:r w:rsidR="00A860F6">
        <w:rPr>
          <w:rFonts w:asciiTheme="majorBidi" w:hAnsiTheme="majorBidi" w:cstheme="majorBidi"/>
          <w:b/>
          <w:bCs/>
          <w:noProof/>
          <w:sz w:val="24"/>
          <w:szCs w:val="24"/>
        </w:rPr>
        <w:t>16</w:t>
      </w:r>
      <w:r w:rsidRPr="00CE690D">
        <w:rPr>
          <w:rFonts w:asciiTheme="majorBidi" w:hAnsiTheme="majorBidi" w:cstheme="majorBidi"/>
          <w:b/>
          <w:bCs/>
          <w:sz w:val="24"/>
          <w:szCs w:val="24"/>
        </w:rPr>
        <w:fldChar w:fldCharType="end"/>
      </w:r>
      <w:r w:rsidR="00B16C26" w:rsidRPr="00CE690D">
        <w:rPr>
          <w:rFonts w:asciiTheme="majorBidi" w:hAnsiTheme="majorBidi" w:cstheme="majorBidi"/>
          <w:b/>
          <w:bCs/>
          <w:sz w:val="24"/>
          <w:szCs w:val="24"/>
        </w:rPr>
        <w:t xml:space="preserve">:Larve de </w:t>
      </w:r>
      <w:r w:rsidR="00B16C26" w:rsidRPr="00CE690D">
        <w:rPr>
          <w:rFonts w:asciiTheme="majorBidi" w:hAnsiTheme="majorBidi" w:cstheme="majorBidi"/>
          <w:b/>
          <w:bCs/>
          <w:i/>
          <w:iCs/>
          <w:sz w:val="24"/>
          <w:szCs w:val="24"/>
        </w:rPr>
        <w:t>Lygus bugs</w:t>
      </w:r>
      <w:r w:rsidR="00B16C26" w:rsidRPr="00CE690D">
        <w:rPr>
          <w:rFonts w:asciiTheme="majorBidi" w:hAnsiTheme="majorBidi" w:cstheme="majorBidi"/>
          <w:b/>
          <w:bCs/>
          <w:sz w:val="24"/>
          <w:szCs w:val="24"/>
        </w:rPr>
        <w:t xml:space="preserve"> (1) ; Larve de Cutworm occidental pâle (</w:t>
      </w:r>
      <w:r w:rsidR="00B16C26" w:rsidRPr="00CE690D">
        <w:rPr>
          <w:rFonts w:asciiTheme="majorBidi" w:hAnsiTheme="majorBidi" w:cstheme="majorBidi"/>
          <w:b/>
          <w:bCs/>
          <w:i/>
          <w:iCs/>
          <w:sz w:val="24"/>
          <w:szCs w:val="24"/>
        </w:rPr>
        <w:t>Agrotis orthogonia</w:t>
      </w:r>
      <w:r w:rsidR="00B16C26" w:rsidRPr="00CE690D">
        <w:rPr>
          <w:rFonts w:asciiTheme="majorBidi" w:hAnsiTheme="majorBidi" w:cstheme="majorBidi"/>
          <w:b/>
          <w:bCs/>
          <w:sz w:val="24"/>
          <w:szCs w:val="24"/>
        </w:rPr>
        <w:t>)  (2)</w:t>
      </w:r>
      <w:bookmarkEnd w:id="1046"/>
      <w:r w:rsidR="008F5138" w:rsidRPr="00CE690D">
        <w:rPr>
          <w:rFonts w:asciiTheme="majorBidi" w:hAnsiTheme="majorBidi" w:cstheme="majorBidi"/>
          <w:b/>
          <w:bCs/>
          <w:sz w:val="24"/>
          <w:szCs w:val="24"/>
        </w:rPr>
        <w:t>.</w:t>
      </w:r>
      <w:r w:rsidR="008F5138">
        <w:rPr>
          <w:rFonts w:asciiTheme="majorBidi" w:hAnsiTheme="majorBidi" w:cstheme="majorBidi"/>
          <w:b/>
          <w:bCs/>
          <w:sz w:val="24"/>
          <w:szCs w:val="24"/>
        </w:rPr>
        <w:t xml:space="preserve"> (</w:t>
      </w:r>
      <w:r w:rsidR="00CE690D">
        <w:rPr>
          <w:rFonts w:asciiTheme="majorBidi" w:hAnsiTheme="majorBidi" w:cstheme="majorBidi"/>
          <w:b/>
          <w:bCs/>
          <w:sz w:val="24"/>
          <w:szCs w:val="24"/>
        </w:rPr>
        <w:t>image d’origine).</w:t>
      </w:r>
    </w:p>
    <w:p w:rsidR="00F47DCC" w:rsidRPr="007D6F15" w:rsidRDefault="00F47DCC" w:rsidP="004B44D4">
      <w:pPr>
        <w:tabs>
          <w:tab w:val="center" w:pos="4818"/>
        </w:tabs>
        <w:spacing w:line="360" w:lineRule="auto"/>
        <w:rPr>
          <w:rFonts w:ascii="Times New Roman" w:hAnsi="Times New Roman" w:cs="Times New Roman"/>
          <w:b/>
          <w:bCs/>
          <w:sz w:val="24"/>
          <w:szCs w:val="24"/>
        </w:rPr>
      </w:pPr>
    </w:p>
    <w:p w:rsidR="00F47DCC" w:rsidRPr="00CD0823" w:rsidRDefault="00F47DCC" w:rsidP="004B44D4">
      <w:pPr>
        <w:pStyle w:val="Paragraphedeliste"/>
        <w:numPr>
          <w:ilvl w:val="0"/>
          <w:numId w:val="12"/>
        </w:numPr>
        <w:spacing w:before="240" w:line="360" w:lineRule="auto"/>
        <w:jc w:val="both"/>
        <w:rPr>
          <w:rFonts w:ascii="Times New Roman" w:hAnsi="Times New Roman" w:cs="Times New Roman"/>
          <w:sz w:val="24"/>
          <w:szCs w:val="24"/>
        </w:rPr>
      </w:pPr>
      <w:r w:rsidRPr="000C09D1">
        <w:rPr>
          <w:rFonts w:ascii="Times New Roman" w:hAnsi="Times New Roman" w:cs="Times New Roman"/>
          <w:sz w:val="24"/>
          <w:szCs w:val="24"/>
        </w:rPr>
        <w:t xml:space="preserve">L’irrigation est </w:t>
      </w:r>
      <w:r w:rsidRPr="00CD0823">
        <w:rPr>
          <w:rFonts w:ascii="Times New Roman" w:hAnsi="Times New Roman" w:cs="Times New Roman"/>
          <w:sz w:val="24"/>
          <w:szCs w:val="24"/>
        </w:rPr>
        <w:t xml:space="preserve">réalisée par un système localisé. Elle a été nécessaire chaque semaine durant le mois </w:t>
      </w:r>
      <w:r w:rsidR="00CE690D">
        <w:rPr>
          <w:rFonts w:ascii="Times New Roman" w:hAnsi="Times New Roman" w:cs="Times New Roman"/>
          <w:sz w:val="24"/>
          <w:szCs w:val="24"/>
        </w:rPr>
        <w:t xml:space="preserve">de </w:t>
      </w:r>
      <w:r w:rsidR="008F5138">
        <w:rPr>
          <w:rFonts w:ascii="Times New Roman" w:hAnsi="Times New Roman" w:cs="Times New Roman"/>
          <w:sz w:val="24"/>
          <w:szCs w:val="24"/>
        </w:rPr>
        <w:t>Février et M</w:t>
      </w:r>
      <w:r w:rsidRPr="00CD0823">
        <w:rPr>
          <w:rFonts w:ascii="Times New Roman" w:hAnsi="Times New Roman" w:cs="Times New Roman"/>
          <w:sz w:val="24"/>
          <w:szCs w:val="24"/>
        </w:rPr>
        <w:t xml:space="preserve">ars et tous les 3 à 4 jours durant les mois </w:t>
      </w:r>
      <w:r w:rsidR="00CE690D">
        <w:rPr>
          <w:rFonts w:ascii="Times New Roman" w:hAnsi="Times New Roman" w:cs="Times New Roman"/>
          <w:sz w:val="24"/>
          <w:szCs w:val="24"/>
        </w:rPr>
        <w:t xml:space="preserve">d’ </w:t>
      </w:r>
      <w:r w:rsidR="008F5138">
        <w:rPr>
          <w:rFonts w:ascii="Times New Roman" w:hAnsi="Times New Roman" w:cs="Times New Roman"/>
          <w:sz w:val="24"/>
          <w:szCs w:val="24"/>
        </w:rPr>
        <w:t>Avril, Mai et J</w:t>
      </w:r>
      <w:r w:rsidRPr="00CD0823">
        <w:rPr>
          <w:rFonts w:ascii="Times New Roman" w:hAnsi="Times New Roman" w:cs="Times New Roman"/>
          <w:sz w:val="24"/>
          <w:szCs w:val="24"/>
        </w:rPr>
        <w:t xml:space="preserve">uin ;  </w:t>
      </w:r>
    </w:p>
    <w:p w:rsidR="00F47DCC" w:rsidRPr="00CD0823" w:rsidRDefault="00F47DCC" w:rsidP="004B44D4">
      <w:pPr>
        <w:pStyle w:val="Paragraphedeliste"/>
        <w:numPr>
          <w:ilvl w:val="0"/>
          <w:numId w:val="12"/>
        </w:numPr>
        <w:spacing w:before="240" w:line="360" w:lineRule="auto"/>
        <w:jc w:val="both"/>
        <w:rPr>
          <w:rFonts w:ascii="Times New Roman" w:hAnsi="Times New Roman" w:cs="Times New Roman"/>
          <w:sz w:val="24"/>
          <w:szCs w:val="24"/>
        </w:rPr>
      </w:pPr>
      <w:r w:rsidRPr="00CD0823">
        <w:rPr>
          <w:rFonts w:ascii="Times New Roman" w:hAnsi="Times New Roman" w:cs="Times New Roman"/>
          <w:sz w:val="24"/>
          <w:szCs w:val="24"/>
        </w:rPr>
        <w:t>On passe régulièrement sur le site d’essai pour faire le désherbage manuel des mauvaises herbes ;</w:t>
      </w:r>
    </w:p>
    <w:p w:rsidR="00F47DCC" w:rsidRPr="00195150" w:rsidRDefault="00F47DCC" w:rsidP="004B44D4">
      <w:pPr>
        <w:pStyle w:val="Paragraphedeliste"/>
        <w:numPr>
          <w:ilvl w:val="0"/>
          <w:numId w:val="12"/>
        </w:numPr>
        <w:spacing w:before="240" w:line="360" w:lineRule="auto"/>
        <w:jc w:val="both"/>
        <w:rPr>
          <w:rFonts w:ascii="Times New Roman" w:hAnsi="Times New Roman" w:cs="Times New Roman"/>
          <w:sz w:val="24"/>
          <w:szCs w:val="24"/>
        </w:rPr>
      </w:pPr>
      <w:r w:rsidRPr="00CD0823">
        <w:rPr>
          <w:rFonts w:ascii="Times New Roman" w:hAnsi="Times New Roman" w:cs="Times New Roman"/>
          <w:sz w:val="24"/>
          <w:szCs w:val="24"/>
        </w:rPr>
        <w:t>Le démariage du carthame a été effectué le 29-03-2009, pour ne laisser qu’une plante par poquet.</w:t>
      </w:r>
    </w:p>
    <w:p w:rsidR="00F47DCC" w:rsidRPr="00EF6BBF" w:rsidRDefault="00BB43E6" w:rsidP="004B44D4">
      <w:pPr>
        <w:pStyle w:val="Titre1"/>
        <w:numPr>
          <w:ilvl w:val="0"/>
          <w:numId w:val="47"/>
        </w:numPr>
        <w:spacing w:after="240" w:line="360" w:lineRule="auto"/>
        <w:jc w:val="both"/>
        <w:rPr>
          <w:rFonts w:ascii="Times New Roman" w:hAnsi="Times New Roman"/>
          <w:color w:val="auto"/>
        </w:rPr>
      </w:pPr>
      <w:bookmarkStart w:id="1047" w:name="_Toc126571857"/>
      <w:bookmarkStart w:id="1048" w:name="_Toc126572638"/>
      <w:bookmarkStart w:id="1049" w:name="_Toc126575272"/>
      <w:bookmarkStart w:id="1050" w:name="_Toc126575949"/>
      <w:bookmarkStart w:id="1051" w:name="_Toc126576824"/>
      <w:bookmarkStart w:id="1052" w:name="_Toc252094033"/>
      <w:bookmarkStart w:id="1053" w:name="_Toc252365423"/>
      <w:bookmarkStart w:id="1054" w:name="_Toc252365694"/>
      <w:bookmarkStart w:id="1055" w:name="_Toc252366239"/>
      <w:r>
        <w:rPr>
          <w:rFonts w:ascii="Times New Roman" w:hAnsi="Times New Roman"/>
          <w:color w:val="auto"/>
        </w:rPr>
        <w:t>Les paramètres mesurés et observé</w:t>
      </w:r>
      <w:r w:rsidR="00EF6BBF" w:rsidRPr="00EF6BBF">
        <w:rPr>
          <w:rFonts w:ascii="Times New Roman" w:hAnsi="Times New Roman"/>
          <w:color w:val="auto"/>
        </w:rPr>
        <w:t>s</w:t>
      </w:r>
      <w:bookmarkEnd w:id="1047"/>
      <w:bookmarkEnd w:id="1048"/>
      <w:bookmarkEnd w:id="1049"/>
      <w:bookmarkEnd w:id="1050"/>
      <w:bookmarkEnd w:id="1051"/>
      <w:bookmarkEnd w:id="1052"/>
      <w:bookmarkEnd w:id="1053"/>
      <w:bookmarkEnd w:id="1054"/>
      <w:bookmarkEnd w:id="1055"/>
    </w:p>
    <w:p w:rsidR="00F47DCC" w:rsidRDefault="00F47DCC" w:rsidP="004B44D4">
      <w:pPr>
        <w:spacing w:before="240" w:line="360" w:lineRule="auto"/>
        <w:ind w:firstLine="284"/>
        <w:jc w:val="both"/>
        <w:rPr>
          <w:rFonts w:ascii="Times New Roman" w:hAnsi="Times New Roman" w:cs="Times New Roman"/>
          <w:sz w:val="24"/>
          <w:szCs w:val="24"/>
        </w:rPr>
      </w:pPr>
      <w:r w:rsidRPr="00CD0823">
        <w:rPr>
          <w:rFonts w:ascii="Times New Roman" w:hAnsi="Times New Roman" w:cs="Times New Roman"/>
          <w:sz w:val="24"/>
          <w:szCs w:val="24"/>
        </w:rPr>
        <w:t>Les caractères notés sont divers (quantitatifs et qualitatifs) et concernent le suivi des différentes phases végétatives et reproductrices</w:t>
      </w:r>
      <w:r w:rsidRPr="00585B3C">
        <w:rPr>
          <w:rFonts w:ascii="Times New Roman" w:hAnsi="Times New Roman" w:cs="Times New Roman"/>
          <w:sz w:val="24"/>
          <w:szCs w:val="24"/>
        </w:rPr>
        <w:t>.</w:t>
      </w:r>
    </w:p>
    <w:p w:rsidR="001B0E2C" w:rsidRDefault="00F47DCC" w:rsidP="004B44D4">
      <w:pPr>
        <w:pStyle w:val="Paragraphedeliste"/>
        <w:numPr>
          <w:ilvl w:val="0"/>
          <w:numId w:val="49"/>
        </w:numPr>
        <w:spacing w:before="240" w:line="360" w:lineRule="auto"/>
        <w:jc w:val="lowKashida"/>
        <w:outlineLvl w:val="0"/>
        <w:rPr>
          <w:rFonts w:ascii="Times New Roman" w:hAnsi="Times New Roman" w:cs="Times New Roman"/>
          <w:b/>
          <w:bCs/>
          <w:sz w:val="24"/>
          <w:szCs w:val="24"/>
        </w:rPr>
      </w:pPr>
      <w:bookmarkStart w:id="1056" w:name="_Toc126575950"/>
      <w:bookmarkStart w:id="1057" w:name="_Toc126576825"/>
      <w:bookmarkStart w:id="1058" w:name="_Toc252094034"/>
      <w:bookmarkStart w:id="1059" w:name="_Toc252365424"/>
      <w:bookmarkStart w:id="1060" w:name="_Toc252365695"/>
      <w:bookmarkStart w:id="1061" w:name="_Toc252366240"/>
      <w:r w:rsidRPr="001B0E2C">
        <w:rPr>
          <w:rFonts w:ascii="Times New Roman" w:hAnsi="Times New Roman" w:cs="Times New Roman"/>
          <w:b/>
          <w:bCs/>
          <w:sz w:val="24"/>
          <w:szCs w:val="24"/>
        </w:rPr>
        <w:t>Caractères phénologiques</w:t>
      </w:r>
      <w:bookmarkEnd w:id="1056"/>
      <w:bookmarkEnd w:id="1057"/>
      <w:bookmarkEnd w:id="1058"/>
      <w:bookmarkEnd w:id="1059"/>
      <w:bookmarkEnd w:id="1060"/>
      <w:bookmarkEnd w:id="1061"/>
      <w:r w:rsidRPr="001B0E2C">
        <w:rPr>
          <w:rFonts w:ascii="Times New Roman" w:hAnsi="Times New Roman" w:cs="Times New Roman"/>
          <w:b/>
          <w:bCs/>
          <w:sz w:val="24"/>
          <w:szCs w:val="24"/>
        </w:rPr>
        <w:t xml:space="preserve"> </w:t>
      </w:r>
      <w:bookmarkStart w:id="1062" w:name="_Toc251855047"/>
      <w:bookmarkStart w:id="1063" w:name="_Toc251855457"/>
      <w:bookmarkStart w:id="1064" w:name="_Toc126492618"/>
      <w:bookmarkStart w:id="1065" w:name="_Toc126493033"/>
      <w:bookmarkStart w:id="1066" w:name="_Toc126570545"/>
      <w:bookmarkStart w:id="1067" w:name="_Toc126571859"/>
      <w:bookmarkStart w:id="1068" w:name="_Toc126572640"/>
      <w:bookmarkStart w:id="1069" w:name="_Toc126575274"/>
    </w:p>
    <w:p w:rsidR="00F47DCC" w:rsidRPr="001B0E2C" w:rsidRDefault="001B0E2C"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bookmarkStart w:id="1070" w:name="_Toc126575951"/>
      <w:bookmarkStart w:id="1071" w:name="_Toc126576826"/>
      <w:bookmarkStart w:id="1072" w:name="_Toc252094035"/>
      <w:bookmarkStart w:id="1073" w:name="_Toc252365425"/>
      <w:bookmarkStart w:id="1074" w:name="_Toc252365696"/>
      <w:bookmarkStart w:id="1075" w:name="_Toc252366241"/>
      <w:r w:rsidRPr="001B0E2C">
        <w:rPr>
          <w:rFonts w:ascii="Times New Roman" w:hAnsi="Times New Roman" w:cs="Times New Roman"/>
          <w:b/>
          <w:bCs/>
          <w:sz w:val="24"/>
          <w:szCs w:val="24"/>
        </w:rPr>
        <w:t>Stade</w:t>
      </w:r>
      <w:r w:rsidR="00F47DCC" w:rsidRPr="001B0E2C">
        <w:rPr>
          <w:rFonts w:ascii="Times New Roman" w:hAnsi="Times New Roman" w:cs="Times New Roman"/>
          <w:b/>
          <w:bCs/>
          <w:sz w:val="24"/>
          <w:szCs w:val="24"/>
        </w:rPr>
        <w:t xml:space="preserve"> levé</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rsidR="00F47DCC" w:rsidRPr="001B0E2C">
        <w:rPr>
          <w:rFonts w:ascii="Times New Roman" w:hAnsi="Times New Roman" w:cs="Times New Roman"/>
          <w:b/>
          <w:bCs/>
          <w:sz w:val="24"/>
          <w:szCs w:val="24"/>
        </w:rPr>
        <w:t xml:space="preserve"> </w:t>
      </w:r>
    </w:p>
    <w:p w:rsidR="00F47DCC" w:rsidRPr="00CD0823" w:rsidRDefault="00F47DCC" w:rsidP="004B44D4">
      <w:pPr>
        <w:pStyle w:val="Paragraphedeliste"/>
        <w:spacing w:before="240" w:line="360" w:lineRule="auto"/>
        <w:ind w:left="1728"/>
        <w:jc w:val="lowKashida"/>
        <w:outlineLvl w:val="0"/>
        <w:rPr>
          <w:rFonts w:ascii="Times New Roman" w:hAnsi="Times New Roman" w:cs="Times New Roman"/>
          <w:b/>
          <w:bCs/>
          <w:sz w:val="24"/>
          <w:szCs w:val="24"/>
        </w:rPr>
      </w:pPr>
      <w:bookmarkStart w:id="1076" w:name="_Toc251855048"/>
      <w:bookmarkStart w:id="1077" w:name="_Toc251855458"/>
      <w:bookmarkStart w:id="1078" w:name="_Toc126492619"/>
      <w:bookmarkStart w:id="1079" w:name="_Toc126493034"/>
      <w:bookmarkStart w:id="1080" w:name="_Toc126570546"/>
      <w:bookmarkStart w:id="1081" w:name="_Toc126571860"/>
      <w:bookmarkStart w:id="1082" w:name="_Toc126572641"/>
      <w:bookmarkStart w:id="1083" w:name="_Toc126575275"/>
      <w:bookmarkStart w:id="1084" w:name="_Toc126575952"/>
      <w:bookmarkStart w:id="1085" w:name="_Toc126576827"/>
      <w:bookmarkStart w:id="1086" w:name="_Toc252094036"/>
      <w:bookmarkStart w:id="1087" w:name="_Toc252365426"/>
      <w:bookmarkStart w:id="1088" w:name="_Toc252365697"/>
      <w:bookmarkStart w:id="1089" w:name="_Toc252366242"/>
      <w:r w:rsidRPr="00CD0823">
        <w:rPr>
          <w:rFonts w:ascii="Times New Roman" w:hAnsi="Times New Roman" w:cs="Times New Roman"/>
          <w:sz w:val="24"/>
          <w:szCs w:val="24"/>
        </w:rPr>
        <w:t>Correspondant à la date où 50% de l’effectif a levé. Nous considérons qu’un individu a levé lorsque les cotylédons sont bien ouverts (SOLTNER, 2005).</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rsidR="00F47DCC" w:rsidRPr="001B0E2C" w:rsidRDefault="00F47DCC"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r w:rsidRPr="001B0E2C">
        <w:rPr>
          <w:rFonts w:ascii="Times New Roman" w:hAnsi="Times New Roman" w:cs="Times New Roman"/>
          <w:b/>
          <w:bCs/>
          <w:sz w:val="24"/>
          <w:szCs w:val="24"/>
        </w:rPr>
        <w:t xml:space="preserve"> </w:t>
      </w:r>
      <w:bookmarkStart w:id="1090" w:name="_Toc251855049"/>
      <w:bookmarkStart w:id="1091" w:name="_Toc251855459"/>
      <w:bookmarkStart w:id="1092" w:name="_Toc126492620"/>
      <w:bookmarkStart w:id="1093" w:name="_Toc126493035"/>
      <w:bookmarkStart w:id="1094" w:name="_Toc126570547"/>
      <w:bookmarkStart w:id="1095" w:name="_Toc126571861"/>
      <w:bookmarkStart w:id="1096" w:name="_Toc126572642"/>
      <w:bookmarkStart w:id="1097" w:name="_Toc126575276"/>
      <w:bookmarkStart w:id="1098" w:name="_Toc126575953"/>
      <w:bookmarkStart w:id="1099" w:name="_Toc126576828"/>
      <w:bookmarkStart w:id="1100" w:name="_Toc252094037"/>
      <w:bookmarkStart w:id="1101" w:name="_Toc252365427"/>
      <w:bookmarkStart w:id="1102" w:name="_Toc252365698"/>
      <w:bookmarkStart w:id="1103" w:name="_Toc252366243"/>
      <w:r w:rsidR="00053C97">
        <w:rPr>
          <w:rFonts w:ascii="Times New Roman" w:hAnsi="Times New Roman" w:cs="Times New Roman"/>
          <w:b/>
          <w:bCs/>
          <w:sz w:val="24"/>
          <w:szCs w:val="24"/>
        </w:rPr>
        <w:t xml:space="preserve"> </w:t>
      </w:r>
      <w:r w:rsidRPr="001B0E2C">
        <w:rPr>
          <w:rFonts w:ascii="Times New Roman" w:hAnsi="Times New Roman" w:cs="Times New Roman"/>
          <w:b/>
          <w:bCs/>
          <w:sz w:val="24"/>
          <w:szCs w:val="24"/>
        </w:rPr>
        <w:t>Stade plein</w:t>
      </w:r>
      <w:r w:rsidR="008F5138">
        <w:rPr>
          <w:rFonts w:ascii="Times New Roman" w:hAnsi="Times New Roman" w:cs="Times New Roman"/>
          <w:b/>
          <w:bCs/>
          <w:sz w:val="24"/>
          <w:szCs w:val="24"/>
        </w:rPr>
        <w:t>e</w:t>
      </w:r>
      <w:r w:rsidRPr="001B0E2C">
        <w:rPr>
          <w:rFonts w:ascii="Times New Roman" w:hAnsi="Times New Roman" w:cs="Times New Roman"/>
          <w:b/>
          <w:bCs/>
          <w:sz w:val="24"/>
          <w:szCs w:val="24"/>
        </w:rPr>
        <w:t xml:space="preserve"> levé</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r w:rsidRPr="001B0E2C">
        <w:rPr>
          <w:rFonts w:ascii="Times New Roman" w:hAnsi="Times New Roman" w:cs="Times New Roman"/>
          <w:b/>
          <w:bCs/>
          <w:sz w:val="24"/>
          <w:szCs w:val="24"/>
        </w:rPr>
        <w:t xml:space="preserve"> </w:t>
      </w:r>
    </w:p>
    <w:p w:rsidR="00F47DCC" w:rsidRPr="00F47F3B" w:rsidRDefault="00F47DCC" w:rsidP="004B44D4">
      <w:pPr>
        <w:pStyle w:val="Paragraphedeliste"/>
        <w:spacing w:before="240" w:line="360" w:lineRule="auto"/>
        <w:ind w:left="1728"/>
        <w:jc w:val="lowKashida"/>
        <w:outlineLvl w:val="0"/>
        <w:rPr>
          <w:rFonts w:ascii="Times New Roman" w:hAnsi="Times New Roman" w:cs="Times New Roman"/>
          <w:b/>
          <w:bCs/>
          <w:sz w:val="24"/>
          <w:szCs w:val="24"/>
        </w:rPr>
      </w:pPr>
      <w:bookmarkStart w:id="1104" w:name="_Toc251855050"/>
      <w:bookmarkStart w:id="1105" w:name="_Toc251855460"/>
      <w:bookmarkStart w:id="1106" w:name="_Toc126492621"/>
      <w:bookmarkStart w:id="1107" w:name="_Toc126493036"/>
      <w:bookmarkStart w:id="1108" w:name="_Toc126570548"/>
      <w:bookmarkStart w:id="1109" w:name="_Toc126571862"/>
      <w:bookmarkStart w:id="1110" w:name="_Toc126572643"/>
      <w:bookmarkStart w:id="1111" w:name="_Toc126575277"/>
      <w:bookmarkStart w:id="1112" w:name="_Toc126575954"/>
      <w:bookmarkStart w:id="1113" w:name="_Toc126576829"/>
      <w:bookmarkStart w:id="1114" w:name="_Toc252094038"/>
      <w:bookmarkStart w:id="1115" w:name="_Toc252365428"/>
      <w:bookmarkStart w:id="1116" w:name="_Toc252365699"/>
      <w:bookmarkStart w:id="1117" w:name="_Toc252366244"/>
      <w:r w:rsidRPr="00CD0823">
        <w:rPr>
          <w:rFonts w:ascii="Times New Roman" w:hAnsi="Times New Roman" w:cs="Times New Roman"/>
          <w:sz w:val="24"/>
          <w:szCs w:val="24"/>
        </w:rPr>
        <w:t>Correspondant à la date où 75% de l'effectif a levé (SELLAMNA</w:t>
      </w:r>
      <w:r w:rsidRPr="00F47F3B">
        <w:rPr>
          <w:rFonts w:ascii="Times New Roman" w:hAnsi="Times New Roman" w:cs="Times New Roman"/>
          <w:sz w:val="24"/>
          <w:szCs w:val="24"/>
        </w:rPr>
        <w:t>, 2006).</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rsidR="00F47DCC" w:rsidRPr="001B0E2C" w:rsidRDefault="00053C97"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bookmarkStart w:id="1118" w:name="_Toc251855051"/>
      <w:bookmarkStart w:id="1119" w:name="_Toc251855461"/>
      <w:bookmarkStart w:id="1120" w:name="_Toc126492622"/>
      <w:bookmarkStart w:id="1121" w:name="_Toc126493037"/>
      <w:bookmarkStart w:id="1122" w:name="_Toc126570549"/>
      <w:bookmarkStart w:id="1123" w:name="_Toc126571863"/>
      <w:bookmarkStart w:id="1124" w:name="_Toc126572644"/>
      <w:bookmarkStart w:id="1125" w:name="_Toc126575278"/>
      <w:bookmarkStart w:id="1126" w:name="_Toc126575955"/>
      <w:bookmarkStart w:id="1127" w:name="_Toc126576830"/>
      <w:bookmarkStart w:id="1128" w:name="_Toc252094039"/>
      <w:bookmarkStart w:id="1129" w:name="_Toc252365429"/>
      <w:bookmarkStart w:id="1130" w:name="_Toc252365700"/>
      <w:bookmarkStart w:id="1131" w:name="_Toc252366245"/>
      <w:r>
        <w:rPr>
          <w:rFonts w:ascii="Times New Roman" w:hAnsi="Times New Roman" w:cs="Times New Roman"/>
          <w:b/>
          <w:bCs/>
          <w:sz w:val="24"/>
          <w:szCs w:val="24"/>
        </w:rPr>
        <w:t xml:space="preserve">  </w:t>
      </w:r>
      <w:r w:rsidR="001B0E2C">
        <w:rPr>
          <w:rFonts w:ascii="Times New Roman" w:hAnsi="Times New Roman" w:cs="Times New Roman"/>
          <w:b/>
          <w:bCs/>
          <w:sz w:val="24"/>
          <w:szCs w:val="24"/>
        </w:rPr>
        <w:t>P</w:t>
      </w:r>
      <w:r w:rsidR="00F47DCC" w:rsidRPr="001B0E2C">
        <w:rPr>
          <w:rFonts w:ascii="Times New Roman" w:hAnsi="Times New Roman" w:cs="Times New Roman"/>
          <w:b/>
          <w:bCs/>
          <w:sz w:val="24"/>
          <w:szCs w:val="24"/>
        </w:rPr>
        <w:t>ourcentage de levée</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r w:rsidR="00F47DCC" w:rsidRPr="001B0E2C">
        <w:rPr>
          <w:rFonts w:ascii="Times New Roman" w:hAnsi="Times New Roman" w:cs="Times New Roman"/>
          <w:b/>
          <w:bCs/>
          <w:sz w:val="24"/>
          <w:szCs w:val="24"/>
        </w:rPr>
        <w:t xml:space="preserve"> </w:t>
      </w:r>
    </w:p>
    <w:p w:rsidR="00F47DCC" w:rsidRPr="00F47F3B" w:rsidRDefault="00F47DCC" w:rsidP="004B44D4">
      <w:pPr>
        <w:pStyle w:val="Paragraphedeliste"/>
        <w:spacing w:before="240" w:line="360" w:lineRule="auto"/>
        <w:ind w:left="1728"/>
        <w:jc w:val="lowKashida"/>
        <w:outlineLvl w:val="0"/>
        <w:rPr>
          <w:rFonts w:ascii="Times New Roman" w:hAnsi="Times New Roman" w:cs="Times New Roman"/>
          <w:b/>
          <w:bCs/>
          <w:sz w:val="24"/>
          <w:szCs w:val="24"/>
        </w:rPr>
      </w:pPr>
      <w:bookmarkStart w:id="1132" w:name="_Toc251855052"/>
      <w:bookmarkStart w:id="1133" w:name="_Toc251855462"/>
      <w:bookmarkStart w:id="1134" w:name="_Toc126492623"/>
      <w:bookmarkStart w:id="1135" w:name="_Toc126493038"/>
      <w:bookmarkStart w:id="1136" w:name="_Toc126570550"/>
      <w:bookmarkStart w:id="1137" w:name="_Toc126571864"/>
      <w:bookmarkStart w:id="1138" w:name="_Toc126572645"/>
      <w:bookmarkStart w:id="1139" w:name="_Toc126575279"/>
      <w:bookmarkStart w:id="1140" w:name="_Toc126575956"/>
      <w:bookmarkStart w:id="1141" w:name="_Toc126576831"/>
      <w:bookmarkStart w:id="1142" w:name="_Toc252094040"/>
      <w:bookmarkStart w:id="1143" w:name="_Toc252365430"/>
      <w:bookmarkStart w:id="1144" w:name="_Toc252365701"/>
      <w:bookmarkStart w:id="1145" w:name="_Toc252366246"/>
      <w:r w:rsidRPr="00F47F3B">
        <w:rPr>
          <w:rFonts w:ascii="Times New Roman" w:hAnsi="Times New Roman" w:cs="Times New Roman"/>
          <w:sz w:val="24"/>
          <w:szCs w:val="24"/>
        </w:rPr>
        <w:t>Correspondant au nombre de plants levés par rapport au nombre de graines semées.</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rsidR="00F47DCC" w:rsidRPr="001B0E2C" w:rsidRDefault="00053C97"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bookmarkStart w:id="1146" w:name="_Toc251855053"/>
      <w:bookmarkStart w:id="1147" w:name="_Toc251855463"/>
      <w:bookmarkStart w:id="1148" w:name="_Toc126492624"/>
      <w:bookmarkStart w:id="1149" w:name="_Toc126493039"/>
      <w:bookmarkStart w:id="1150" w:name="_Toc126570551"/>
      <w:bookmarkStart w:id="1151" w:name="_Toc126571865"/>
      <w:bookmarkStart w:id="1152" w:name="_Toc126572646"/>
      <w:bookmarkStart w:id="1153" w:name="_Toc126575280"/>
      <w:bookmarkStart w:id="1154" w:name="_Toc126575957"/>
      <w:bookmarkStart w:id="1155" w:name="_Toc126576832"/>
      <w:bookmarkStart w:id="1156" w:name="_Toc252094041"/>
      <w:bookmarkStart w:id="1157" w:name="_Toc252365431"/>
      <w:bookmarkStart w:id="1158" w:name="_Toc252365702"/>
      <w:bookmarkStart w:id="1159" w:name="_Toc252366247"/>
      <w:r>
        <w:rPr>
          <w:rFonts w:ascii="Times New Roman" w:hAnsi="Times New Roman" w:cs="Times New Roman"/>
          <w:b/>
          <w:bCs/>
          <w:sz w:val="24"/>
          <w:szCs w:val="24"/>
        </w:rPr>
        <w:lastRenderedPageBreak/>
        <w:t xml:space="preserve">  </w:t>
      </w:r>
      <w:r w:rsidR="00F47DCC" w:rsidRPr="001B0E2C">
        <w:rPr>
          <w:rFonts w:ascii="Times New Roman" w:hAnsi="Times New Roman" w:cs="Times New Roman"/>
          <w:b/>
          <w:bCs/>
          <w:sz w:val="24"/>
          <w:szCs w:val="24"/>
        </w:rPr>
        <w:t>Rosette</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rsidR="00F47DCC" w:rsidRPr="00F47F3B" w:rsidRDefault="00F47DCC" w:rsidP="004B44D4">
      <w:pPr>
        <w:pStyle w:val="Paragraphedeliste"/>
        <w:spacing w:before="240" w:line="360" w:lineRule="auto"/>
        <w:ind w:left="1728"/>
        <w:jc w:val="lowKashida"/>
        <w:outlineLvl w:val="0"/>
        <w:rPr>
          <w:rFonts w:ascii="Times New Roman" w:hAnsi="Times New Roman" w:cs="Times New Roman"/>
          <w:b/>
          <w:bCs/>
          <w:sz w:val="24"/>
          <w:szCs w:val="24"/>
        </w:rPr>
      </w:pPr>
      <w:bookmarkStart w:id="1160" w:name="_Toc251855054"/>
      <w:bookmarkStart w:id="1161" w:name="_Toc251855464"/>
      <w:bookmarkStart w:id="1162" w:name="_Toc126492625"/>
      <w:bookmarkStart w:id="1163" w:name="_Toc126493040"/>
      <w:bookmarkStart w:id="1164" w:name="_Toc126570552"/>
      <w:bookmarkStart w:id="1165" w:name="_Toc126571866"/>
      <w:bookmarkStart w:id="1166" w:name="_Toc126572647"/>
      <w:bookmarkStart w:id="1167" w:name="_Toc126575281"/>
      <w:bookmarkStart w:id="1168" w:name="_Toc126575958"/>
      <w:bookmarkStart w:id="1169" w:name="_Toc126576833"/>
      <w:bookmarkStart w:id="1170" w:name="_Toc252094042"/>
      <w:bookmarkStart w:id="1171" w:name="_Toc252365432"/>
      <w:bookmarkStart w:id="1172" w:name="_Toc252365703"/>
      <w:bookmarkStart w:id="1173" w:name="_Toc252366248"/>
      <w:r w:rsidRPr="00F47F3B">
        <w:rPr>
          <w:rFonts w:ascii="Times New Roman" w:hAnsi="Times New Roman" w:cs="Times New Roman"/>
          <w:bCs/>
          <w:sz w:val="24"/>
          <w:szCs w:val="24"/>
        </w:rPr>
        <w:t>Correspondant à la formation de la rosette chez</w:t>
      </w:r>
      <w:r w:rsidRPr="00F47F3B">
        <w:rPr>
          <w:rFonts w:ascii="Times New Roman" w:hAnsi="Times New Roman" w:cs="Times New Roman"/>
          <w:b/>
          <w:bCs/>
          <w:sz w:val="24"/>
          <w:szCs w:val="24"/>
        </w:rPr>
        <w:t xml:space="preserve"> </w:t>
      </w:r>
      <w:r w:rsidRPr="00F47F3B">
        <w:rPr>
          <w:rFonts w:ascii="Times New Roman" w:hAnsi="Times New Roman" w:cs="Times New Roman"/>
          <w:sz w:val="24"/>
          <w:szCs w:val="24"/>
        </w:rPr>
        <w:t>50% des plantes.</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rsidR="00F47DCC" w:rsidRPr="001B0E2C" w:rsidRDefault="00053C97"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bookmarkStart w:id="1174" w:name="_Toc251855055"/>
      <w:bookmarkStart w:id="1175" w:name="_Toc251855465"/>
      <w:bookmarkStart w:id="1176" w:name="_Toc126492626"/>
      <w:bookmarkStart w:id="1177" w:name="_Toc126493041"/>
      <w:bookmarkStart w:id="1178" w:name="_Toc126570553"/>
      <w:bookmarkStart w:id="1179" w:name="_Toc126571867"/>
      <w:bookmarkStart w:id="1180" w:name="_Toc126572648"/>
      <w:bookmarkStart w:id="1181" w:name="_Toc126575282"/>
      <w:bookmarkStart w:id="1182" w:name="_Toc126575959"/>
      <w:bookmarkStart w:id="1183" w:name="_Toc126576834"/>
      <w:bookmarkStart w:id="1184" w:name="_Toc252094043"/>
      <w:bookmarkStart w:id="1185" w:name="_Toc252365433"/>
      <w:bookmarkStart w:id="1186" w:name="_Toc252365704"/>
      <w:bookmarkStart w:id="1187" w:name="_Toc252366249"/>
      <w:r>
        <w:rPr>
          <w:rFonts w:ascii="Times New Roman" w:hAnsi="Times New Roman" w:cs="Times New Roman"/>
          <w:b/>
          <w:bCs/>
          <w:sz w:val="24"/>
          <w:szCs w:val="24"/>
        </w:rPr>
        <w:t xml:space="preserve">  </w:t>
      </w:r>
      <w:r w:rsidR="00F47DCC" w:rsidRPr="001B0E2C">
        <w:rPr>
          <w:rFonts w:ascii="Times New Roman" w:hAnsi="Times New Roman" w:cs="Times New Roman"/>
          <w:b/>
          <w:bCs/>
          <w:sz w:val="24"/>
          <w:szCs w:val="24"/>
        </w:rPr>
        <w:t>Formation des branches</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r w:rsidR="00F47DCC" w:rsidRPr="001B0E2C">
        <w:rPr>
          <w:rFonts w:ascii="Times New Roman" w:hAnsi="Times New Roman" w:cs="Times New Roman"/>
          <w:b/>
          <w:bCs/>
          <w:sz w:val="24"/>
          <w:szCs w:val="24"/>
        </w:rPr>
        <w:t xml:space="preserve"> </w:t>
      </w:r>
    </w:p>
    <w:p w:rsidR="00F47DCC" w:rsidRPr="00F47F3B" w:rsidRDefault="00F47DCC" w:rsidP="004B44D4">
      <w:pPr>
        <w:pStyle w:val="Paragraphedeliste"/>
        <w:spacing w:before="240" w:line="360" w:lineRule="auto"/>
        <w:ind w:left="1728"/>
        <w:jc w:val="lowKashida"/>
        <w:outlineLvl w:val="0"/>
        <w:rPr>
          <w:rFonts w:ascii="Times New Roman" w:hAnsi="Times New Roman" w:cs="Times New Roman"/>
          <w:b/>
          <w:bCs/>
          <w:sz w:val="24"/>
          <w:szCs w:val="24"/>
        </w:rPr>
      </w:pPr>
      <w:bookmarkStart w:id="1188" w:name="_Toc251855056"/>
      <w:bookmarkStart w:id="1189" w:name="_Toc251855466"/>
      <w:bookmarkStart w:id="1190" w:name="_Toc126492627"/>
      <w:bookmarkStart w:id="1191" w:name="_Toc126493042"/>
      <w:bookmarkStart w:id="1192" w:name="_Toc126570554"/>
      <w:bookmarkStart w:id="1193" w:name="_Toc126571868"/>
      <w:bookmarkStart w:id="1194" w:name="_Toc126572649"/>
      <w:bookmarkStart w:id="1195" w:name="_Toc126575283"/>
      <w:bookmarkStart w:id="1196" w:name="_Toc126575960"/>
      <w:bookmarkStart w:id="1197" w:name="_Toc126576835"/>
      <w:bookmarkStart w:id="1198" w:name="_Toc252094044"/>
      <w:bookmarkStart w:id="1199" w:name="_Toc252365434"/>
      <w:bookmarkStart w:id="1200" w:name="_Toc252365705"/>
      <w:bookmarkStart w:id="1201" w:name="_Toc252366250"/>
      <w:r w:rsidRPr="00F47F3B">
        <w:rPr>
          <w:rFonts w:ascii="Times New Roman" w:hAnsi="Times New Roman" w:cs="Times New Roman"/>
          <w:sz w:val="24"/>
          <w:szCs w:val="24"/>
        </w:rPr>
        <w:t>Correspondant à la formation des branches chez 50% des plantes.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rsidR="00F47DCC" w:rsidRPr="001B0E2C" w:rsidRDefault="00053C97"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bookmarkStart w:id="1202" w:name="_Toc251855057"/>
      <w:bookmarkStart w:id="1203" w:name="_Toc251855467"/>
      <w:bookmarkStart w:id="1204" w:name="_Toc126492628"/>
      <w:bookmarkStart w:id="1205" w:name="_Toc126493043"/>
      <w:bookmarkStart w:id="1206" w:name="_Toc126570555"/>
      <w:bookmarkStart w:id="1207" w:name="_Toc126571869"/>
      <w:bookmarkStart w:id="1208" w:name="_Toc126572650"/>
      <w:bookmarkStart w:id="1209" w:name="_Toc126575284"/>
      <w:bookmarkStart w:id="1210" w:name="_Toc126575961"/>
      <w:bookmarkStart w:id="1211" w:name="_Toc126576836"/>
      <w:bookmarkStart w:id="1212" w:name="_Toc252094045"/>
      <w:bookmarkStart w:id="1213" w:name="_Toc252365435"/>
      <w:bookmarkStart w:id="1214" w:name="_Toc252365706"/>
      <w:bookmarkStart w:id="1215" w:name="_Toc252366251"/>
      <w:r>
        <w:rPr>
          <w:rFonts w:ascii="Times New Roman" w:hAnsi="Times New Roman" w:cs="Times New Roman"/>
          <w:b/>
          <w:bCs/>
          <w:sz w:val="24"/>
          <w:szCs w:val="24"/>
        </w:rPr>
        <w:t xml:space="preserve">  </w:t>
      </w:r>
      <w:r w:rsidR="00F47DCC" w:rsidRPr="001B0E2C">
        <w:rPr>
          <w:rFonts w:ascii="Times New Roman" w:hAnsi="Times New Roman" w:cs="Times New Roman"/>
          <w:b/>
          <w:bCs/>
          <w:sz w:val="24"/>
          <w:szCs w:val="24"/>
        </w:rPr>
        <w:t>Floraison</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rsidR="00F47DCC" w:rsidRPr="000C09D1" w:rsidRDefault="00F47DCC" w:rsidP="004B44D4">
      <w:pPr>
        <w:pStyle w:val="Paragraphedeliste"/>
        <w:numPr>
          <w:ilvl w:val="0"/>
          <w:numId w:val="13"/>
        </w:numPr>
        <w:spacing w:before="240" w:line="360" w:lineRule="auto"/>
        <w:jc w:val="both"/>
        <w:rPr>
          <w:rFonts w:ascii="Times New Roman" w:hAnsi="Times New Roman" w:cs="Times New Roman"/>
          <w:sz w:val="24"/>
          <w:szCs w:val="24"/>
        </w:rPr>
      </w:pPr>
      <w:r w:rsidRPr="000C09D1">
        <w:rPr>
          <w:rFonts w:ascii="Times New Roman" w:hAnsi="Times New Roman" w:cs="Times New Roman"/>
          <w:b/>
          <w:sz w:val="24"/>
          <w:szCs w:val="24"/>
        </w:rPr>
        <w:t>Début floraison</w:t>
      </w:r>
      <w:r w:rsidRPr="000C09D1">
        <w:rPr>
          <w:rFonts w:ascii="Times New Roman" w:hAnsi="Times New Roman" w:cs="Times New Roman"/>
          <w:sz w:val="24"/>
          <w:szCs w:val="24"/>
        </w:rPr>
        <w:t> </w:t>
      </w:r>
      <w:r w:rsidRPr="000C09D1">
        <w:rPr>
          <w:rFonts w:ascii="Times New Roman" w:hAnsi="Times New Roman" w:cs="Times New Roman"/>
          <w:b/>
          <w:sz w:val="24"/>
          <w:szCs w:val="24"/>
        </w:rPr>
        <w:t xml:space="preserve">: </w:t>
      </w:r>
      <w:r w:rsidRPr="00A67AB7">
        <w:rPr>
          <w:rFonts w:ascii="Times New Roman" w:hAnsi="Times New Roman" w:cs="Times New Roman"/>
          <w:bCs/>
          <w:sz w:val="24"/>
          <w:szCs w:val="24"/>
        </w:rPr>
        <w:t>i</w:t>
      </w:r>
      <w:r w:rsidRPr="000C09D1">
        <w:rPr>
          <w:rFonts w:ascii="Times New Roman" w:hAnsi="Times New Roman" w:cs="Times New Roman"/>
          <w:sz w:val="24"/>
          <w:szCs w:val="24"/>
        </w:rPr>
        <w:t>l est noté à l’apparition des premières fleurs.</w:t>
      </w:r>
    </w:p>
    <w:p w:rsidR="00F47DCC" w:rsidRPr="000C09D1" w:rsidRDefault="001148EC" w:rsidP="004B44D4">
      <w:pPr>
        <w:pStyle w:val="Paragraphedeliste"/>
        <w:numPr>
          <w:ilvl w:val="0"/>
          <w:numId w:val="13"/>
        </w:num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Pleine f</w:t>
      </w:r>
      <w:r w:rsidR="00F47DCC" w:rsidRPr="000C09D1">
        <w:rPr>
          <w:rFonts w:ascii="Times New Roman" w:hAnsi="Times New Roman" w:cs="Times New Roman"/>
          <w:b/>
          <w:sz w:val="24"/>
          <w:szCs w:val="24"/>
        </w:rPr>
        <w:t>loraison :</w:t>
      </w:r>
      <w:r w:rsidR="00F47DCC" w:rsidRPr="000C09D1">
        <w:rPr>
          <w:rFonts w:ascii="Times New Roman" w:hAnsi="Times New Roman" w:cs="Times New Roman"/>
          <w:sz w:val="24"/>
          <w:szCs w:val="24"/>
        </w:rPr>
        <w:t xml:space="preserve"> nous considérons le stade floraison à l’apparition des fleurs sur 50% des plants.</w:t>
      </w:r>
    </w:p>
    <w:p w:rsidR="00F47DCC" w:rsidRPr="000C09D1" w:rsidRDefault="00F47DCC" w:rsidP="004B44D4">
      <w:pPr>
        <w:pStyle w:val="Paragraphedeliste"/>
        <w:numPr>
          <w:ilvl w:val="0"/>
          <w:numId w:val="13"/>
        </w:numPr>
        <w:spacing w:before="240" w:line="360" w:lineRule="auto"/>
        <w:jc w:val="both"/>
        <w:rPr>
          <w:rFonts w:ascii="Times New Roman" w:hAnsi="Times New Roman" w:cs="Times New Roman"/>
          <w:sz w:val="24"/>
          <w:szCs w:val="24"/>
        </w:rPr>
      </w:pPr>
      <w:r w:rsidRPr="000C09D1">
        <w:rPr>
          <w:rFonts w:ascii="Times New Roman" w:hAnsi="Times New Roman" w:cs="Times New Roman"/>
          <w:b/>
          <w:sz w:val="24"/>
          <w:szCs w:val="24"/>
        </w:rPr>
        <w:t>Fin floraison :</w:t>
      </w:r>
      <w:r w:rsidRPr="000C09D1">
        <w:rPr>
          <w:rFonts w:ascii="Times New Roman" w:hAnsi="Times New Roman" w:cs="Times New Roman"/>
          <w:sz w:val="24"/>
          <w:szCs w:val="24"/>
        </w:rPr>
        <w:t xml:space="preserve"> </w:t>
      </w:r>
      <w:r>
        <w:rPr>
          <w:rFonts w:ascii="Times New Roman" w:hAnsi="Times New Roman" w:cs="Times New Roman"/>
          <w:sz w:val="24"/>
          <w:szCs w:val="24"/>
        </w:rPr>
        <w:t>n</w:t>
      </w:r>
      <w:r w:rsidRPr="000C09D1">
        <w:rPr>
          <w:rFonts w:ascii="Times New Roman" w:hAnsi="Times New Roman" w:cs="Times New Roman"/>
          <w:sz w:val="24"/>
          <w:szCs w:val="24"/>
        </w:rPr>
        <w:t>oté à l’apparition des dernières fleurs.</w:t>
      </w:r>
    </w:p>
    <w:p w:rsidR="00F47DCC" w:rsidRPr="009C304D" w:rsidRDefault="00F47DCC" w:rsidP="004B44D4">
      <w:pPr>
        <w:pStyle w:val="Paragraphedeliste"/>
        <w:numPr>
          <w:ilvl w:val="0"/>
          <w:numId w:val="13"/>
        </w:numPr>
        <w:spacing w:before="240" w:line="360" w:lineRule="auto"/>
        <w:jc w:val="both"/>
        <w:rPr>
          <w:rFonts w:ascii="Times New Roman" w:hAnsi="Times New Roman" w:cs="Times New Roman"/>
          <w:sz w:val="24"/>
          <w:szCs w:val="24"/>
        </w:rPr>
      </w:pPr>
      <w:r w:rsidRPr="000C09D1">
        <w:rPr>
          <w:rFonts w:ascii="Times New Roman" w:hAnsi="Times New Roman" w:cs="Times New Roman"/>
          <w:b/>
          <w:sz w:val="24"/>
          <w:szCs w:val="24"/>
        </w:rPr>
        <w:t>Etalement de floraison :</w:t>
      </w:r>
      <w:r w:rsidRPr="000C09D1">
        <w:rPr>
          <w:rFonts w:ascii="Times New Roman" w:hAnsi="Times New Roman" w:cs="Times New Roman"/>
          <w:sz w:val="24"/>
          <w:szCs w:val="24"/>
        </w:rPr>
        <w:t xml:space="preserve"> correspond à la différence entre la fin floraison </w:t>
      </w:r>
      <w:r>
        <w:rPr>
          <w:rFonts w:ascii="Times New Roman" w:hAnsi="Times New Roman" w:cs="Times New Roman"/>
          <w:sz w:val="24"/>
          <w:szCs w:val="24"/>
        </w:rPr>
        <w:t>et le début floraison (en jour).</w:t>
      </w:r>
    </w:p>
    <w:p w:rsidR="00F47DCC" w:rsidRPr="001B0E2C" w:rsidRDefault="00053C97"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bookmarkStart w:id="1216" w:name="_Toc251855058"/>
      <w:bookmarkStart w:id="1217" w:name="_Toc251855468"/>
      <w:bookmarkStart w:id="1218" w:name="_Toc126492629"/>
      <w:bookmarkStart w:id="1219" w:name="_Toc126493044"/>
      <w:bookmarkStart w:id="1220" w:name="_Toc126570556"/>
      <w:bookmarkStart w:id="1221" w:name="_Toc126571870"/>
      <w:bookmarkStart w:id="1222" w:name="_Toc126572651"/>
      <w:bookmarkStart w:id="1223" w:name="_Toc126575285"/>
      <w:bookmarkStart w:id="1224" w:name="_Toc126575962"/>
      <w:bookmarkStart w:id="1225" w:name="_Toc126576837"/>
      <w:bookmarkStart w:id="1226" w:name="_Toc252094046"/>
      <w:bookmarkStart w:id="1227" w:name="_Toc252365436"/>
      <w:bookmarkStart w:id="1228" w:name="_Toc252365707"/>
      <w:bookmarkStart w:id="1229" w:name="_Toc252366252"/>
      <w:r>
        <w:rPr>
          <w:rFonts w:ascii="Times New Roman" w:hAnsi="Times New Roman" w:cs="Times New Roman"/>
          <w:b/>
          <w:bCs/>
          <w:sz w:val="24"/>
          <w:szCs w:val="24"/>
        </w:rPr>
        <w:t xml:space="preserve">  </w:t>
      </w:r>
      <w:r w:rsidR="00F47DCC" w:rsidRPr="001B0E2C">
        <w:rPr>
          <w:rFonts w:ascii="Times New Roman" w:hAnsi="Times New Roman" w:cs="Times New Roman"/>
          <w:b/>
          <w:bCs/>
          <w:sz w:val="24"/>
          <w:szCs w:val="24"/>
        </w:rPr>
        <w:t>Nouaison</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r w:rsidR="00F47DCC" w:rsidRPr="001B0E2C">
        <w:rPr>
          <w:rFonts w:ascii="Times New Roman" w:hAnsi="Times New Roman" w:cs="Times New Roman"/>
          <w:b/>
          <w:bCs/>
          <w:sz w:val="24"/>
          <w:szCs w:val="24"/>
        </w:rPr>
        <w:t xml:space="preserve"> </w:t>
      </w:r>
    </w:p>
    <w:p w:rsidR="00F47DCC" w:rsidRPr="00B2561F" w:rsidRDefault="00F47DCC" w:rsidP="004B44D4">
      <w:pPr>
        <w:pStyle w:val="Paragraphedeliste"/>
        <w:spacing w:before="240" w:line="360" w:lineRule="auto"/>
        <w:ind w:left="1728"/>
        <w:jc w:val="lowKashida"/>
        <w:outlineLvl w:val="0"/>
        <w:rPr>
          <w:rFonts w:ascii="Times New Roman" w:hAnsi="Times New Roman" w:cs="Times New Roman"/>
          <w:b/>
          <w:bCs/>
          <w:sz w:val="24"/>
          <w:szCs w:val="24"/>
        </w:rPr>
      </w:pPr>
      <w:bookmarkStart w:id="1230" w:name="_Toc251855059"/>
      <w:bookmarkStart w:id="1231" w:name="_Toc251855469"/>
      <w:bookmarkStart w:id="1232" w:name="_Toc126492630"/>
      <w:bookmarkStart w:id="1233" w:name="_Toc126493045"/>
      <w:bookmarkStart w:id="1234" w:name="_Toc126570557"/>
      <w:bookmarkStart w:id="1235" w:name="_Toc126571871"/>
      <w:bookmarkStart w:id="1236" w:name="_Toc126572652"/>
      <w:bookmarkStart w:id="1237" w:name="_Toc126575286"/>
      <w:bookmarkStart w:id="1238" w:name="_Toc126575963"/>
      <w:bookmarkStart w:id="1239" w:name="_Toc126576838"/>
      <w:bookmarkStart w:id="1240" w:name="_Toc252094047"/>
      <w:bookmarkStart w:id="1241" w:name="_Toc252365437"/>
      <w:bookmarkStart w:id="1242" w:name="_Toc252365708"/>
      <w:bookmarkStart w:id="1243" w:name="_Toc252366253"/>
      <w:r w:rsidRPr="00B2561F">
        <w:rPr>
          <w:rFonts w:ascii="Times New Roman" w:hAnsi="Times New Roman" w:cs="Times New Roman"/>
          <w:sz w:val="24"/>
          <w:szCs w:val="24"/>
        </w:rPr>
        <w:t>Nous considérons le stade nouaison à l’apparition de la première gousse chez le fenugrec.</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rsidR="00F47DCC" w:rsidRPr="001B0E2C" w:rsidRDefault="00053C97"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bookmarkStart w:id="1244" w:name="_Toc251855060"/>
      <w:bookmarkStart w:id="1245" w:name="_Toc251855470"/>
      <w:bookmarkStart w:id="1246" w:name="_Toc126492631"/>
      <w:bookmarkStart w:id="1247" w:name="_Toc126493046"/>
      <w:bookmarkStart w:id="1248" w:name="_Toc126570558"/>
      <w:bookmarkStart w:id="1249" w:name="_Toc126571872"/>
      <w:bookmarkStart w:id="1250" w:name="_Toc126572653"/>
      <w:bookmarkStart w:id="1251" w:name="_Toc126575287"/>
      <w:bookmarkStart w:id="1252" w:name="_Toc126575964"/>
      <w:bookmarkStart w:id="1253" w:name="_Toc126576839"/>
      <w:bookmarkStart w:id="1254" w:name="_Toc252094048"/>
      <w:bookmarkStart w:id="1255" w:name="_Toc252365438"/>
      <w:bookmarkStart w:id="1256" w:name="_Toc252365709"/>
      <w:bookmarkStart w:id="1257" w:name="_Toc252366254"/>
      <w:r>
        <w:rPr>
          <w:rFonts w:ascii="Times New Roman" w:hAnsi="Times New Roman" w:cs="Times New Roman"/>
          <w:b/>
          <w:bCs/>
          <w:sz w:val="24"/>
          <w:szCs w:val="24"/>
        </w:rPr>
        <w:t xml:space="preserve">  </w:t>
      </w:r>
      <w:r w:rsidR="00F47DCC" w:rsidRPr="001B0E2C">
        <w:rPr>
          <w:rFonts w:ascii="Times New Roman" w:hAnsi="Times New Roman" w:cs="Times New Roman"/>
          <w:b/>
          <w:bCs/>
          <w:sz w:val="24"/>
          <w:szCs w:val="24"/>
        </w:rPr>
        <w:t>Bouton floral</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sidR="00F47DCC" w:rsidRPr="001B0E2C">
        <w:rPr>
          <w:rFonts w:ascii="Times New Roman" w:hAnsi="Times New Roman" w:cs="Times New Roman"/>
          <w:b/>
          <w:bCs/>
          <w:sz w:val="24"/>
          <w:szCs w:val="24"/>
        </w:rPr>
        <w:t xml:space="preserve"> </w:t>
      </w:r>
    </w:p>
    <w:p w:rsidR="00F47DCC" w:rsidRPr="009C304D" w:rsidRDefault="00F47DCC" w:rsidP="004B44D4">
      <w:pPr>
        <w:pStyle w:val="Paragraphedeliste"/>
        <w:spacing w:before="240" w:line="360" w:lineRule="auto"/>
        <w:ind w:left="1728"/>
        <w:jc w:val="lowKashida"/>
        <w:outlineLvl w:val="0"/>
        <w:rPr>
          <w:rFonts w:ascii="Times New Roman" w:hAnsi="Times New Roman" w:cs="Times New Roman"/>
          <w:b/>
          <w:bCs/>
          <w:sz w:val="24"/>
          <w:szCs w:val="24"/>
        </w:rPr>
      </w:pPr>
      <w:bookmarkStart w:id="1258" w:name="_Toc251855061"/>
      <w:bookmarkStart w:id="1259" w:name="_Toc251855471"/>
      <w:bookmarkStart w:id="1260" w:name="_Toc126492632"/>
      <w:bookmarkStart w:id="1261" w:name="_Toc126493047"/>
      <w:bookmarkStart w:id="1262" w:name="_Toc126570559"/>
      <w:bookmarkStart w:id="1263" w:name="_Toc126571873"/>
      <w:bookmarkStart w:id="1264" w:name="_Toc126572654"/>
      <w:bookmarkStart w:id="1265" w:name="_Toc126575288"/>
      <w:bookmarkStart w:id="1266" w:name="_Toc126575965"/>
      <w:bookmarkStart w:id="1267" w:name="_Toc126576840"/>
      <w:bookmarkStart w:id="1268" w:name="_Toc252094049"/>
      <w:bookmarkStart w:id="1269" w:name="_Toc252365439"/>
      <w:bookmarkStart w:id="1270" w:name="_Toc252365710"/>
      <w:bookmarkStart w:id="1271" w:name="_Toc252366255"/>
      <w:r>
        <w:rPr>
          <w:rFonts w:ascii="Times New Roman" w:hAnsi="Times New Roman" w:cs="Times New Roman"/>
          <w:sz w:val="24"/>
          <w:szCs w:val="24"/>
        </w:rPr>
        <w:t>F</w:t>
      </w:r>
      <w:r w:rsidRPr="00E04C7F">
        <w:rPr>
          <w:rFonts w:ascii="Times New Roman" w:hAnsi="Times New Roman" w:cs="Times New Roman"/>
          <w:sz w:val="24"/>
          <w:szCs w:val="24"/>
        </w:rPr>
        <w:t>ormation des boutons floraux chez 50% des plantes</w:t>
      </w:r>
      <w:r>
        <w:rPr>
          <w:rFonts w:ascii="Times New Roman" w:hAnsi="Times New Roman" w:cs="Times New Roman"/>
          <w:sz w:val="24"/>
          <w:szCs w:val="24"/>
        </w:rPr>
        <w:t xml:space="preserve"> concernant le carthame et la nigelle.</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rsidR="00F47DCC" w:rsidRPr="001B0E2C" w:rsidRDefault="00053C97"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bookmarkStart w:id="1272" w:name="_Toc251855062"/>
      <w:bookmarkStart w:id="1273" w:name="_Toc251855472"/>
      <w:bookmarkStart w:id="1274" w:name="_Toc126492633"/>
      <w:bookmarkStart w:id="1275" w:name="_Toc126493048"/>
      <w:bookmarkStart w:id="1276" w:name="_Toc126570560"/>
      <w:bookmarkStart w:id="1277" w:name="_Toc126571874"/>
      <w:bookmarkStart w:id="1278" w:name="_Toc126572655"/>
      <w:bookmarkStart w:id="1279" w:name="_Toc126575289"/>
      <w:bookmarkStart w:id="1280" w:name="_Toc126575966"/>
      <w:bookmarkStart w:id="1281" w:name="_Toc126576841"/>
      <w:bookmarkStart w:id="1282" w:name="_Toc252094050"/>
      <w:bookmarkStart w:id="1283" w:name="_Toc252365440"/>
      <w:bookmarkStart w:id="1284" w:name="_Toc252365711"/>
      <w:bookmarkStart w:id="1285" w:name="_Toc252366256"/>
      <w:r>
        <w:rPr>
          <w:rFonts w:ascii="Times New Roman" w:hAnsi="Times New Roman" w:cs="Times New Roman"/>
          <w:b/>
          <w:bCs/>
          <w:sz w:val="24"/>
          <w:szCs w:val="24"/>
        </w:rPr>
        <w:t xml:space="preserve">  </w:t>
      </w:r>
      <w:r w:rsidR="00F47DCC" w:rsidRPr="001B0E2C">
        <w:rPr>
          <w:rFonts w:ascii="Times New Roman" w:hAnsi="Times New Roman" w:cs="Times New Roman"/>
          <w:b/>
          <w:bCs/>
          <w:sz w:val="24"/>
          <w:szCs w:val="24"/>
        </w:rPr>
        <w:t>Formation des fruits (gousses, capitules et capsules)</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00F47DCC" w:rsidRPr="001B0E2C">
        <w:rPr>
          <w:rFonts w:ascii="Times New Roman" w:hAnsi="Times New Roman" w:cs="Times New Roman"/>
          <w:b/>
          <w:bCs/>
          <w:sz w:val="24"/>
          <w:szCs w:val="24"/>
        </w:rPr>
        <w:t xml:space="preserve"> </w:t>
      </w:r>
    </w:p>
    <w:p w:rsidR="00F47DCC" w:rsidRPr="00B2561F" w:rsidRDefault="00F47DCC" w:rsidP="004B44D4">
      <w:pPr>
        <w:pStyle w:val="Paragraphedeliste"/>
        <w:spacing w:before="240" w:line="360" w:lineRule="auto"/>
        <w:ind w:left="1728"/>
        <w:jc w:val="lowKashida"/>
        <w:outlineLvl w:val="0"/>
        <w:rPr>
          <w:rFonts w:ascii="Times New Roman" w:hAnsi="Times New Roman" w:cs="Times New Roman"/>
          <w:b/>
          <w:bCs/>
          <w:sz w:val="24"/>
          <w:szCs w:val="24"/>
        </w:rPr>
      </w:pPr>
      <w:bookmarkStart w:id="1286" w:name="_Toc251855063"/>
      <w:bookmarkStart w:id="1287" w:name="_Toc251855473"/>
      <w:bookmarkStart w:id="1288" w:name="_Toc126492634"/>
      <w:bookmarkStart w:id="1289" w:name="_Toc126493049"/>
      <w:bookmarkStart w:id="1290" w:name="_Toc126570561"/>
      <w:bookmarkStart w:id="1291" w:name="_Toc126571875"/>
      <w:bookmarkStart w:id="1292" w:name="_Toc126572656"/>
      <w:bookmarkStart w:id="1293" w:name="_Toc126575290"/>
      <w:bookmarkStart w:id="1294" w:name="_Toc126575967"/>
      <w:bookmarkStart w:id="1295" w:name="_Toc126576842"/>
      <w:bookmarkStart w:id="1296" w:name="_Toc252094051"/>
      <w:bookmarkStart w:id="1297" w:name="_Toc252365441"/>
      <w:bookmarkStart w:id="1298" w:name="_Toc252365712"/>
      <w:bookmarkStart w:id="1299" w:name="_Toc252366257"/>
      <w:r w:rsidRPr="00B2561F">
        <w:rPr>
          <w:rFonts w:ascii="Times New Roman" w:hAnsi="Times New Roman" w:cs="Times New Roman"/>
          <w:sz w:val="24"/>
          <w:szCs w:val="24"/>
        </w:rPr>
        <w:t>Correspondant à la formation des fruits chez 50% des plantes.</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rsidR="00F47DCC" w:rsidRPr="001B0E2C" w:rsidRDefault="00F47DCC"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bookmarkStart w:id="1300" w:name="_Toc251855064"/>
      <w:bookmarkStart w:id="1301" w:name="_Toc251855474"/>
      <w:bookmarkStart w:id="1302" w:name="_Toc126492635"/>
      <w:bookmarkStart w:id="1303" w:name="_Toc126493050"/>
      <w:bookmarkStart w:id="1304" w:name="_Toc126570562"/>
      <w:bookmarkStart w:id="1305" w:name="_Toc126571876"/>
      <w:bookmarkStart w:id="1306" w:name="_Toc126572657"/>
      <w:bookmarkStart w:id="1307" w:name="_Toc126575291"/>
      <w:bookmarkStart w:id="1308" w:name="_Toc126575968"/>
      <w:bookmarkStart w:id="1309" w:name="_Toc126576843"/>
      <w:bookmarkStart w:id="1310" w:name="_Toc252094052"/>
      <w:bookmarkStart w:id="1311" w:name="_Toc252365442"/>
      <w:bookmarkStart w:id="1312" w:name="_Toc252365713"/>
      <w:bookmarkStart w:id="1313" w:name="_Toc252366258"/>
      <w:r w:rsidRPr="001B0E2C">
        <w:rPr>
          <w:rFonts w:ascii="Times New Roman" w:hAnsi="Times New Roman" w:cs="Times New Roman"/>
          <w:b/>
          <w:bCs/>
          <w:sz w:val="24"/>
          <w:szCs w:val="24"/>
        </w:rPr>
        <w:t>Maturité des fruits (gousses, capitules et capsules)</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r w:rsidRPr="001B0E2C">
        <w:rPr>
          <w:rFonts w:ascii="Times New Roman" w:hAnsi="Times New Roman" w:cs="Times New Roman"/>
          <w:b/>
          <w:bCs/>
          <w:sz w:val="24"/>
          <w:szCs w:val="24"/>
        </w:rPr>
        <w:t xml:space="preserve"> </w:t>
      </w:r>
    </w:p>
    <w:p w:rsidR="00F47DCC" w:rsidRDefault="00F47DCC" w:rsidP="00A860F6">
      <w:pPr>
        <w:pStyle w:val="Paragraphedeliste"/>
        <w:spacing w:before="240" w:line="360" w:lineRule="auto"/>
        <w:ind w:left="1728"/>
        <w:jc w:val="lowKashida"/>
        <w:outlineLvl w:val="0"/>
        <w:rPr>
          <w:rFonts w:ascii="Times New Roman" w:hAnsi="Times New Roman" w:cs="Times New Roman"/>
          <w:sz w:val="24"/>
          <w:szCs w:val="24"/>
        </w:rPr>
      </w:pPr>
      <w:bookmarkStart w:id="1314" w:name="_Toc251855065"/>
      <w:bookmarkStart w:id="1315" w:name="_Toc251855475"/>
      <w:bookmarkStart w:id="1316" w:name="_Toc126492636"/>
      <w:bookmarkStart w:id="1317" w:name="_Toc126493051"/>
      <w:bookmarkStart w:id="1318" w:name="_Toc126570563"/>
      <w:bookmarkStart w:id="1319" w:name="_Toc126571877"/>
      <w:bookmarkStart w:id="1320" w:name="_Toc126572658"/>
      <w:bookmarkStart w:id="1321" w:name="_Toc126575292"/>
      <w:bookmarkStart w:id="1322" w:name="_Toc126575969"/>
      <w:bookmarkStart w:id="1323" w:name="_Toc126576844"/>
      <w:bookmarkStart w:id="1324" w:name="_Toc252094053"/>
      <w:bookmarkStart w:id="1325" w:name="_Toc252365443"/>
      <w:bookmarkStart w:id="1326" w:name="_Toc252365714"/>
      <w:bookmarkStart w:id="1327" w:name="_Toc252366259"/>
      <w:r w:rsidRPr="00B2561F">
        <w:rPr>
          <w:rFonts w:ascii="Times New Roman" w:hAnsi="Times New Roman" w:cs="Times New Roman"/>
          <w:sz w:val="24"/>
          <w:szCs w:val="24"/>
        </w:rPr>
        <w:t>Correspondant à la date où 50% des plantes ont tou</w:t>
      </w:r>
      <w:r w:rsidR="00A860F6">
        <w:rPr>
          <w:rFonts w:ascii="Times New Roman" w:hAnsi="Times New Roman" w:cs="Times New Roman"/>
          <w:sz w:val="24"/>
          <w:szCs w:val="24"/>
        </w:rPr>
        <w:t>t</w:t>
      </w:r>
      <w:r w:rsidRPr="00B2561F">
        <w:rPr>
          <w:rFonts w:ascii="Times New Roman" w:hAnsi="Times New Roman" w:cs="Times New Roman"/>
          <w:sz w:val="24"/>
          <w:szCs w:val="24"/>
        </w:rPr>
        <w:t xml:space="preserve">s leurs fruits qui ont </w:t>
      </w:r>
      <w:r w:rsidR="00A860F6">
        <w:rPr>
          <w:rFonts w:ascii="Times New Roman" w:hAnsi="Times New Roman" w:cs="Times New Roman"/>
          <w:sz w:val="24"/>
          <w:szCs w:val="24"/>
        </w:rPr>
        <w:t xml:space="preserve">atteint </w:t>
      </w:r>
      <w:r w:rsidRPr="00B2561F">
        <w:rPr>
          <w:rFonts w:ascii="Times New Roman" w:hAnsi="Times New Roman" w:cs="Times New Roman"/>
          <w:sz w:val="24"/>
          <w:szCs w:val="24"/>
        </w:rPr>
        <w:t xml:space="preserve"> le stade maturité physiologique.</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rsidR="00F47DCC" w:rsidRPr="00F47F3B" w:rsidRDefault="00F47DCC" w:rsidP="004B44D4">
      <w:pPr>
        <w:pStyle w:val="Paragraphedeliste"/>
        <w:spacing w:after="0" w:line="360" w:lineRule="auto"/>
        <w:ind w:left="1729"/>
        <w:jc w:val="lowKashida"/>
        <w:outlineLvl w:val="0"/>
        <w:rPr>
          <w:rFonts w:ascii="Times New Roman" w:hAnsi="Times New Roman" w:cs="Times New Roman"/>
          <w:b/>
          <w:bCs/>
          <w:sz w:val="24"/>
          <w:szCs w:val="24"/>
        </w:rPr>
      </w:pPr>
    </w:p>
    <w:p w:rsidR="00F47DCC" w:rsidRDefault="00F47DCC" w:rsidP="004B44D4">
      <w:pPr>
        <w:pStyle w:val="Paragraphedeliste"/>
        <w:numPr>
          <w:ilvl w:val="0"/>
          <w:numId w:val="49"/>
        </w:numPr>
        <w:spacing w:before="240" w:line="360" w:lineRule="auto"/>
        <w:jc w:val="lowKashida"/>
        <w:outlineLvl w:val="0"/>
        <w:rPr>
          <w:rFonts w:ascii="Times New Roman" w:hAnsi="Times New Roman" w:cs="Times New Roman"/>
          <w:b/>
          <w:bCs/>
          <w:sz w:val="24"/>
          <w:szCs w:val="24"/>
        </w:rPr>
      </w:pPr>
      <w:bookmarkStart w:id="1328" w:name="_Toc126575970"/>
      <w:bookmarkStart w:id="1329" w:name="_Toc126576845"/>
      <w:bookmarkStart w:id="1330" w:name="_Toc252094054"/>
      <w:bookmarkStart w:id="1331" w:name="_Toc252365444"/>
      <w:bookmarkStart w:id="1332" w:name="_Toc252365715"/>
      <w:bookmarkStart w:id="1333" w:name="_Toc252366260"/>
      <w:r w:rsidRPr="00932838">
        <w:rPr>
          <w:rFonts w:ascii="Times New Roman" w:hAnsi="Times New Roman" w:cs="Times New Roman"/>
          <w:b/>
          <w:bCs/>
          <w:sz w:val="24"/>
          <w:szCs w:val="24"/>
        </w:rPr>
        <w:t>Caractères de développement végétatif</w:t>
      </w:r>
      <w:bookmarkEnd w:id="1328"/>
      <w:bookmarkEnd w:id="1329"/>
      <w:bookmarkEnd w:id="1330"/>
      <w:bookmarkEnd w:id="1331"/>
      <w:bookmarkEnd w:id="1332"/>
      <w:bookmarkEnd w:id="1333"/>
    </w:p>
    <w:p w:rsidR="00F47DCC" w:rsidRPr="00585B3C" w:rsidRDefault="00F47DCC"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bookmarkStart w:id="1334" w:name="_Toc251855066"/>
      <w:bookmarkStart w:id="1335" w:name="_Toc251855476"/>
      <w:bookmarkStart w:id="1336" w:name="_Toc126492637"/>
      <w:bookmarkStart w:id="1337" w:name="_Toc126493052"/>
      <w:bookmarkStart w:id="1338" w:name="_Toc126570564"/>
      <w:bookmarkStart w:id="1339" w:name="_Toc126571878"/>
      <w:bookmarkStart w:id="1340" w:name="_Toc126572659"/>
      <w:bookmarkStart w:id="1341" w:name="_Toc126575293"/>
      <w:bookmarkStart w:id="1342" w:name="_Toc126575971"/>
      <w:bookmarkStart w:id="1343" w:name="_Toc126576846"/>
      <w:bookmarkStart w:id="1344" w:name="_Toc252094055"/>
      <w:bookmarkStart w:id="1345" w:name="_Toc252365445"/>
      <w:bookmarkStart w:id="1346" w:name="_Toc252365716"/>
      <w:bookmarkStart w:id="1347" w:name="_Toc252366261"/>
      <w:r w:rsidRPr="00585B3C">
        <w:rPr>
          <w:rFonts w:ascii="Times New Roman" w:hAnsi="Times New Roman" w:cs="Times New Roman"/>
          <w:b/>
          <w:bCs/>
          <w:sz w:val="24"/>
          <w:szCs w:val="24"/>
        </w:rPr>
        <w:t>Dynamique de croissance en hauteur</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rsidR="00F47DCC" w:rsidRPr="00585B3C" w:rsidRDefault="00F47DCC" w:rsidP="004B44D4">
      <w:pPr>
        <w:spacing w:before="240" w:line="360" w:lineRule="auto"/>
        <w:ind w:firstLine="284"/>
        <w:jc w:val="both"/>
        <w:rPr>
          <w:rFonts w:ascii="Times New Roman" w:hAnsi="Times New Roman" w:cs="Times New Roman"/>
          <w:sz w:val="24"/>
          <w:szCs w:val="24"/>
        </w:rPr>
      </w:pPr>
      <w:r w:rsidRPr="00585B3C">
        <w:rPr>
          <w:rFonts w:ascii="Times New Roman" w:hAnsi="Times New Roman" w:cs="Times New Roman"/>
          <w:sz w:val="24"/>
          <w:szCs w:val="24"/>
        </w:rPr>
        <w:t>Elle est évaluée grâce au développement de l’axe principal</w:t>
      </w:r>
      <w:r>
        <w:rPr>
          <w:rFonts w:ascii="Times New Roman" w:hAnsi="Times New Roman" w:cs="Times New Roman"/>
          <w:sz w:val="24"/>
          <w:szCs w:val="24"/>
        </w:rPr>
        <w:t>,</w:t>
      </w:r>
      <w:r w:rsidRPr="00585B3C">
        <w:rPr>
          <w:rFonts w:ascii="Times New Roman" w:hAnsi="Times New Roman" w:cs="Times New Roman"/>
          <w:sz w:val="24"/>
          <w:szCs w:val="24"/>
        </w:rPr>
        <w:t xml:space="preserve"> dont la hauteur a été mesurée, sur chaque plant</w:t>
      </w:r>
      <w:r>
        <w:rPr>
          <w:rFonts w:ascii="Times New Roman" w:hAnsi="Times New Roman" w:cs="Times New Roman"/>
          <w:sz w:val="24"/>
          <w:szCs w:val="24"/>
        </w:rPr>
        <w:t xml:space="preserve"> (soit 40 plants au hasard)</w:t>
      </w:r>
      <w:r w:rsidRPr="00585B3C">
        <w:rPr>
          <w:rFonts w:ascii="Times New Roman" w:hAnsi="Times New Roman" w:cs="Times New Roman"/>
          <w:sz w:val="24"/>
          <w:szCs w:val="24"/>
        </w:rPr>
        <w:t xml:space="preserve"> à </w:t>
      </w:r>
      <w:r>
        <w:rPr>
          <w:rFonts w:ascii="Times New Roman" w:hAnsi="Times New Roman" w:cs="Times New Roman"/>
          <w:sz w:val="24"/>
          <w:szCs w:val="24"/>
        </w:rPr>
        <w:t xml:space="preserve">des </w:t>
      </w:r>
      <w:r w:rsidRPr="00585B3C">
        <w:rPr>
          <w:rFonts w:ascii="Times New Roman" w:hAnsi="Times New Roman" w:cs="Times New Roman"/>
          <w:sz w:val="24"/>
          <w:szCs w:val="24"/>
        </w:rPr>
        <w:t>inter</w:t>
      </w:r>
      <w:r>
        <w:rPr>
          <w:rFonts w:ascii="Times New Roman" w:hAnsi="Times New Roman" w:cs="Times New Roman"/>
          <w:sz w:val="24"/>
          <w:szCs w:val="24"/>
        </w:rPr>
        <w:t xml:space="preserve">valles réguliers d’une semaine    </w:t>
      </w:r>
    </w:p>
    <w:p w:rsidR="00F47DCC" w:rsidRPr="001E025D" w:rsidRDefault="00F47DCC" w:rsidP="004B44D4">
      <w:pPr>
        <w:pStyle w:val="Paragraphedeliste"/>
        <w:numPr>
          <w:ilvl w:val="0"/>
          <w:numId w:val="17"/>
        </w:numPr>
        <w:spacing w:line="360" w:lineRule="auto"/>
        <w:jc w:val="lowKashida"/>
        <w:rPr>
          <w:rFonts w:ascii="Times New Roman" w:hAnsi="Times New Roman" w:cs="Times New Roman"/>
          <w:sz w:val="24"/>
          <w:szCs w:val="24"/>
        </w:rPr>
      </w:pPr>
      <w:r w:rsidRPr="001E025D">
        <w:rPr>
          <w:rFonts w:ascii="Times New Roman" w:hAnsi="Times New Roman" w:cs="Times New Roman"/>
          <w:sz w:val="24"/>
          <w:szCs w:val="24"/>
        </w:rPr>
        <w:t>Fenugrec : du 28 Mars au 25 Avril.</w:t>
      </w:r>
    </w:p>
    <w:p w:rsidR="00F47DCC" w:rsidRPr="001E025D" w:rsidRDefault="00F47DCC" w:rsidP="004B44D4">
      <w:pPr>
        <w:pStyle w:val="Paragraphedeliste"/>
        <w:numPr>
          <w:ilvl w:val="0"/>
          <w:numId w:val="17"/>
        </w:numPr>
        <w:spacing w:line="360" w:lineRule="auto"/>
        <w:rPr>
          <w:rFonts w:ascii="Times New Roman" w:hAnsi="Times New Roman" w:cs="Times New Roman"/>
          <w:sz w:val="24"/>
          <w:szCs w:val="24"/>
        </w:rPr>
      </w:pPr>
      <w:r w:rsidRPr="001E025D">
        <w:rPr>
          <w:rFonts w:ascii="Times New Roman" w:hAnsi="Times New Roman" w:cs="Times New Roman"/>
          <w:sz w:val="24"/>
          <w:szCs w:val="24"/>
        </w:rPr>
        <w:t>Carthame : du  7  Avril au 03 Mai.</w:t>
      </w:r>
    </w:p>
    <w:p w:rsidR="00F47DCC" w:rsidRDefault="00F47DCC" w:rsidP="004B44D4">
      <w:pPr>
        <w:pStyle w:val="Paragraphedeliste"/>
        <w:numPr>
          <w:ilvl w:val="0"/>
          <w:numId w:val="17"/>
        </w:numPr>
        <w:spacing w:line="360" w:lineRule="auto"/>
        <w:rPr>
          <w:rFonts w:ascii="Times New Roman" w:hAnsi="Times New Roman" w:cs="Times New Roman"/>
          <w:sz w:val="24"/>
          <w:szCs w:val="24"/>
        </w:rPr>
      </w:pPr>
      <w:r w:rsidRPr="001E025D">
        <w:rPr>
          <w:rFonts w:ascii="Times New Roman" w:hAnsi="Times New Roman" w:cs="Times New Roman"/>
          <w:sz w:val="24"/>
          <w:szCs w:val="24"/>
        </w:rPr>
        <w:t>Nigelle : du  15 Avril au  13  Mai.</w:t>
      </w:r>
    </w:p>
    <w:p w:rsidR="00F47DCC" w:rsidRPr="00F47F3B" w:rsidRDefault="00F47DCC" w:rsidP="004B44D4">
      <w:pPr>
        <w:pStyle w:val="Paragraphedeliste"/>
        <w:spacing w:after="0" w:line="360" w:lineRule="auto"/>
        <w:ind w:left="1729"/>
        <w:jc w:val="lowKashida"/>
        <w:outlineLvl w:val="0"/>
        <w:rPr>
          <w:rFonts w:ascii="Times New Roman" w:hAnsi="Times New Roman" w:cs="Times New Roman"/>
          <w:b/>
          <w:bCs/>
          <w:sz w:val="24"/>
          <w:szCs w:val="24"/>
        </w:rPr>
      </w:pPr>
    </w:p>
    <w:p w:rsidR="00F47DCC" w:rsidRPr="00585B3C" w:rsidRDefault="00F47DCC" w:rsidP="004B44D4">
      <w:pPr>
        <w:pStyle w:val="Paragraphedeliste"/>
        <w:numPr>
          <w:ilvl w:val="1"/>
          <w:numId w:val="49"/>
        </w:numPr>
        <w:spacing w:before="240" w:line="360" w:lineRule="auto"/>
        <w:jc w:val="lowKashida"/>
        <w:outlineLvl w:val="0"/>
        <w:rPr>
          <w:rFonts w:ascii="Times New Roman" w:hAnsi="Times New Roman" w:cs="Times New Roman"/>
          <w:b/>
          <w:bCs/>
          <w:sz w:val="24"/>
          <w:szCs w:val="24"/>
        </w:rPr>
      </w:pPr>
      <w:bookmarkStart w:id="1348" w:name="_Toc251855067"/>
      <w:bookmarkStart w:id="1349" w:name="_Toc251855477"/>
      <w:bookmarkStart w:id="1350" w:name="_Toc126492638"/>
      <w:bookmarkStart w:id="1351" w:name="_Toc126493053"/>
      <w:bookmarkStart w:id="1352" w:name="_Toc126570565"/>
      <w:bookmarkStart w:id="1353" w:name="_Toc126571879"/>
      <w:bookmarkStart w:id="1354" w:name="_Toc126572660"/>
      <w:bookmarkStart w:id="1355" w:name="_Toc126575972"/>
      <w:bookmarkStart w:id="1356" w:name="_Toc126576847"/>
      <w:bookmarkStart w:id="1357" w:name="_Toc252094056"/>
      <w:bookmarkStart w:id="1358" w:name="_Toc252365446"/>
      <w:bookmarkStart w:id="1359" w:name="_Toc252365717"/>
      <w:bookmarkStart w:id="1360" w:name="_Toc252366262"/>
      <w:r w:rsidRPr="00585B3C">
        <w:rPr>
          <w:rFonts w:ascii="Times New Roman" w:hAnsi="Times New Roman" w:cs="Times New Roman"/>
          <w:b/>
          <w:bCs/>
          <w:sz w:val="24"/>
          <w:szCs w:val="24"/>
        </w:rPr>
        <w:t>Vitesse de croissance en hauteur</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rsidR="00F47DCC" w:rsidRDefault="00F47DCC" w:rsidP="004B44D4">
      <w:pPr>
        <w:spacing w:before="240" w:line="360" w:lineRule="auto"/>
        <w:ind w:firstLine="284"/>
        <w:jc w:val="both"/>
        <w:rPr>
          <w:rFonts w:ascii="Times New Roman" w:hAnsi="Times New Roman" w:cs="Times New Roman"/>
          <w:sz w:val="24"/>
          <w:szCs w:val="24"/>
        </w:rPr>
      </w:pPr>
      <w:r w:rsidRPr="00585B3C">
        <w:rPr>
          <w:rFonts w:ascii="Times New Roman" w:hAnsi="Times New Roman" w:cs="Times New Roman"/>
          <w:sz w:val="24"/>
          <w:szCs w:val="24"/>
        </w:rPr>
        <w:t xml:space="preserve">Ce caractère a été donné par la formule suivante (en cm/j) : </w:t>
      </w:r>
    </w:p>
    <w:p w:rsidR="00170DC7" w:rsidRPr="007B0E3B" w:rsidRDefault="00F47DCC" w:rsidP="004B44D4">
      <w:pPr>
        <w:spacing w:before="240" w:line="360" w:lineRule="auto"/>
        <w:ind w:firstLine="567"/>
        <w:jc w:val="both"/>
        <w:rPr>
          <w:rFonts w:ascii="Times New Roman" w:hAnsi="Times New Roman" w:cs="Times New Roman"/>
          <w:b/>
          <w:bCs/>
          <w:sz w:val="24"/>
          <w:szCs w:val="24"/>
        </w:rPr>
      </w:pPr>
      <w:r w:rsidRPr="007B0E3B">
        <w:rPr>
          <w:rFonts w:ascii="Times New Roman" w:hAnsi="Times New Roman" w:cs="Times New Roman"/>
          <w:b/>
          <w:bCs/>
          <w:sz w:val="24"/>
          <w:szCs w:val="24"/>
        </w:rPr>
        <w:lastRenderedPageBreak/>
        <w:t xml:space="preserve">V </w:t>
      </w:r>
      <w:r w:rsidR="007B0E3B" w:rsidRPr="007B0E3B">
        <w:rPr>
          <w:rFonts w:ascii="Times New Roman" w:hAnsi="Times New Roman" w:cs="Times New Roman"/>
          <w:b/>
          <w:bCs/>
          <w:sz w:val="24"/>
          <w:szCs w:val="24"/>
        </w:rPr>
        <w:t xml:space="preserve">= </w:t>
      </w:r>
      <w:r w:rsidRPr="007B0E3B">
        <w:rPr>
          <w:rFonts w:ascii="Times New Roman" w:hAnsi="Times New Roman" w:cs="Times New Roman"/>
          <w:b/>
          <w:bCs/>
          <w:sz w:val="24"/>
          <w:szCs w:val="24"/>
        </w:rPr>
        <w:t xml:space="preserve">Dy/ Dt (HELLER, 2000) </w:t>
      </w:r>
    </w:p>
    <w:p w:rsidR="00F47DCC" w:rsidRPr="00585B3C" w:rsidRDefault="00185A1F" w:rsidP="00185A1F">
      <w:pPr>
        <w:spacing w:before="240" w:line="360" w:lineRule="auto"/>
        <w:ind w:firstLine="567"/>
        <w:jc w:val="both"/>
        <w:rPr>
          <w:rFonts w:ascii="Times New Roman" w:hAnsi="Times New Roman" w:cs="Times New Roman"/>
          <w:sz w:val="24"/>
          <w:szCs w:val="24"/>
        </w:rPr>
      </w:pPr>
      <w:r w:rsidRPr="00F2412E">
        <w:rPr>
          <w:rFonts w:ascii="Times New Roman" w:hAnsi="Times New Roman" w:cs="Times New Roman"/>
          <w:b/>
          <w:bCs/>
          <w:sz w:val="24"/>
          <w:szCs w:val="24"/>
        </w:rPr>
        <w:t>Avec</w:t>
      </w:r>
      <w:r w:rsidR="00F47DCC" w:rsidRPr="00F2412E">
        <w:rPr>
          <w:rFonts w:ascii="Times New Roman" w:hAnsi="Times New Roman" w:cs="Times New Roman"/>
          <w:b/>
          <w:bCs/>
          <w:sz w:val="24"/>
          <w:szCs w:val="24"/>
        </w:rPr>
        <w:t> </w:t>
      </w:r>
      <w:r w:rsidR="00F47DCC">
        <w:rPr>
          <w:rFonts w:ascii="Times New Roman" w:hAnsi="Times New Roman" w:cs="Times New Roman"/>
          <w:sz w:val="24"/>
          <w:szCs w:val="24"/>
        </w:rPr>
        <w:t>:</w:t>
      </w:r>
      <w:r>
        <w:rPr>
          <w:rFonts w:ascii="Times New Roman" w:hAnsi="Times New Roman" w:cs="Times New Roman"/>
          <w:sz w:val="24"/>
          <w:szCs w:val="24"/>
        </w:rPr>
        <w:t xml:space="preserve"> </w:t>
      </w:r>
      <w:r w:rsidR="00F47DCC" w:rsidRPr="00585B3C">
        <w:rPr>
          <w:rFonts w:ascii="Times New Roman" w:hAnsi="Times New Roman" w:cs="Times New Roman"/>
          <w:sz w:val="24"/>
          <w:szCs w:val="24"/>
        </w:rPr>
        <w:t>Dy = H2-H1</w:t>
      </w:r>
    </w:p>
    <w:p w:rsidR="00F47DCC" w:rsidRPr="00585B3C" w:rsidRDefault="00F47DCC" w:rsidP="004B44D4">
      <w:pPr>
        <w:spacing w:before="120" w:after="0" w:line="360" w:lineRule="auto"/>
        <w:ind w:left="708" w:firstLine="567"/>
        <w:jc w:val="both"/>
        <w:rPr>
          <w:rFonts w:ascii="Times New Roman" w:hAnsi="Times New Roman" w:cs="Times New Roman"/>
          <w:sz w:val="24"/>
          <w:szCs w:val="24"/>
        </w:rPr>
      </w:pPr>
      <w:r w:rsidRPr="00585B3C">
        <w:rPr>
          <w:rFonts w:ascii="Times New Roman" w:hAnsi="Times New Roman" w:cs="Times New Roman"/>
          <w:sz w:val="24"/>
          <w:szCs w:val="24"/>
        </w:rPr>
        <w:t>Dt = le nombre de jours entre la première mesure et la dernière mesure</w:t>
      </w:r>
      <w:r>
        <w:rPr>
          <w:rFonts w:ascii="Times New Roman" w:hAnsi="Times New Roman" w:cs="Times New Roman"/>
          <w:sz w:val="24"/>
          <w:szCs w:val="24"/>
        </w:rPr>
        <w:t>.</w:t>
      </w:r>
    </w:p>
    <w:p w:rsidR="00F47DCC" w:rsidRPr="00585B3C" w:rsidRDefault="00F47DCC" w:rsidP="004B44D4">
      <w:pPr>
        <w:spacing w:before="120" w:after="0" w:line="360" w:lineRule="auto"/>
        <w:ind w:left="708" w:firstLine="567"/>
        <w:jc w:val="both"/>
        <w:rPr>
          <w:rFonts w:ascii="Times New Roman" w:hAnsi="Times New Roman" w:cs="Times New Roman"/>
          <w:sz w:val="24"/>
          <w:szCs w:val="24"/>
        </w:rPr>
      </w:pPr>
      <w:r w:rsidRPr="00585B3C">
        <w:rPr>
          <w:rFonts w:ascii="Times New Roman" w:hAnsi="Times New Roman" w:cs="Times New Roman"/>
          <w:sz w:val="24"/>
          <w:szCs w:val="24"/>
        </w:rPr>
        <w:t>H1 : la hauteur  de la première mesure.</w:t>
      </w:r>
    </w:p>
    <w:p w:rsidR="00F47DCC" w:rsidRDefault="00F47DCC" w:rsidP="004B44D4">
      <w:pPr>
        <w:spacing w:before="120" w:after="0" w:line="360" w:lineRule="auto"/>
        <w:ind w:left="708" w:firstLine="567"/>
        <w:jc w:val="both"/>
        <w:rPr>
          <w:rFonts w:ascii="Times New Roman" w:hAnsi="Times New Roman" w:cs="Times New Roman"/>
          <w:sz w:val="24"/>
          <w:szCs w:val="24"/>
        </w:rPr>
      </w:pPr>
      <w:r w:rsidRPr="00585B3C">
        <w:rPr>
          <w:rFonts w:ascii="Times New Roman" w:hAnsi="Times New Roman" w:cs="Times New Roman"/>
          <w:sz w:val="24"/>
          <w:szCs w:val="24"/>
        </w:rPr>
        <w:t>H2 : la hauteur  de la dernière mesure.</w:t>
      </w:r>
    </w:p>
    <w:p w:rsidR="00F47DCC" w:rsidRPr="00F47F3B" w:rsidRDefault="00F47DCC" w:rsidP="004B44D4">
      <w:pPr>
        <w:pStyle w:val="Paragraphedeliste"/>
        <w:spacing w:after="0" w:line="360" w:lineRule="auto"/>
        <w:ind w:left="1729"/>
        <w:jc w:val="lowKashida"/>
        <w:outlineLvl w:val="0"/>
        <w:rPr>
          <w:rFonts w:ascii="Times New Roman" w:hAnsi="Times New Roman" w:cs="Times New Roman"/>
          <w:b/>
          <w:bCs/>
          <w:sz w:val="24"/>
          <w:szCs w:val="24"/>
        </w:rPr>
      </w:pPr>
    </w:p>
    <w:p w:rsidR="00F47DCC" w:rsidRDefault="00F47DCC" w:rsidP="004B44D4">
      <w:pPr>
        <w:pStyle w:val="Paragraphedeliste"/>
        <w:numPr>
          <w:ilvl w:val="0"/>
          <w:numId w:val="49"/>
        </w:numPr>
        <w:spacing w:before="240" w:line="360" w:lineRule="auto"/>
        <w:jc w:val="lowKashida"/>
        <w:outlineLvl w:val="0"/>
        <w:rPr>
          <w:rFonts w:ascii="Times New Roman" w:hAnsi="Times New Roman" w:cs="Times New Roman"/>
          <w:b/>
          <w:bCs/>
          <w:sz w:val="24"/>
          <w:szCs w:val="24"/>
        </w:rPr>
      </w:pPr>
      <w:r w:rsidRPr="00585B3C">
        <w:rPr>
          <w:rFonts w:ascii="Times New Roman" w:hAnsi="Times New Roman" w:cs="Times New Roman"/>
          <w:b/>
          <w:bCs/>
          <w:sz w:val="24"/>
          <w:szCs w:val="24"/>
        </w:rPr>
        <w:t xml:space="preserve"> </w:t>
      </w:r>
      <w:bookmarkStart w:id="1361" w:name="_Toc126575973"/>
      <w:bookmarkStart w:id="1362" w:name="_Toc126576848"/>
      <w:bookmarkStart w:id="1363" w:name="_Toc252094057"/>
      <w:bookmarkStart w:id="1364" w:name="_Toc252365447"/>
      <w:bookmarkStart w:id="1365" w:name="_Toc252365718"/>
      <w:bookmarkStart w:id="1366" w:name="_Toc252366263"/>
      <w:r w:rsidRPr="00585B3C">
        <w:rPr>
          <w:rFonts w:ascii="Times New Roman" w:hAnsi="Times New Roman" w:cs="Times New Roman"/>
          <w:b/>
          <w:bCs/>
          <w:sz w:val="24"/>
          <w:szCs w:val="24"/>
        </w:rPr>
        <w:t>Etude biométrique</w:t>
      </w:r>
      <w:bookmarkEnd w:id="1361"/>
      <w:bookmarkEnd w:id="1362"/>
      <w:bookmarkEnd w:id="1363"/>
      <w:bookmarkEnd w:id="1364"/>
      <w:bookmarkEnd w:id="1365"/>
      <w:bookmarkEnd w:id="1366"/>
    </w:p>
    <w:p w:rsidR="00F47DCC" w:rsidRPr="00CD0823" w:rsidRDefault="00F47DCC" w:rsidP="004B44D4">
      <w:pPr>
        <w:spacing w:before="240" w:line="360" w:lineRule="auto"/>
        <w:ind w:firstLine="284"/>
        <w:jc w:val="both"/>
        <w:rPr>
          <w:rFonts w:ascii="Times New Roman" w:hAnsi="Times New Roman" w:cs="Times New Roman"/>
          <w:sz w:val="24"/>
          <w:szCs w:val="24"/>
        </w:rPr>
      </w:pPr>
      <w:r w:rsidRPr="00CD0823">
        <w:rPr>
          <w:rFonts w:ascii="Times New Roman" w:hAnsi="Times New Roman" w:cs="Times New Roman"/>
          <w:sz w:val="24"/>
          <w:szCs w:val="24"/>
        </w:rPr>
        <w:t xml:space="preserve">Nous avons prélevé les plants sur lesquels a été effectué le suivi de </w:t>
      </w:r>
      <w:r w:rsidR="00A860F6">
        <w:rPr>
          <w:rFonts w:ascii="Times New Roman" w:hAnsi="Times New Roman" w:cs="Times New Roman"/>
          <w:sz w:val="24"/>
          <w:szCs w:val="24"/>
        </w:rPr>
        <w:t xml:space="preserve">la </w:t>
      </w:r>
      <w:r w:rsidRPr="00CD0823">
        <w:rPr>
          <w:rFonts w:ascii="Times New Roman" w:hAnsi="Times New Roman" w:cs="Times New Roman"/>
          <w:sz w:val="24"/>
          <w:szCs w:val="24"/>
        </w:rPr>
        <w:t>croissance, soit 40 plant par provenance :</w:t>
      </w:r>
    </w:p>
    <w:p w:rsidR="00F47DCC" w:rsidRPr="001E025D" w:rsidRDefault="00F47DCC" w:rsidP="004B44D4">
      <w:pPr>
        <w:pStyle w:val="Paragraphedeliste"/>
        <w:numPr>
          <w:ilvl w:val="0"/>
          <w:numId w:val="18"/>
        </w:numPr>
        <w:spacing w:line="360" w:lineRule="auto"/>
        <w:rPr>
          <w:rFonts w:ascii="Times New Roman" w:hAnsi="Times New Roman" w:cs="Times New Roman"/>
          <w:sz w:val="24"/>
          <w:szCs w:val="24"/>
        </w:rPr>
      </w:pPr>
      <w:r w:rsidRPr="001E025D">
        <w:rPr>
          <w:rFonts w:ascii="Times New Roman" w:hAnsi="Times New Roman" w:cs="Times New Roman"/>
          <w:sz w:val="24"/>
          <w:szCs w:val="24"/>
        </w:rPr>
        <w:t>No</w:t>
      </w:r>
      <w:r>
        <w:rPr>
          <w:rFonts w:ascii="Times New Roman" w:hAnsi="Times New Roman" w:cs="Times New Roman"/>
          <w:sz w:val="24"/>
          <w:szCs w:val="24"/>
        </w:rPr>
        <w:t>mbre de ramifications primaires ;</w:t>
      </w:r>
    </w:p>
    <w:p w:rsidR="00F47DCC" w:rsidRPr="001E025D" w:rsidRDefault="00F47DCC" w:rsidP="004B44D4">
      <w:pPr>
        <w:pStyle w:val="Paragraphedeliste"/>
        <w:numPr>
          <w:ilvl w:val="0"/>
          <w:numId w:val="18"/>
        </w:numPr>
        <w:spacing w:line="360" w:lineRule="auto"/>
        <w:rPr>
          <w:rFonts w:ascii="Times New Roman" w:hAnsi="Times New Roman" w:cs="Times New Roman"/>
          <w:sz w:val="24"/>
          <w:szCs w:val="24"/>
        </w:rPr>
      </w:pPr>
      <w:r w:rsidRPr="001E025D">
        <w:rPr>
          <w:rFonts w:ascii="Times New Roman" w:hAnsi="Times New Roman" w:cs="Times New Roman"/>
          <w:sz w:val="24"/>
          <w:szCs w:val="24"/>
        </w:rPr>
        <w:t>Nombre de ramificat</w:t>
      </w:r>
      <w:r>
        <w:rPr>
          <w:rFonts w:ascii="Times New Roman" w:hAnsi="Times New Roman" w:cs="Times New Roman"/>
          <w:sz w:val="24"/>
          <w:szCs w:val="24"/>
        </w:rPr>
        <w:t>ions secondaires ;</w:t>
      </w:r>
    </w:p>
    <w:p w:rsidR="00F47DCC" w:rsidRPr="001E025D" w:rsidRDefault="00F47DCC" w:rsidP="004B44D4">
      <w:pPr>
        <w:pStyle w:val="Paragraphedeliste"/>
        <w:numPr>
          <w:ilvl w:val="0"/>
          <w:numId w:val="18"/>
        </w:numPr>
        <w:spacing w:line="360" w:lineRule="auto"/>
        <w:rPr>
          <w:rFonts w:ascii="Times New Roman" w:hAnsi="Times New Roman" w:cs="Times New Roman"/>
          <w:sz w:val="24"/>
          <w:szCs w:val="24"/>
        </w:rPr>
      </w:pPr>
      <w:r w:rsidRPr="001E025D">
        <w:rPr>
          <w:rFonts w:ascii="Times New Roman" w:hAnsi="Times New Roman" w:cs="Times New Roman"/>
          <w:sz w:val="24"/>
          <w:szCs w:val="24"/>
        </w:rPr>
        <w:t>Nom</w:t>
      </w:r>
      <w:r>
        <w:rPr>
          <w:rFonts w:ascii="Times New Roman" w:hAnsi="Times New Roman" w:cs="Times New Roman"/>
          <w:sz w:val="24"/>
          <w:szCs w:val="24"/>
        </w:rPr>
        <w:t>bre de ramifications tertiaires ;</w:t>
      </w:r>
    </w:p>
    <w:p w:rsidR="00F47DCC" w:rsidRPr="001E025D" w:rsidRDefault="00F47DCC" w:rsidP="004B44D4">
      <w:pPr>
        <w:pStyle w:val="Paragraphedeliste"/>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Nombre de branche</w:t>
      </w:r>
      <w:r w:rsidR="00DC1E97">
        <w:rPr>
          <w:rFonts w:ascii="Times New Roman" w:hAnsi="Times New Roman" w:cs="Times New Roman"/>
          <w:sz w:val="24"/>
          <w:szCs w:val="24"/>
        </w:rPr>
        <w:t>s</w:t>
      </w:r>
      <w:r>
        <w:rPr>
          <w:rFonts w:ascii="Times New Roman" w:hAnsi="Times New Roman" w:cs="Times New Roman"/>
          <w:sz w:val="24"/>
          <w:szCs w:val="24"/>
        </w:rPr>
        <w:t xml:space="preserve"> par plant ;</w:t>
      </w:r>
    </w:p>
    <w:p w:rsidR="00F47DCC" w:rsidRPr="001E025D" w:rsidRDefault="00F47DCC" w:rsidP="004B44D4">
      <w:pPr>
        <w:pStyle w:val="Paragraphedeliste"/>
        <w:numPr>
          <w:ilvl w:val="0"/>
          <w:numId w:val="18"/>
        </w:numPr>
        <w:spacing w:line="360" w:lineRule="auto"/>
        <w:rPr>
          <w:rFonts w:ascii="Times New Roman" w:hAnsi="Times New Roman" w:cs="Times New Roman"/>
          <w:sz w:val="24"/>
          <w:szCs w:val="24"/>
        </w:rPr>
      </w:pPr>
      <w:r w:rsidRPr="001E025D">
        <w:rPr>
          <w:rFonts w:ascii="Times New Roman" w:hAnsi="Times New Roman" w:cs="Times New Roman"/>
          <w:sz w:val="24"/>
          <w:szCs w:val="24"/>
        </w:rPr>
        <w:t>Nombre</w:t>
      </w:r>
      <w:r>
        <w:rPr>
          <w:rFonts w:ascii="Times New Roman" w:hAnsi="Times New Roman" w:cs="Times New Roman"/>
          <w:sz w:val="24"/>
          <w:szCs w:val="24"/>
        </w:rPr>
        <w:t xml:space="preserve"> de gousses sur l’axe principal </w:t>
      </w:r>
      <w:r w:rsidR="00854CD3">
        <w:rPr>
          <w:rFonts w:ascii="Times New Roman" w:hAnsi="Times New Roman" w:cs="Times New Roman"/>
          <w:sz w:val="24"/>
          <w:szCs w:val="24"/>
        </w:rPr>
        <w:t>(chez</w:t>
      </w:r>
      <w:r w:rsidR="009C6858">
        <w:rPr>
          <w:rFonts w:ascii="Times New Roman" w:hAnsi="Times New Roman" w:cs="Times New Roman"/>
          <w:sz w:val="24"/>
          <w:szCs w:val="24"/>
        </w:rPr>
        <w:t xml:space="preserve"> le fenugrec)</w:t>
      </w:r>
      <w:r>
        <w:rPr>
          <w:rFonts w:ascii="Times New Roman" w:hAnsi="Times New Roman" w:cs="Times New Roman"/>
          <w:sz w:val="24"/>
          <w:szCs w:val="24"/>
        </w:rPr>
        <w:t>;</w:t>
      </w:r>
    </w:p>
    <w:p w:rsidR="00F47DCC" w:rsidRPr="001E025D" w:rsidRDefault="00F47DCC" w:rsidP="004B44D4">
      <w:pPr>
        <w:pStyle w:val="Paragraphedeliste"/>
        <w:numPr>
          <w:ilvl w:val="0"/>
          <w:numId w:val="18"/>
        </w:numPr>
        <w:spacing w:line="360" w:lineRule="auto"/>
        <w:rPr>
          <w:rFonts w:ascii="Times New Roman" w:hAnsi="Times New Roman" w:cs="Times New Roman"/>
          <w:sz w:val="24"/>
          <w:szCs w:val="24"/>
        </w:rPr>
      </w:pPr>
      <w:r w:rsidRPr="001E025D">
        <w:rPr>
          <w:rFonts w:ascii="Times New Roman" w:hAnsi="Times New Roman" w:cs="Times New Roman"/>
          <w:sz w:val="24"/>
          <w:szCs w:val="24"/>
        </w:rPr>
        <w:t>Nombre total de fruits (gousses, c</w:t>
      </w:r>
      <w:r>
        <w:rPr>
          <w:rFonts w:ascii="Times New Roman" w:hAnsi="Times New Roman" w:cs="Times New Roman"/>
          <w:sz w:val="24"/>
          <w:szCs w:val="24"/>
        </w:rPr>
        <w:t>apitules et capsules) par plant ;</w:t>
      </w:r>
    </w:p>
    <w:p w:rsidR="00F47DCC" w:rsidRPr="001E025D" w:rsidRDefault="00F47DCC" w:rsidP="004B44D4">
      <w:pPr>
        <w:pStyle w:val="Paragraphedeliste"/>
        <w:numPr>
          <w:ilvl w:val="0"/>
          <w:numId w:val="18"/>
        </w:numPr>
        <w:spacing w:line="360" w:lineRule="auto"/>
        <w:rPr>
          <w:rFonts w:ascii="Times New Roman" w:hAnsi="Times New Roman" w:cs="Times New Roman"/>
          <w:sz w:val="24"/>
          <w:szCs w:val="24"/>
        </w:rPr>
      </w:pPr>
      <w:r w:rsidRPr="001E025D">
        <w:rPr>
          <w:rFonts w:ascii="Times New Roman" w:hAnsi="Times New Roman" w:cs="Times New Roman"/>
          <w:sz w:val="24"/>
          <w:szCs w:val="24"/>
        </w:rPr>
        <w:t>Poids de fruits (gousses, capitules et capsules) par plant.</w:t>
      </w:r>
    </w:p>
    <w:p w:rsidR="00F47DCC" w:rsidRPr="00CD0823" w:rsidRDefault="00F47DCC" w:rsidP="004B44D4">
      <w:pPr>
        <w:spacing w:before="240" w:line="360" w:lineRule="auto"/>
        <w:ind w:firstLine="284"/>
        <w:jc w:val="both"/>
        <w:rPr>
          <w:rFonts w:ascii="Times New Roman" w:hAnsi="Times New Roman" w:cs="Times New Roman"/>
          <w:sz w:val="24"/>
          <w:szCs w:val="24"/>
        </w:rPr>
      </w:pPr>
      <w:r w:rsidRPr="00CD0823">
        <w:rPr>
          <w:rFonts w:ascii="Times New Roman" w:hAnsi="Times New Roman" w:cs="Times New Roman"/>
          <w:sz w:val="24"/>
          <w:szCs w:val="24"/>
        </w:rPr>
        <w:t xml:space="preserve">Sur les mêmes plants, nous avons prélevé aléatoirement 20 plants par population (soit 5 plants par bloc) sur lesquels les caractères biométriques sont observés sur 3 fruits (gousses, capitule et capsules) pris au hasard sur chaque plant (soit 60 fruits par population). </w:t>
      </w:r>
    </w:p>
    <w:p w:rsidR="00F47DCC" w:rsidRPr="001E025D" w:rsidRDefault="00763685" w:rsidP="00763685">
      <w:pPr>
        <w:pStyle w:val="Paragraphedeliste"/>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Longueur </w:t>
      </w:r>
      <w:r w:rsidR="00F47DCC" w:rsidRPr="001E025D">
        <w:rPr>
          <w:rFonts w:ascii="Times New Roman" w:hAnsi="Times New Roman" w:cs="Times New Roman"/>
          <w:sz w:val="24"/>
          <w:szCs w:val="24"/>
        </w:rPr>
        <w:t xml:space="preserve"> du fruit en cm (sans tenir compte du bec pour le fenugrec) </w:t>
      </w:r>
      <w:r w:rsidR="00F47DCC">
        <w:rPr>
          <w:rFonts w:ascii="Times New Roman" w:hAnsi="Times New Roman" w:cs="Times New Roman"/>
          <w:b/>
          <w:sz w:val="24"/>
          <w:szCs w:val="24"/>
        </w:rPr>
        <w:t>(</w:t>
      </w:r>
      <w:r w:rsidR="00F47DCC" w:rsidRPr="00E55F3F">
        <w:rPr>
          <w:rFonts w:ascii="Times New Roman" w:hAnsi="Times New Roman" w:cs="Times New Roman"/>
          <w:bCs/>
          <w:sz w:val="24"/>
          <w:szCs w:val="24"/>
        </w:rPr>
        <w:t>Fig</w:t>
      </w:r>
      <w:r w:rsidR="00F47DCC">
        <w:rPr>
          <w:rFonts w:ascii="Times New Roman" w:hAnsi="Times New Roman" w:cs="Times New Roman"/>
          <w:bCs/>
          <w:sz w:val="24"/>
          <w:szCs w:val="24"/>
        </w:rPr>
        <w:t xml:space="preserve">. </w:t>
      </w:r>
      <w:r w:rsidR="00F47DCC" w:rsidRPr="00E55F3F">
        <w:rPr>
          <w:rFonts w:ascii="Times New Roman" w:hAnsi="Times New Roman" w:cs="Times New Roman"/>
          <w:bCs/>
          <w:sz w:val="24"/>
          <w:szCs w:val="24"/>
        </w:rPr>
        <w:t>17)</w:t>
      </w:r>
      <w:r w:rsidR="00F47DCC">
        <w:rPr>
          <w:rFonts w:ascii="Times New Roman" w:hAnsi="Times New Roman" w:cs="Times New Roman"/>
          <w:bCs/>
          <w:sz w:val="24"/>
          <w:szCs w:val="24"/>
        </w:rPr>
        <w:t> ;</w:t>
      </w:r>
    </w:p>
    <w:p w:rsidR="00F47DCC" w:rsidRPr="001E025D" w:rsidRDefault="00F47DCC" w:rsidP="00763685">
      <w:pPr>
        <w:pStyle w:val="Paragraphedeliste"/>
        <w:numPr>
          <w:ilvl w:val="0"/>
          <w:numId w:val="19"/>
        </w:numPr>
        <w:spacing w:line="360" w:lineRule="auto"/>
        <w:rPr>
          <w:rFonts w:ascii="Times New Roman" w:hAnsi="Times New Roman" w:cs="Times New Roman"/>
          <w:sz w:val="24"/>
          <w:szCs w:val="24"/>
        </w:rPr>
      </w:pPr>
      <w:r w:rsidRPr="001E025D">
        <w:rPr>
          <w:rFonts w:ascii="Times New Roman" w:hAnsi="Times New Roman" w:cs="Times New Roman"/>
          <w:sz w:val="24"/>
          <w:szCs w:val="24"/>
        </w:rPr>
        <w:t xml:space="preserve">Diamètre du fruit en </w:t>
      </w:r>
      <w:r w:rsidRPr="00E55F3F">
        <w:rPr>
          <w:rFonts w:ascii="Times New Roman" w:hAnsi="Times New Roman" w:cs="Times New Roman"/>
          <w:sz w:val="24"/>
          <w:szCs w:val="24"/>
        </w:rPr>
        <w:t>cm (Fig</w:t>
      </w:r>
      <w:r>
        <w:rPr>
          <w:rFonts w:ascii="Times New Roman" w:hAnsi="Times New Roman" w:cs="Times New Roman"/>
          <w:sz w:val="24"/>
          <w:szCs w:val="24"/>
        </w:rPr>
        <w:t xml:space="preserve">. </w:t>
      </w:r>
      <w:r w:rsidRPr="00E55F3F">
        <w:rPr>
          <w:rFonts w:ascii="Times New Roman" w:hAnsi="Times New Roman" w:cs="Times New Roman"/>
          <w:sz w:val="24"/>
          <w:szCs w:val="24"/>
        </w:rPr>
        <w:t>17</w:t>
      </w:r>
      <w:r>
        <w:rPr>
          <w:rFonts w:ascii="Times New Roman" w:hAnsi="Times New Roman" w:cs="Times New Roman"/>
          <w:sz w:val="24"/>
          <w:szCs w:val="24"/>
        </w:rPr>
        <w:t>) ;</w:t>
      </w:r>
    </w:p>
    <w:p w:rsidR="00F47DCC" w:rsidRPr="001E025D" w:rsidRDefault="00F47DCC" w:rsidP="004B44D4">
      <w:pPr>
        <w:pStyle w:val="Paragraphedeliste"/>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Nombre de valves par capsule ;</w:t>
      </w:r>
    </w:p>
    <w:p w:rsidR="00F47DCC" w:rsidRPr="001E025D" w:rsidRDefault="00F47DCC" w:rsidP="00F5047F">
      <w:pPr>
        <w:pStyle w:val="Paragraphedeliste"/>
        <w:numPr>
          <w:ilvl w:val="0"/>
          <w:numId w:val="19"/>
        </w:numPr>
        <w:spacing w:line="360" w:lineRule="auto"/>
        <w:rPr>
          <w:rFonts w:ascii="Times New Roman" w:hAnsi="Times New Roman" w:cs="Times New Roman"/>
          <w:sz w:val="24"/>
          <w:szCs w:val="24"/>
        </w:rPr>
      </w:pPr>
      <w:r w:rsidRPr="001E025D">
        <w:rPr>
          <w:rFonts w:ascii="Times New Roman" w:hAnsi="Times New Roman" w:cs="Times New Roman"/>
          <w:sz w:val="24"/>
          <w:szCs w:val="24"/>
        </w:rPr>
        <w:t xml:space="preserve">Poids </w:t>
      </w:r>
      <w:r>
        <w:rPr>
          <w:rFonts w:ascii="Times New Roman" w:hAnsi="Times New Roman" w:cs="Times New Roman"/>
          <w:sz w:val="24"/>
          <w:szCs w:val="24"/>
        </w:rPr>
        <w:t xml:space="preserve">des </w:t>
      </w:r>
      <w:r w:rsidR="00874EC6">
        <w:rPr>
          <w:rFonts w:ascii="Times New Roman" w:hAnsi="Times New Roman" w:cs="Times New Roman"/>
          <w:sz w:val="24"/>
          <w:szCs w:val="24"/>
        </w:rPr>
        <w:t xml:space="preserve">fruits par plant en </w:t>
      </w:r>
      <w:r>
        <w:rPr>
          <w:rFonts w:ascii="Times New Roman" w:hAnsi="Times New Roman" w:cs="Times New Roman"/>
          <w:sz w:val="24"/>
          <w:szCs w:val="24"/>
        </w:rPr>
        <w:t>g ;</w:t>
      </w:r>
    </w:p>
    <w:p w:rsidR="00F47DCC" w:rsidRPr="001E025D" w:rsidRDefault="00F47DCC" w:rsidP="00F5047F">
      <w:pPr>
        <w:pStyle w:val="Paragraphedeliste"/>
        <w:numPr>
          <w:ilvl w:val="0"/>
          <w:numId w:val="19"/>
        </w:numPr>
        <w:spacing w:line="360" w:lineRule="auto"/>
        <w:rPr>
          <w:rFonts w:ascii="Times New Roman" w:hAnsi="Times New Roman" w:cs="Times New Roman"/>
          <w:sz w:val="24"/>
          <w:szCs w:val="24"/>
        </w:rPr>
      </w:pPr>
      <w:r w:rsidRPr="001E025D">
        <w:rPr>
          <w:rFonts w:ascii="Times New Roman" w:hAnsi="Times New Roman" w:cs="Times New Roman"/>
          <w:sz w:val="24"/>
          <w:szCs w:val="24"/>
        </w:rPr>
        <w:t>Poids des fl</w:t>
      </w:r>
      <w:r>
        <w:rPr>
          <w:rFonts w:ascii="Times New Roman" w:hAnsi="Times New Roman" w:cs="Times New Roman"/>
          <w:sz w:val="24"/>
          <w:szCs w:val="24"/>
        </w:rPr>
        <w:t>eurs par plant en mg (</w:t>
      </w:r>
      <w:r w:rsidR="004E1C15">
        <w:rPr>
          <w:rFonts w:ascii="Times New Roman" w:hAnsi="Times New Roman" w:cs="Times New Roman"/>
          <w:sz w:val="24"/>
          <w:szCs w:val="24"/>
        </w:rPr>
        <w:t xml:space="preserve">chez le </w:t>
      </w:r>
      <w:r>
        <w:rPr>
          <w:rFonts w:ascii="Times New Roman" w:hAnsi="Times New Roman" w:cs="Times New Roman"/>
          <w:sz w:val="24"/>
          <w:szCs w:val="24"/>
        </w:rPr>
        <w:t>carthame) ;</w:t>
      </w:r>
    </w:p>
    <w:p w:rsidR="00F47DCC" w:rsidRPr="001E025D" w:rsidRDefault="00F47DCC" w:rsidP="00F5047F">
      <w:pPr>
        <w:pStyle w:val="Paragraphedeliste"/>
        <w:numPr>
          <w:ilvl w:val="0"/>
          <w:numId w:val="19"/>
        </w:numPr>
        <w:spacing w:line="360" w:lineRule="auto"/>
        <w:rPr>
          <w:rFonts w:ascii="Times New Roman" w:hAnsi="Times New Roman" w:cs="Times New Roman"/>
          <w:sz w:val="24"/>
          <w:szCs w:val="24"/>
        </w:rPr>
      </w:pPr>
      <w:r w:rsidRPr="001E025D">
        <w:rPr>
          <w:rFonts w:ascii="Times New Roman" w:hAnsi="Times New Roman" w:cs="Times New Roman"/>
          <w:sz w:val="24"/>
          <w:szCs w:val="24"/>
        </w:rPr>
        <w:t>Nombre</w:t>
      </w:r>
      <w:r w:rsidR="00B37135">
        <w:rPr>
          <w:rFonts w:ascii="Times New Roman" w:hAnsi="Times New Roman" w:cs="Times New Roman"/>
          <w:sz w:val="24"/>
          <w:szCs w:val="24"/>
        </w:rPr>
        <w:t xml:space="preserve"> de</w:t>
      </w:r>
      <w:r w:rsidRPr="001E025D">
        <w:rPr>
          <w:rFonts w:ascii="Times New Roman" w:hAnsi="Times New Roman" w:cs="Times New Roman"/>
          <w:sz w:val="24"/>
          <w:szCs w:val="24"/>
        </w:rPr>
        <w:t xml:space="preserve"> </w:t>
      </w:r>
      <w:r>
        <w:rPr>
          <w:rFonts w:ascii="Times New Roman" w:hAnsi="Times New Roman" w:cs="Times New Roman"/>
          <w:sz w:val="24"/>
          <w:szCs w:val="24"/>
        </w:rPr>
        <w:t>graines saines par fruit ;</w:t>
      </w:r>
    </w:p>
    <w:p w:rsidR="00F47DCC" w:rsidRPr="001E025D" w:rsidRDefault="00F47DCC" w:rsidP="004B44D4">
      <w:pPr>
        <w:pStyle w:val="Paragraphedeliste"/>
        <w:numPr>
          <w:ilvl w:val="0"/>
          <w:numId w:val="19"/>
        </w:numPr>
        <w:spacing w:line="360" w:lineRule="auto"/>
        <w:rPr>
          <w:rFonts w:ascii="Times New Roman" w:hAnsi="Times New Roman" w:cs="Times New Roman"/>
          <w:sz w:val="24"/>
          <w:szCs w:val="24"/>
        </w:rPr>
      </w:pPr>
      <w:r w:rsidRPr="001E025D">
        <w:rPr>
          <w:rFonts w:ascii="Times New Roman" w:hAnsi="Times New Roman" w:cs="Times New Roman"/>
          <w:sz w:val="24"/>
          <w:szCs w:val="24"/>
        </w:rPr>
        <w:t xml:space="preserve">Nombre de </w:t>
      </w:r>
      <w:r w:rsidRPr="005E6B6B">
        <w:rPr>
          <w:rFonts w:ascii="Times New Roman" w:hAnsi="Times New Roman" w:cs="Times New Roman"/>
          <w:sz w:val="24"/>
          <w:szCs w:val="24"/>
        </w:rPr>
        <w:t>graines infectées</w:t>
      </w:r>
      <w:r w:rsidRPr="00200E92">
        <w:rPr>
          <w:rFonts w:ascii="Times New Roman" w:hAnsi="Times New Roman" w:cs="Times New Roman"/>
          <w:sz w:val="24"/>
          <w:szCs w:val="24"/>
        </w:rPr>
        <w:t xml:space="preserve"> (</w:t>
      </w:r>
      <w:r w:rsidRPr="002D6C55">
        <w:rPr>
          <w:rFonts w:ascii="Times New Roman" w:hAnsi="Times New Roman" w:cs="Times New Roman"/>
          <w:sz w:val="24"/>
          <w:szCs w:val="24"/>
        </w:rPr>
        <w:t>chez</w:t>
      </w:r>
      <w:r>
        <w:rPr>
          <w:rFonts w:ascii="Times New Roman" w:hAnsi="Times New Roman" w:cs="Times New Roman"/>
          <w:sz w:val="24"/>
          <w:szCs w:val="24"/>
        </w:rPr>
        <w:t xml:space="preserve"> le carthame) ;</w:t>
      </w:r>
    </w:p>
    <w:p w:rsidR="00F47DCC" w:rsidRPr="001E025D" w:rsidRDefault="00F47DCC" w:rsidP="00F5047F">
      <w:pPr>
        <w:pStyle w:val="Paragraphedeliste"/>
        <w:numPr>
          <w:ilvl w:val="0"/>
          <w:numId w:val="19"/>
        </w:numPr>
        <w:spacing w:line="360" w:lineRule="auto"/>
        <w:rPr>
          <w:rFonts w:ascii="Times New Roman" w:hAnsi="Times New Roman" w:cs="Times New Roman"/>
          <w:sz w:val="24"/>
          <w:szCs w:val="24"/>
        </w:rPr>
      </w:pPr>
      <w:r w:rsidRPr="001E025D">
        <w:rPr>
          <w:rFonts w:ascii="Times New Roman" w:hAnsi="Times New Roman" w:cs="Times New Roman"/>
          <w:sz w:val="24"/>
          <w:szCs w:val="24"/>
        </w:rPr>
        <w:t xml:space="preserve">Nombre de graines </w:t>
      </w:r>
      <w:r>
        <w:rPr>
          <w:rFonts w:ascii="Times New Roman" w:hAnsi="Times New Roman" w:cs="Times New Roman"/>
          <w:sz w:val="24"/>
          <w:szCs w:val="24"/>
        </w:rPr>
        <w:t>avortées et échaudées par fruit ;</w:t>
      </w:r>
    </w:p>
    <w:p w:rsidR="00F47DCC" w:rsidRPr="001E025D" w:rsidRDefault="00F47DCC" w:rsidP="004B44D4">
      <w:pPr>
        <w:pStyle w:val="Paragraphedeliste"/>
        <w:numPr>
          <w:ilvl w:val="0"/>
          <w:numId w:val="19"/>
        </w:numPr>
        <w:spacing w:line="360" w:lineRule="auto"/>
        <w:rPr>
          <w:rFonts w:ascii="Times New Roman" w:hAnsi="Times New Roman" w:cs="Times New Roman"/>
          <w:sz w:val="24"/>
          <w:szCs w:val="24"/>
        </w:rPr>
      </w:pPr>
      <w:r w:rsidRPr="00CD0823">
        <w:rPr>
          <w:rFonts w:ascii="Times New Roman" w:hAnsi="Times New Roman" w:cs="Times New Roman"/>
          <w:sz w:val="24"/>
          <w:szCs w:val="24"/>
        </w:rPr>
        <w:t>Nombre total des</w:t>
      </w:r>
      <w:r>
        <w:rPr>
          <w:rFonts w:ascii="Times New Roman" w:hAnsi="Times New Roman" w:cs="Times New Roman"/>
          <w:sz w:val="24"/>
          <w:szCs w:val="24"/>
        </w:rPr>
        <w:t xml:space="preserve"> graines par fruit ;</w:t>
      </w:r>
    </w:p>
    <w:p w:rsidR="00F47DCC" w:rsidRDefault="00F5047F" w:rsidP="00F5047F">
      <w:pPr>
        <w:pStyle w:val="Paragraphedeliste"/>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Poids </w:t>
      </w:r>
      <w:r w:rsidR="00F47DCC" w:rsidRPr="001E025D">
        <w:rPr>
          <w:rFonts w:ascii="Times New Roman" w:hAnsi="Times New Roman" w:cs="Times New Roman"/>
          <w:sz w:val="24"/>
          <w:szCs w:val="24"/>
        </w:rPr>
        <w:t xml:space="preserve"> frais des graines saines par fruit</w:t>
      </w:r>
      <w:r>
        <w:rPr>
          <w:rFonts w:ascii="Times New Roman" w:hAnsi="Times New Roman" w:cs="Times New Roman"/>
          <w:sz w:val="24"/>
          <w:szCs w:val="24"/>
        </w:rPr>
        <w:t xml:space="preserve"> et le poids des fleurs séchées par fruit </w:t>
      </w:r>
      <w:r w:rsidR="00F47DCC">
        <w:rPr>
          <w:rFonts w:ascii="Times New Roman" w:hAnsi="Times New Roman" w:cs="Times New Roman"/>
          <w:sz w:val="24"/>
          <w:szCs w:val="24"/>
        </w:rPr>
        <w:t>;</w:t>
      </w:r>
    </w:p>
    <w:p w:rsidR="00F47DCC" w:rsidRPr="001E025D" w:rsidRDefault="00F47DCC" w:rsidP="00F5047F">
      <w:pPr>
        <w:pStyle w:val="Paragraphedeliste"/>
        <w:numPr>
          <w:ilvl w:val="0"/>
          <w:numId w:val="19"/>
        </w:numPr>
        <w:spacing w:line="360" w:lineRule="auto"/>
        <w:rPr>
          <w:rFonts w:ascii="Times New Roman" w:hAnsi="Times New Roman" w:cs="Times New Roman"/>
          <w:sz w:val="24"/>
          <w:szCs w:val="24"/>
        </w:rPr>
      </w:pPr>
      <w:r w:rsidRPr="001E025D">
        <w:rPr>
          <w:rFonts w:ascii="Times New Roman" w:hAnsi="Times New Roman" w:cs="Times New Roman"/>
          <w:sz w:val="24"/>
          <w:szCs w:val="24"/>
        </w:rPr>
        <w:t>Poids de 1000 graines.</w:t>
      </w:r>
    </w:p>
    <w:p w:rsidR="00F47DCC" w:rsidRPr="00585B3C" w:rsidRDefault="00811D6A" w:rsidP="004B44D4">
      <w:pPr>
        <w:spacing w:after="4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41" style="position:absolute;left:0;text-align:left;margin-left:343.1pt;margin-top:88.45pt;width:24.15pt;height:21.2pt;z-index:251673600;mso-width-relative:margin;mso-height-relative:margin" arcsize="10923f" fillcolor="white [3201]" strokecolor="#fabf8f [1945]" strokeweight="1pt">
            <v:fill color2="#fbd4b4 [1305]" focusposition="1" focussize="" focus="100%" type="gradient"/>
            <v:shadow on="t" type="perspective" color="#974706 [1609]" opacity=".5" offset="1pt" offset2="-3pt"/>
            <v:textbox style="mso-next-textbox:#_x0000_s1041">
              <w:txbxContent>
                <w:p w:rsidR="008F5138" w:rsidRPr="00BF014D" w:rsidRDefault="008F5138" w:rsidP="00F47DCC">
                  <w:pPr>
                    <w:rPr>
                      <w:rFonts w:ascii="Times New Roman" w:hAnsi="Times New Roman" w:cs="Times New Roman"/>
                    </w:rPr>
                  </w:pPr>
                  <w:r w:rsidRPr="00BF014D">
                    <w:rPr>
                      <w:rFonts w:ascii="Times New Roman" w:hAnsi="Times New Roman" w:cs="Times New Roman"/>
                    </w:rPr>
                    <w:t>3</w:t>
                  </w:r>
                </w:p>
              </w:txbxContent>
            </v:textbox>
          </v:roundrect>
        </w:pict>
      </w:r>
      <w:r>
        <w:rPr>
          <w:rFonts w:ascii="Times New Roman" w:hAnsi="Times New Roman" w:cs="Times New Roman"/>
          <w:noProof/>
          <w:sz w:val="24"/>
          <w:szCs w:val="24"/>
        </w:rPr>
        <w:pict>
          <v:roundrect id="_x0000_s1040" style="position:absolute;left:0;text-align:left;margin-left:181.6pt;margin-top:90.6pt;width:24.15pt;height:21.2pt;z-index:251672576;mso-width-relative:margin;mso-height-relative:margin" arcsize="10923f" fillcolor="white [3201]" strokecolor="#fabf8f [1945]" strokeweight="1pt">
            <v:fill color2="#fbd4b4 [1305]" focusposition="1" focussize="" focus="100%" type="gradient"/>
            <v:shadow on="t" type="perspective" color="#974706 [1609]" opacity=".5" offset="1pt" offset2="-3pt"/>
            <v:textbox style="mso-next-textbox:#_x0000_s1040">
              <w:txbxContent>
                <w:p w:rsidR="008F5138" w:rsidRPr="00BF014D" w:rsidRDefault="008F5138" w:rsidP="00F47DCC">
                  <w:pPr>
                    <w:rPr>
                      <w:rFonts w:ascii="Times New Roman" w:hAnsi="Times New Roman" w:cs="Times New Roman"/>
                    </w:rPr>
                  </w:pPr>
                  <w:r w:rsidRPr="00BF014D">
                    <w:rPr>
                      <w:rFonts w:ascii="Times New Roman" w:hAnsi="Times New Roman" w:cs="Times New Roman"/>
                    </w:rPr>
                    <w:t>2</w:t>
                  </w:r>
                </w:p>
              </w:txbxContent>
            </v:textbox>
          </v:roundrect>
        </w:pict>
      </w:r>
      <w:r>
        <w:rPr>
          <w:rFonts w:ascii="Times New Roman" w:hAnsi="Times New Roman" w:cs="Times New Roman"/>
          <w:noProof/>
          <w:sz w:val="24"/>
          <w:szCs w:val="24"/>
        </w:rPr>
        <w:pict>
          <v:roundrect id="_x0000_s1039" style="position:absolute;left:0;text-align:left;margin-left:24.5pt;margin-top:90.5pt;width:24.15pt;height:21.2pt;z-index:251671552;mso-width-relative:margin;mso-height-relative:margin" arcsize="10923f" fillcolor="white [3201]" strokecolor="#fabf8f [1945]" strokeweight="1pt">
            <v:fill color2="#fbd4b4 [1305]" focusposition="1" focussize="" focus="100%" type="gradient"/>
            <v:shadow on="t" type="perspective" color="#974706 [1609]" opacity=".5" offset="1pt" offset2="-3pt"/>
            <v:textbox style="mso-next-textbox:#_x0000_s1039">
              <w:txbxContent>
                <w:p w:rsidR="008F5138" w:rsidRPr="00BF014D" w:rsidRDefault="008F5138" w:rsidP="00F47DCC">
                  <w:pPr>
                    <w:rPr>
                      <w:rFonts w:ascii="Times New Roman" w:hAnsi="Times New Roman" w:cs="Times New Roman"/>
                    </w:rPr>
                  </w:pPr>
                  <w:r w:rsidRPr="00BF014D">
                    <w:rPr>
                      <w:rFonts w:ascii="Times New Roman" w:hAnsi="Times New Roman" w:cs="Times New Roman"/>
                    </w:rPr>
                    <w:t>1</w:t>
                  </w:r>
                </w:p>
              </w:txbxContent>
            </v:textbox>
          </v:roundrect>
        </w:pict>
      </w:r>
      <w:r w:rsidR="00F47DCC">
        <w:rPr>
          <w:noProof/>
        </w:rPr>
        <w:drawing>
          <wp:inline distT="0" distB="0" distL="0" distR="0">
            <wp:extent cx="1806039" cy="1382494"/>
            <wp:effectExtent l="114300" t="38100" r="60861" b="65306"/>
            <wp:docPr id="28" name="Image 19" descr="DSC0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SC07593"/>
                    <pic:cNvPicPr>
                      <a:picLocks noChangeAspect="1" noChangeArrowheads="1"/>
                    </pic:cNvPicPr>
                  </pic:nvPicPr>
                  <pic:blipFill>
                    <a:blip r:embed="rId59"/>
                    <a:srcRect/>
                    <a:stretch>
                      <a:fillRect/>
                    </a:stretch>
                  </pic:blipFill>
                  <pic:spPr bwMode="auto">
                    <a:xfrm>
                      <a:off x="0" y="0"/>
                      <a:ext cx="1815035" cy="1389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47DCC">
        <w:rPr>
          <w:noProof/>
        </w:rPr>
        <w:drawing>
          <wp:inline distT="0" distB="0" distL="0" distR="0">
            <wp:extent cx="1947545" cy="1389380"/>
            <wp:effectExtent l="114300" t="38100" r="52705" b="58420"/>
            <wp:docPr id="29" name="Image 14" descr="DSC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SC07560"/>
                    <pic:cNvPicPr>
                      <a:picLocks noChangeAspect="1" noChangeArrowheads="1"/>
                    </pic:cNvPicPr>
                  </pic:nvPicPr>
                  <pic:blipFill>
                    <a:blip r:embed="rId60"/>
                    <a:srcRect/>
                    <a:stretch>
                      <a:fillRect/>
                    </a:stretch>
                  </pic:blipFill>
                  <pic:spPr bwMode="auto">
                    <a:xfrm>
                      <a:off x="0" y="0"/>
                      <a:ext cx="1947545" cy="1389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47DCC">
        <w:rPr>
          <w:noProof/>
        </w:rPr>
        <w:drawing>
          <wp:inline distT="0" distB="0" distL="0" distR="0">
            <wp:extent cx="1920513" cy="1337391"/>
            <wp:effectExtent l="114300" t="38100" r="60687" b="72309"/>
            <wp:docPr id="30" name="Image 12" descr="DSC0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SC07554"/>
                    <pic:cNvPicPr>
                      <a:picLocks noChangeAspect="1" noChangeArrowheads="1"/>
                    </pic:cNvPicPr>
                  </pic:nvPicPr>
                  <pic:blipFill>
                    <a:blip r:embed="rId61"/>
                    <a:srcRect/>
                    <a:stretch>
                      <a:fillRect/>
                    </a:stretch>
                  </pic:blipFill>
                  <pic:spPr bwMode="auto">
                    <a:xfrm>
                      <a:off x="0" y="0"/>
                      <a:ext cx="1923614" cy="1339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16C26" w:rsidRDefault="00811D6A" w:rsidP="004B44D4">
      <w:pPr>
        <w:keepNext/>
        <w:spacing w:after="0" w:line="360" w:lineRule="auto"/>
        <w:jc w:val="center"/>
      </w:pPr>
      <w:r w:rsidRPr="00811D6A">
        <w:rPr>
          <w:rFonts w:ascii="Times New Roman" w:hAnsi="Times New Roman" w:cs="Times New Roman"/>
          <w:b/>
          <w:bCs/>
          <w:noProof/>
          <w:sz w:val="24"/>
          <w:szCs w:val="24"/>
        </w:rPr>
        <w:pict>
          <v:roundrect id="_x0000_s1042" style="position:absolute;left:0;text-align:left;margin-left:20.25pt;margin-top:90.5pt;width:24.15pt;height:21.2pt;z-index:251674624;mso-width-relative:margin;mso-height-relative:margin" arcsize="10923f" fillcolor="white [3201]" strokecolor="#fabf8f [1945]" strokeweight="1pt">
            <v:fill color2="#fbd4b4 [1305]" focusposition="1" focussize="" focus="100%" type="gradient"/>
            <v:shadow on="t" type="perspective" color="#974706 [1609]" opacity=".5" offset="1pt" offset2="-3pt"/>
            <v:textbox style="mso-next-textbox:#_x0000_s1042">
              <w:txbxContent>
                <w:p w:rsidR="008F5138" w:rsidRPr="00BF014D" w:rsidRDefault="008F5138" w:rsidP="00F47DCC">
                  <w:pPr>
                    <w:rPr>
                      <w:rFonts w:ascii="Times New Roman" w:hAnsi="Times New Roman" w:cs="Times New Roman"/>
                    </w:rPr>
                  </w:pPr>
                  <w:r w:rsidRPr="00BF014D">
                    <w:rPr>
                      <w:rFonts w:ascii="Times New Roman" w:hAnsi="Times New Roman" w:cs="Times New Roman"/>
                    </w:rPr>
                    <w:t>4</w:t>
                  </w:r>
                </w:p>
              </w:txbxContent>
            </v:textbox>
          </v:roundrect>
        </w:pict>
      </w:r>
      <w:r w:rsidRPr="00811D6A">
        <w:rPr>
          <w:rFonts w:ascii="Times New Roman" w:hAnsi="Times New Roman" w:cs="Times New Roman"/>
          <w:noProof/>
          <w:sz w:val="24"/>
          <w:szCs w:val="24"/>
        </w:rPr>
        <w:pict>
          <v:roundrect id="_x0000_s1044" style="position:absolute;left:0;text-align:left;margin-left:344.75pt;margin-top:90.5pt;width:24.15pt;height:21.2pt;z-index:251676672;mso-width-relative:margin;mso-height-relative:margin" arcsize="10923f" fillcolor="white [3201]" strokecolor="#fabf8f [1945]" strokeweight="1pt">
            <v:fill color2="#fbd4b4 [1305]" focusposition="1" focussize="" focus="100%" type="gradient"/>
            <v:shadow on="t" type="perspective" color="#974706 [1609]" opacity=".5" offset="1pt" offset2="-3pt"/>
            <v:textbox style="mso-next-textbox:#_x0000_s1044">
              <w:txbxContent>
                <w:p w:rsidR="008F5138" w:rsidRPr="00BF014D" w:rsidRDefault="008F5138" w:rsidP="00F47DCC">
                  <w:pPr>
                    <w:rPr>
                      <w:rFonts w:ascii="Times New Roman" w:hAnsi="Times New Roman" w:cs="Times New Roman"/>
                    </w:rPr>
                  </w:pPr>
                  <w:r w:rsidRPr="00BF014D">
                    <w:rPr>
                      <w:rFonts w:ascii="Times New Roman" w:hAnsi="Times New Roman" w:cs="Times New Roman"/>
                    </w:rPr>
                    <w:t>6</w:t>
                  </w:r>
                </w:p>
              </w:txbxContent>
            </v:textbox>
          </v:roundrect>
        </w:pict>
      </w:r>
      <w:r w:rsidRPr="00811D6A">
        <w:rPr>
          <w:rFonts w:ascii="Times New Roman" w:hAnsi="Times New Roman" w:cs="Times New Roman"/>
          <w:b/>
          <w:bCs/>
          <w:noProof/>
          <w:sz w:val="24"/>
          <w:szCs w:val="24"/>
        </w:rPr>
        <w:pict>
          <v:roundrect id="_x0000_s1043" style="position:absolute;left:0;text-align:left;margin-left:181.85pt;margin-top:89.6pt;width:24.15pt;height:21.2pt;z-index:251675648;mso-width-relative:margin;mso-height-relative:margin" arcsize="10923f" fillcolor="white [3201]" strokecolor="#fabf8f [1945]" strokeweight="1pt">
            <v:fill color2="#fbd4b4 [1305]" focusposition="1" focussize="" focus="100%" type="gradient"/>
            <v:shadow on="t" type="perspective" color="#974706 [1609]" opacity=".5" offset="1pt" offset2="-3pt"/>
            <v:textbox style="mso-next-textbox:#_x0000_s1043">
              <w:txbxContent>
                <w:p w:rsidR="008F5138" w:rsidRPr="00BF014D" w:rsidRDefault="008F5138" w:rsidP="00F47DCC">
                  <w:pPr>
                    <w:rPr>
                      <w:rFonts w:ascii="Times New Roman" w:hAnsi="Times New Roman" w:cs="Times New Roman"/>
                    </w:rPr>
                  </w:pPr>
                  <w:r w:rsidRPr="00BF014D">
                    <w:rPr>
                      <w:rFonts w:ascii="Times New Roman" w:hAnsi="Times New Roman" w:cs="Times New Roman"/>
                    </w:rPr>
                    <w:t>5</w:t>
                  </w:r>
                </w:p>
              </w:txbxContent>
            </v:textbox>
          </v:roundrect>
        </w:pict>
      </w:r>
      <w:r w:rsidR="00F47DCC">
        <w:rPr>
          <w:noProof/>
        </w:rPr>
        <w:drawing>
          <wp:inline distT="0" distB="0" distL="0" distR="0">
            <wp:extent cx="1864783" cy="1327462"/>
            <wp:effectExtent l="114300" t="38100" r="59267" b="63188"/>
            <wp:docPr id="31" name="Image 17" descr="DSC0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SC07589"/>
                    <pic:cNvPicPr>
                      <a:picLocks noChangeAspect="1" noChangeArrowheads="1"/>
                    </pic:cNvPicPr>
                  </pic:nvPicPr>
                  <pic:blipFill>
                    <a:blip r:embed="rId62" cstate="print"/>
                    <a:srcRect/>
                    <a:stretch>
                      <a:fillRect/>
                    </a:stretch>
                  </pic:blipFill>
                  <pic:spPr bwMode="auto">
                    <a:xfrm>
                      <a:off x="0" y="0"/>
                      <a:ext cx="1866762" cy="1328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47DCC">
        <w:rPr>
          <w:noProof/>
        </w:rPr>
        <w:drawing>
          <wp:inline distT="0" distB="0" distL="0" distR="0">
            <wp:extent cx="1894568" cy="1397917"/>
            <wp:effectExtent l="114300" t="38100" r="48532" b="68933"/>
            <wp:docPr id="32" name="Image 13" descr="DSC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SC07555"/>
                    <pic:cNvPicPr>
                      <a:picLocks noChangeAspect="1" noChangeArrowheads="1"/>
                    </pic:cNvPicPr>
                  </pic:nvPicPr>
                  <pic:blipFill>
                    <a:blip r:embed="rId63"/>
                    <a:srcRect/>
                    <a:stretch>
                      <a:fillRect/>
                    </a:stretch>
                  </pic:blipFill>
                  <pic:spPr bwMode="auto">
                    <a:xfrm>
                      <a:off x="0" y="0"/>
                      <a:ext cx="1898737" cy="14009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47DCC">
        <w:rPr>
          <w:noProof/>
        </w:rPr>
        <w:drawing>
          <wp:inline distT="0" distB="0" distL="0" distR="0">
            <wp:extent cx="1927013" cy="1396359"/>
            <wp:effectExtent l="114300" t="38100" r="54187" b="70491"/>
            <wp:docPr id="33" name="Image 11" descr="DSC0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SC07552"/>
                    <pic:cNvPicPr>
                      <a:picLocks noChangeAspect="1" noChangeArrowheads="1"/>
                    </pic:cNvPicPr>
                  </pic:nvPicPr>
                  <pic:blipFill>
                    <a:blip r:embed="rId64"/>
                    <a:srcRect/>
                    <a:stretch>
                      <a:fillRect/>
                    </a:stretch>
                  </pic:blipFill>
                  <pic:spPr bwMode="auto">
                    <a:xfrm>
                      <a:off x="0" y="0"/>
                      <a:ext cx="1926671" cy="13961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47DCC" w:rsidRPr="00D01A41" w:rsidRDefault="00B16C26" w:rsidP="00D01A41">
      <w:pPr>
        <w:pStyle w:val="Lgende"/>
        <w:spacing w:before="240" w:line="360" w:lineRule="auto"/>
        <w:jc w:val="center"/>
        <w:rPr>
          <w:rFonts w:asciiTheme="majorBidi" w:hAnsiTheme="majorBidi" w:cstheme="majorBidi"/>
          <w:color w:val="auto"/>
          <w:sz w:val="24"/>
          <w:szCs w:val="24"/>
        </w:rPr>
      </w:pPr>
      <w:bookmarkStart w:id="1367" w:name="_Toc252194954"/>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17</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 xml:space="preserve">:Mesure de la longueur et du diamètre du fruit </w:t>
      </w:r>
      <w:r w:rsidRPr="00463B12">
        <w:rPr>
          <w:rFonts w:asciiTheme="majorBidi" w:hAnsiTheme="majorBidi" w:cstheme="majorBidi"/>
          <w:color w:val="auto"/>
          <w:sz w:val="20"/>
          <w:szCs w:val="20"/>
        </w:rPr>
        <w:t>[1, 2 et 3 : longueur du fruit de fenugrec, carthame et de la nigelle ; 4, 5 et 6 : diamètre du fruit du fenugrec, du carthame et de la nigelle].</w:t>
      </w:r>
      <w:bookmarkEnd w:id="1367"/>
    </w:p>
    <w:p w:rsidR="00F47DCC" w:rsidRPr="009200E8" w:rsidRDefault="00F47DCC" w:rsidP="009200E8">
      <w:pPr>
        <w:pStyle w:val="Paragraphedeliste"/>
        <w:numPr>
          <w:ilvl w:val="0"/>
          <w:numId w:val="19"/>
        </w:numPr>
        <w:spacing w:line="360" w:lineRule="auto"/>
        <w:rPr>
          <w:rFonts w:ascii="Times New Roman" w:hAnsi="Times New Roman" w:cs="Times New Roman"/>
          <w:sz w:val="24"/>
          <w:szCs w:val="24"/>
        </w:rPr>
      </w:pPr>
      <w:bookmarkStart w:id="1368" w:name="_Toc126575974"/>
      <w:bookmarkStart w:id="1369" w:name="_Toc126576849"/>
      <w:bookmarkStart w:id="1370" w:name="_Toc252094058"/>
      <w:r w:rsidRPr="009200E8">
        <w:rPr>
          <w:rFonts w:ascii="Times New Roman" w:hAnsi="Times New Roman" w:cs="Times New Roman"/>
          <w:sz w:val="24"/>
          <w:szCs w:val="24"/>
        </w:rPr>
        <w:t>Rendement estimé en graines</w:t>
      </w:r>
      <w:r w:rsidR="0030168C">
        <w:rPr>
          <w:rFonts w:ascii="Times New Roman" w:hAnsi="Times New Roman" w:cs="Times New Roman"/>
          <w:sz w:val="24"/>
          <w:szCs w:val="24"/>
        </w:rPr>
        <w:t xml:space="preserve"> et /ou en fleurs </w:t>
      </w:r>
      <w:r w:rsidRPr="009200E8">
        <w:rPr>
          <w:rFonts w:ascii="Times New Roman" w:hAnsi="Times New Roman" w:cs="Times New Roman"/>
          <w:sz w:val="24"/>
          <w:szCs w:val="24"/>
        </w:rPr>
        <w:t xml:space="preserve"> parcellaire</w:t>
      </w:r>
      <w:bookmarkEnd w:id="1368"/>
      <w:bookmarkEnd w:id="1369"/>
      <w:bookmarkEnd w:id="1370"/>
      <w:r w:rsidR="00EC7568">
        <w:rPr>
          <w:rFonts w:ascii="Times New Roman" w:hAnsi="Times New Roman" w:cs="Times New Roman"/>
          <w:sz w:val="24"/>
          <w:szCs w:val="24"/>
        </w:rPr>
        <w:t>.</w:t>
      </w:r>
      <w:r w:rsidRPr="009200E8">
        <w:rPr>
          <w:rFonts w:ascii="Times New Roman" w:hAnsi="Times New Roman" w:cs="Times New Roman"/>
          <w:sz w:val="24"/>
          <w:szCs w:val="24"/>
        </w:rPr>
        <w:t> </w:t>
      </w:r>
    </w:p>
    <w:p w:rsidR="002A40DA" w:rsidRPr="00CD0823" w:rsidRDefault="00F47DCC" w:rsidP="002A40DA">
      <w:pPr>
        <w:spacing w:line="360" w:lineRule="auto"/>
        <w:ind w:firstLine="284"/>
        <w:rPr>
          <w:rFonts w:ascii="Times New Roman" w:hAnsi="Times New Roman" w:cs="Times New Roman"/>
          <w:bCs/>
          <w:sz w:val="24"/>
          <w:szCs w:val="24"/>
        </w:rPr>
      </w:pPr>
      <w:r w:rsidRPr="00CD0823">
        <w:rPr>
          <w:rFonts w:ascii="Times New Roman" w:hAnsi="Times New Roman" w:cs="Times New Roman"/>
          <w:bCs/>
          <w:sz w:val="24"/>
          <w:szCs w:val="24"/>
        </w:rPr>
        <w:t>Le rendement est calculé avec la formule du rendement des composantes de rendement (SOLTNER, 2005), selon la formule suivante :</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363"/>
      </w:tblGrid>
      <w:tr w:rsidR="00F47DCC" w:rsidRPr="00BF014D" w:rsidTr="003C7401">
        <w:trPr>
          <w:trHeight w:val="540"/>
        </w:trPr>
        <w:tc>
          <w:tcPr>
            <w:tcW w:w="5000" w:type="pct"/>
          </w:tcPr>
          <w:p w:rsidR="00F47DCC" w:rsidRDefault="00F47DCC" w:rsidP="004B44D4">
            <w:pPr>
              <w:spacing w:after="0" w:line="360" w:lineRule="auto"/>
              <w:jc w:val="center"/>
              <w:rPr>
                <w:rFonts w:ascii="Times New Roman" w:hAnsi="Times New Roman" w:cs="Times New Roman"/>
                <w:bCs/>
                <w:sz w:val="24"/>
                <w:szCs w:val="24"/>
              </w:rPr>
            </w:pPr>
            <w:r w:rsidRPr="00BF014D">
              <w:rPr>
                <w:rFonts w:ascii="Times New Roman" w:hAnsi="Times New Roman" w:cs="Times New Roman"/>
                <w:bCs/>
                <w:sz w:val="24"/>
                <w:szCs w:val="24"/>
              </w:rPr>
              <w:t xml:space="preserve">Le rendement </w:t>
            </w:r>
            <w:r>
              <w:rPr>
                <w:rFonts w:ascii="Times New Roman" w:hAnsi="Times New Roman" w:cs="Times New Roman"/>
                <w:bCs/>
                <w:sz w:val="24"/>
                <w:szCs w:val="24"/>
              </w:rPr>
              <w:t>en grain</w:t>
            </w:r>
            <w:r w:rsidR="004362FE">
              <w:rPr>
                <w:rFonts w:ascii="Times New Roman" w:hAnsi="Times New Roman" w:cs="Times New Roman"/>
                <w:bCs/>
                <w:sz w:val="24"/>
                <w:szCs w:val="24"/>
              </w:rPr>
              <w:t>e</w:t>
            </w:r>
            <w:r>
              <w:rPr>
                <w:rFonts w:ascii="Times New Roman" w:hAnsi="Times New Roman" w:cs="Times New Roman"/>
                <w:bCs/>
                <w:sz w:val="24"/>
                <w:szCs w:val="24"/>
              </w:rPr>
              <w:t xml:space="preserve"> </w:t>
            </w:r>
            <w:r w:rsidRPr="00BF014D">
              <w:rPr>
                <w:rFonts w:ascii="Times New Roman" w:hAnsi="Times New Roman" w:cs="Times New Roman"/>
                <w:bCs/>
                <w:sz w:val="24"/>
                <w:szCs w:val="24"/>
              </w:rPr>
              <w:t xml:space="preserve">estimé </w:t>
            </w:r>
            <w:r>
              <w:rPr>
                <w:rFonts w:ascii="Times New Roman" w:hAnsi="Times New Roman" w:cs="Times New Roman"/>
                <w:bCs/>
                <w:sz w:val="24"/>
                <w:szCs w:val="24"/>
              </w:rPr>
              <w:t>par</w:t>
            </w:r>
            <w:r w:rsidRPr="00BF014D">
              <w:rPr>
                <w:rFonts w:ascii="Times New Roman" w:hAnsi="Times New Roman" w:cs="Times New Roman"/>
                <w:bCs/>
                <w:sz w:val="24"/>
                <w:szCs w:val="24"/>
              </w:rPr>
              <w:t xml:space="preserve"> parcell</w:t>
            </w:r>
            <w:r>
              <w:rPr>
                <w:rFonts w:ascii="Times New Roman" w:hAnsi="Times New Roman" w:cs="Times New Roman"/>
                <w:bCs/>
                <w:sz w:val="24"/>
                <w:szCs w:val="24"/>
              </w:rPr>
              <w:t>e</w:t>
            </w:r>
            <w:r w:rsidRPr="00BF014D">
              <w:rPr>
                <w:rFonts w:ascii="Times New Roman" w:hAnsi="Times New Roman" w:cs="Times New Roman"/>
                <w:bCs/>
                <w:sz w:val="24"/>
                <w:szCs w:val="24"/>
              </w:rPr>
              <w:t xml:space="preserve"> = Nombre de plant</w:t>
            </w:r>
            <w:r>
              <w:rPr>
                <w:rFonts w:ascii="Times New Roman" w:hAnsi="Times New Roman" w:cs="Times New Roman"/>
                <w:bCs/>
                <w:sz w:val="24"/>
                <w:szCs w:val="24"/>
              </w:rPr>
              <w:t>s</w:t>
            </w:r>
            <w:r w:rsidRPr="00BF014D">
              <w:rPr>
                <w:rFonts w:ascii="Times New Roman" w:hAnsi="Times New Roman" w:cs="Times New Roman"/>
                <w:bCs/>
                <w:sz w:val="24"/>
                <w:szCs w:val="24"/>
              </w:rPr>
              <w:t xml:space="preserve"> par parcelle × Nombre de fruit</w:t>
            </w:r>
            <w:r>
              <w:rPr>
                <w:rFonts w:ascii="Times New Roman" w:hAnsi="Times New Roman" w:cs="Times New Roman"/>
                <w:bCs/>
                <w:sz w:val="24"/>
                <w:szCs w:val="24"/>
              </w:rPr>
              <w:t>s</w:t>
            </w:r>
            <w:r w:rsidRPr="00BF014D">
              <w:rPr>
                <w:rFonts w:ascii="Times New Roman" w:hAnsi="Times New Roman" w:cs="Times New Roman"/>
                <w:bCs/>
                <w:sz w:val="24"/>
                <w:szCs w:val="24"/>
              </w:rPr>
              <w:t xml:space="preserve"> par plant × Nombre de graines par fruits × poids de 1000 graines.</w:t>
            </w:r>
          </w:p>
          <w:p w:rsidR="00D01A41" w:rsidRPr="00D01A41" w:rsidRDefault="00D01A41" w:rsidP="00D01A41">
            <w:pPr>
              <w:spacing w:line="360" w:lineRule="auto"/>
              <w:jc w:val="both"/>
              <w:rPr>
                <w:rFonts w:ascii="Times New Roman" w:hAnsi="Times New Roman" w:cs="Times New Roman"/>
                <w:sz w:val="24"/>
                <w:szCs w:val="24"/>
              </w:rPr>
            </w:pPr>
            <w:r>
              <w:rPr>
                <w:rFonts w:ascii="Times New Roman" w:hAnsi="Times New Roman" w:cs="Times New Roman"/>
                <w:sz w:val="24"/>
                <w:szCs w:val="24"/>
              </w:rPr>
              <w:t>Le r</w:t>
            </w:r>
            <w:r w:rsidRPr="00D01A41">
              <w:rPr>
                <w:rFonts w:ascii="Times New Roman" w:hAnsi="Times New Roman" w:cs="Times New Roman"/>
                <w:sz w:val="24"/>
                <w:szCs w:val="24"/>
              </w:rPr>
              <w:t>e</w:t>
            </w:r>
            <w:r w:rsidR="00D16438">
              <w:rPr>
                <w:rFonts w:ascii="Times New Roman" w:hAnsi="Times New Roman" w:cs="Times New Roman"/>
                <w:sz w:val="24"/>
                <w:szCs w:val="24"/>
              </w:rPr>
              <w:t xml:space="preserve">ndement </w:t>
            </w:r>
            <w:r w:rsidR="006765FD">
              <w:rPr>
                <w:rFonts w:ascii="Times New Roman" w:hAnsi="Times New Roman" w:cs="Times New Roman"/>
                <w:sz w:val="24"/>
                <w:szCs w:val="24"/>
              </w:rPr>
              <w:t>en f</w:t>
            </w:r>
            <w:r w:rsidRPr="00D01A41">
              <w:rPr>
                <w:rFonts w:ascii="Times New Roman" w:hAnsi="Times New Roman" w:cs="Times New Roman"/>
                <w:sz w:val="24"/>
                <w:szCs w:val="24"/>
              </w:rPr>
              <w:t xml:space="preserve">leurs </w:t>
            </w:r>
            <w:r w:rsidR="00D16438">
              <w:rPr>
                <w:rFonts w:ascii="Times New Roman" w:hAnsi="Times New Roman" w:cs="Times New Roman"/>
                <w:sz w:val="24"/>
                <w:szCs w:val="24"/>
              </w:rPr>
              <w:t xml:space="preserve">estimé </w:t>
            </w:r>
            <w:r w:rsidRPr="00D01A41">
              <w:rPr>
                <w:rFonts w:ascii="Times New Roman" w:hAnsi="Times New Roman" w:cs="Times New Roman"/>
                <w:sz w:val="24"/>
                <w:szCs w:val="24"/>
              </w:rPr>
              <w:t>par</w:t>
            </w:r>
            <w:r w:rsidR="00073D63">
              <w:rPr>
                <w:rFonts w:ascii="Times New Roman" w:hAnsi="Times New Roman" w:cs="Times New Roman"/>
                <w:sz w:val="24"/>
                <w:szCs w:val="24"/>
              </w:rPr>
              <w:t xml:space="preserve"> par</w:t>
            </w:r>
            <w:r w:rsidRPr="00D01A41">
              <w:rPr>
                <w:rFonts w:ascii="Times New Roman" w:hAnsi="Times New Roman" w:cs="Times New Roman"/>
                <w:sz w:val="24"/>
                <w:szCs w:val="24"/>
              </w:rPr>
              <w:t>cellaire =</w:t>
            </w:r>
            <w:r w:rsidRPr="00BF014D">
              <w:rPr>
                <w:rFonts w:ascii="Times New Roman" w:hAnsi="Times New Roman" w:cs="Times New Roman"/>
                <w:bCs/>
                <w:sz w:val="24"/>
                <w:szCs w:val="24"/>
              </w:rPr>
              <w:t xml:space="preserve"> Nombre de plant</w:t>
            </w:r>
            <w:r>
              <w:rPr>
                <w:rFonts w:ascii="Times New Roman" w:hAnsi="Times New Roman" w:cs="Times New Roman"/>
                <w:bCs/>
                <w:sz w:val="24"/>
                <w:szCs w:val="24"/>
              </w:rPr>
              <w:t>s</w:t>
            </w:r>
            <w:r w:rsidRPr="00BF014D">
              <w:rPr>
                <w:rFonts w:ascii="Times New Roman" w:hAnsi="Times New Roman" w:cs="Times New Roman"/>
                <w:bCs/>
                <w:sz w:val="24"/>
                <w:szCs w:val="24"/>
              </w:rPr>
              <w:t xml:space="preserve"> par parcelle</w:t>
            </w:r>
            <w:r>
              <w:rPr>
                <w:rFonts w:ascii="Times New Roman" w:hAnsi="Times New Roman" w:cs="Times New Roman"/>
                <w:bCs/>
                <w:sz w:val="24"/>
                <w:szCs w:val="24"/>
              </w:rPr>
              <w:t xml:space="preserve"> </w:t>
            </w:r>
            <w:r w:rsidRPr="00BF014D">
              <w:rPr>
                <w:rFonts w:ascii="Times New Roman" w:hAnsi="Times New Roman" w:cs="Times New Roman"/>
                <w:bCs/>
                <w:sz w:val="24"/>
                <w:szCs w:val="24"/>
              </w:rPr>
              <w:t>×</w:t>
            </w:r>
            <w:r w:rsidR="00AE1AFA">
              <w:rPr>
                <w:rFonts w:ascii="Times New Roman" w:hAnsi="Times New Roman" w:cs="Times New Roman"/>
                <w:bCs/>
                <w:sz w:val="24"/>
                <w:szCs w:val="24"/>
              </w:rPr>
              <w:t xml:space="preserve"> Poids de fleur</w:t>
            </w:r>
            <w:r>
              <w:rPr>
                <w:rFonts w:ascii="Times New Roman" w:hAnsi="Times New Roman" w:cs="Times New Roman"/>
                <w:bCs/>
                <w:sz w:val="24"/>
                <w:szCs w:val="24"/>
              </w:rPr>
              <w:t>s par plant</w:t>
            </w:r>
          </w:p>
        </w:tc>
      </w:tr>
    </w:tbl>
    <w:p w:rsidR="00F47DCC" w:rsidRPr="000756AF" w:rsidRDefault="000756AF" w:rsidP="004B44D4">
      <w:pPr>
        <w:pStyle w:val="Titre1"/>
        <w:numPr>
          <w:ilvl w:val="0"/>
          <w:numId w:val="47"/>
        </w:numPr>
        <w:spacing w:after="240" w:line="360" w:lineRule="auto"/>
        <w:jc w:val="both"/>
        <w:rPr>
          <w:rFonts w:ascii="Times New Roman" w:hAnsi="Times New Roman"/>
          <w:color w:val="auto"/>
        </w:rPr>
      </w:pPr>
      <w:bookmarkStart w:id="1371" w:name="_Toc126575294"/>
      <w:bookmarkStart w:id="1372" w:name="_Toc126575975"/>
      <w:bookmarkStart w:id="1373" w:name="_Toc126576850"/>
      <w:bookmarkStart w:id="1374" w:name="_Toc252094059"/>
      <w:bookmarkStart w:id="1375" w:name="_Toc252365448"/>
      <w:bookmarkStart w:id="1376" w:name="_Toc252365719"/>
      <w:bookmarkStart w:id="1377" w:name="_Toc252366264"/>
      <w:r w:rsidRPr="000756AF">
        <w:rPr>
          <w:rFonts w:ascii="Times New Roman" w:hAnsi="Times New Roman"/>
          <w:color w:val="auto"/>
        </w:rPr>
        <w:t>Méthodes d'analyse statistique</w:t>
      </w:r>
      <w:bookmarkEnd w:id="1371"/>
      <w:bookmarkEnd w:id="1372"/>
      <w:bookmarkEnd w:id="1373"/>
      <w:bookmarkEnd w:id="1374"/>
      <w:bookmarkEnd w:id="1375"/>
      <w:bookmarkEnd w:id="1376"/>
      <w:bookmarkEnd w:id="1377"/>
    </w:p>
    <w:p w:rsidR="00F47DCC" w:rsidRPr="00585B3C" w:rsidRDefault="00F47DCC" w:rsidP="004B44D4">
      <w:pPr>
        <w:spacing w:line="360" w:lineRule="auto"/>
        <w:ind w:firstLine="284"/>
        <w:rPr>
          <w:rFonts w:ascii="Times New Roman" w:hAnsi="Times New Roman" w:cs="Times New Roman"/>
          <w:sz w:val="24"/>
          <w:szCs w:val="24"/>
        </w:rPr>
      </w:pPr>
      <w:r w:rsidRPr="00585B3C">
        <w:rPr>
          <w:rFonts w:ascii="Times New Roman" w:hAnsi="Times New Roman" w:cs="Times New Roman"/>
          <w:sz w:val="24"/>
          <w:szCs w:val="24"/>
        </w:rPr>
        <w:t xml:space="preserve">Les données recueillies ont fait l'objet </w:t>
      </w:r>
    </w:p>
    <w:p w:rsidR="00F47DCC" w:rsidRPr="00585B3C" w:rsidRDefault="00F47DCC" w:rsidP="00E53320">
      <w:pPr>
        <w:numPr>
          <w:ilvl w:val="0"/>
          <w:numId w:val="8"/>
        </w:numPr>
        <w:spacing w:after="0" w:line="360" w:lineRule="auto"/>
        <w:rPr>
          <w:rFonts w:ascii="Times New Roman" w:hAnsi="Times New Roman" w:cs="Times New Roman"/>
          <w:sz w:val="24"/>
          <w:szCs w:val="24"/>
        </w:rPr>
      </w:pPr>
      <w:r w:rsidRPr="00585B3C">
        <w:rPr>
          <w:rFonts w:ascii="Times New Roman" w:hAnsi="Times New Roman" w:cs="Times New Roman"/>
          <w:sz w:val="24"/>
          <w:szCs w:val="24"/>
        </w:rPr>
        <w:t xml:space="preserve">d'une analyse </w:t>
      </w:r>
      <w:r>
        <w:rPr>
          <w:rFonts w:ascii="Times New Roman" w:hAnsi="Times New Roman" w:cs="Times New Roman"/>
          <w:sz w:val="24"/>
          <w:szCs w:val="24"/>
        </w:rPr>
        <w:t xml:space="preserve">de la variance (ANOVA)  </w:t>
      </w:r>
      <w:r w:rsidRPr="000923A6">
        <w:rPr>
          <w:rFonts w:ascii="Times New Roman" w:hAnsi="Times New Roman" w:cs="Times New Roman"/>
          <w:sz w:val="24"/>
          <w:szCs w:val="24"/>
        </w:rPr>
        <w:t>MINITAB 13;</w:t>
      </w:r>
    </w:p>
    <w:p w:rsidR="00F47DCC" w:rsidRPr="00585B3C" w:rsidRDefault="00F47DCC" w:rsidP="00E53320">
      <w:pPr>
        <w:numPr>
          <w:ilvl w:val="0"/>
          <w:numId w:val="8"/>
        </w:numPr>
        <w:spacing w:after="0" w:line="360" w:lineRule="auto"/>
        <w:rPr>
          <w:rFonts w:ascii="Times New Roman" w:hAnsi="Times New Roman" w:cs="Times New Roman"/>
          <w:sz w:val="24"/>
          <w:szCs w:val="24"/>
        </w:rPr>
      </w:pPr>
      <w:r w:rsidRPr="00585B3C">
        <w:rPr>
          <w:rFonts w:ascii="Times New Roman" w:hAnsi="Times New Roman" w:cs="Times New Roman"/>
          <w:sz w:val="24"/>
          <w:szCs w:val="24"/>
        </w:rPr>
        <w:t>Matr</w:t>
      </w:r>
      <w:r>
        <w:rPr>
          <w:rFonts w:ascii="Times New Roman" w:hAnsi="Times New Roman" w:cs="Times New Roman"/>
          <w:sz w:val="24"/>
          <w:szCs w:val="24"/>
        </w:rPr>
        <w:t>ice de corrélation</w:t>
      </w:r>
      <w:r w:rsidR="00F6266C">
        <w:rPr>
          <w:rFonts w:ascii="Times New Roman" w:hAnsi="Times New Roman" w:cs="Times New Roman"/>
          <w:sz w:val="24"/>
          <w:szCs w:val="24"/>
        </w:rPr>
        <w:t xml:space="preserve"> </w:t>
      </w:r>
      <w:r>
        <w:rPr>
          <w:rFonts w:ascii="Times New Roman" w:hAnsi="Times New Roman" w:cs="Times New Roman"/>
          <w:sz w:val="24"/>
          <w:szCs w:val="24"/>
        </w:rPr>
        <w:t>(STATISTICA) ;</w:t>
      </w:r>
    </w:p>
    <w:p w:rsidR="00F47DCC" w:rsidRPr="00585B3C" w:rsidRDefault="00F47DCC" w:rsidP="00E53320">
      <w:pPr>
        <w:numPr>
          <w:ilvl w:val="0"/>
          <w:numId w:val="8"/>
        </w:numPr>
        <w:spacing w:after="0" w:line="360" w:lineRule="auto"/>
        <w:rPr>
          <w:rFonts w:ascii="Times New Roman" w:hAnsi="Times New Roman" w:cs="Times New Roman"/>
          <w:sz w:val="24"/>
          <w:szCs w:val="24"/>
        </w:rPr>
      </w:pPr>
      <w:r w:rsidRPr="00585B3C">
        <w:rPr>
          <w:rFonts w:ascii="Times New Roman" w:hAnsi="Times New Roman" w:cs="Times New Roman"/>
          <w:sz w:val="24"/>
          <w:szCs w:val="24"/>
        </w:rPr>
        <w:t>Analyse en compo</w:t>
      </w:r>
      <w:r>
        <w:rPr>
          <w:rFonts w:ascii="Times New Roman" w:hAnsi="Times New Roman" w:cs="Times New Roman"/>
          <w:sz w:val="24"/>
          <w:szCs w:val="24"/>
        </w:rPr>
        <w:t>santes principales (STATISTICA) ;</w:t>
      </w:r>
    </w:p>
    <w:p w:rsidR="00F47DCC" w:rsidRDefault="00F47DCC" w:rsidP="00E53320">
      <w:pPr>
        <w:numPr>
          <w:ilvl w:val="0"/>
          <w:numId w:val="8"/>
        </w:numPr>
        <w:spacing w:after="0" w:line="360" w:lineRule="auto"/>
        <w:rPr>
          <w:rFonts w:ascii="Times New Roman" w:hAnsi="Times New Roman" w:cs="Times New Roman"/>
          <w:sz w:val="24"/>
          <w:szCs w:val="24"/>
        </w:rPr>
      </w:pPr>
      <w:r w:rsidRPr="00585B3C">
        <w:rPr>
          <w:rFonts w:ascii="Times New Roman" w:hAnsi="Times New Roman" w:cs="Times New Roman"/>
          <w:sz w:val="24"/>
          <w:szCs w:val="24"/>
        </w:rPr>
        <w:t>Lorsque des différences apparaissent, on fait une comparaison multiple des moyennes à l'aide du test de NEWMAN ET KEULS au seuil de 5%.</w:t>
      </w:r>
    </w:p>
    <w:p w:rsidR="000675F0" w:rsidRPr="00A175D4" w:rsidRDefault="000675F0" w:rsidP="00EE3053">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r w:rsidR="00A860F6">
        <w:rPr>
          <w:rFonts w:ascii="Times New Roman" w:hAnsi="Times New Roman" w:cs="Times New Roman"/>
          <w:sz w:val="24"/>
          <w:szCs w:val="24"/>
        </w:rPr>
        <w:t>La matrice de corrélation et l’a</w:t>
      </w:r>
      <w:r>
        <w:rPr>
          <w:rFonts w:ascii="Times New Roman" w:hAnsi="Times New Roman" w:cs="Times New Roman"/>
          <w:sz w:val="24"/>
          <w:szCs w:val="24"/>
        </w:rPr>
        <w:t xml:space="preserve">nalyse en composantes principales ont été réalisées sur les caractères </w:t>
      </w:r>
      <w:r w:rsidR="003C7401">
        <w:rPr>
          <w:rFonts w:ascii="Times New Roman" w:hAnsi="Times New Roman" w:cs="Times New Roman"/>
          <w:sz w:val="24"/>
          <w:szCs w:val="24"/>
        </w:rPr>
        <w:t xml:space="preserve">de germinations, </w:t>
      </w:r>
      <w:r w:rsidR="00EE3053">
        <w:rPr>
          <w:rFonts w:ascii="Times New Roman" w:hAnsi="Times New Roman" w:cs="Times New Roman"/>
          <w:sz w:val="24"/>
          <w:szCs w:val="24"/>
        </w:rPr>
        <w:t>phénologiques</w:t>
      </w:r>
      <w:r w:rsidR="00EE3053" w:rsidRPr="00EE3053">
        <w:rPr>
          <w:rFonts w:ascii="Times New Roman" w:hAnsi="Times New Roman" w:cs="Times New Roman"/>
          <w:sz w:val="24"/>
          <w:szCs w:val="24"/>
        </w:rPr>
        <w:t>,</w:t>
      </w:r>
      <w:r w:rsidR="00EE3053">
        <w:rPr>
          <w:rFonts w:ascii="Times New Roman" w:hAnsi="Times New Roman" w:cs="Times New Roman"/>
          <w:sz w:val="24"/>
          <w:szCs w:val="24"/>
        </w:rPr>
        <w:t xml:space="preserve"> biométriques et </w:t>
      </w:r>
      <w:r w:rsidR="00B00B0E">
        <w:rPr>
          <w:rFonts w:ascii="Times New Roman" w:hAnsi="Times New Roman" w:cs="Times New Roman"/>
          <w:sz w:val="24"/>
          <w:szCs w:val="24"/>
        </w:rPr>
        <w:t xml:space="preserve">la vitesse moyenne de croissance en </w:t>
      </w:r>
      <w:r w:rsidR="009F306A">
        <w:rPr>
          <w:rFonts w:ascii="Times New Roman" w:hAnsi="Times New Roman" w:cs="Times New Roman"/>
          <w:sz w:val="24"/>
          <w:szCs w:val="24"/>
        </w:rPr>
        <w:t>hauteur)</w:t>
      </w:r>
      <w:r>
        <w:rPr>
          <w:rFonts w:ascii="Times New Roman" w:hAnsi="Times New Roman" w:cs="Times New Roman"/>
          <w:sz w:val="24"/>
          <w:szCs w:val="24"/>
        </w:rPr>
        <w:t>.</w:t>
      </w:r>
    </w:p>
    <w:p w:rsidR="000675F0" w:rsidRDefault="000675F0" w:rsidP="00C158A7">
      <w:pPr>
        <w:spacing w:line="360" w:lineRule="auto"/>
        <w:jc w:val="lowKashida"/>
        <w:rPr>
          <w:rFonts w:ascii="Times New Roman" w:hAnsi="Times New Roman" w:cs="Times New Roman"/>
          <w:sz w:val="24"/>
          <w:szCs w:val="24"/>
        </w:rPr>
        <w:sectPr w:rsidR="000675F0" w:rsidSect="00063900">
          <w:headerReference w:type="default" r:id="rId65"/>
          <w:pgSz w:w="11906" w:h="16838"/>
          <w:pgMar w:top="993" w:right="849" w:bottom="1135" w:left="1134" w:header="708" w:footer="708" w:gutter="0"/>
          <w:cols w:space="708"/>
          <w:docGrid w:linePitch="360"/>
        </w:sectPr>
      </w:pPr>
    </w:p>
    <w:p w:rsidR="00195150" w:rsidRPr="001404F7" w:rsidRDefault="00195150" w:rsidP="001404F7">
      <w:pPr>
        <w:pStyle w:val="Titre"/>
        <w:spacing w:line="360" w:lineRule="auto"/>
        <w:rPr>
          <w:rFonts w:asciiTheme="majorBidi" w:hAnsiTheme="majorBidi" w:cstheme="majorBidi"/>
          <w:sz w:val="28"/>
          <w:szCs w:val="28"/>
        </w:rPr>
      </w:pPr>
      <w:bookmarkStart w:id="1378" w:name="_Toc126575295"/>
      <w:bookmarkStart w:id="1379" w:name="_Toc126575976"/>
      <w:bookmarkStart w:id="1380" w:name="_Toc126576851"/>
      <w:bookmarkStart w:id="1381" w:name="_Toc252094060"/>
      <w:bookmarkStart w:id="1382" w:name="_Toc252365449"/>
      <w:bookmarkStart w:id="1383" w:name="_Toc252365720"/>
      <w:bookmarkStart w:id="1384" w:name="_Toc252366265"/>
      <w:r w:rsidRPr="001404F7">
        <w:rPr>
          <w:rFonts w:asciiTheme="majorBidi" w:hAnsiTheme="majorBidi" w:cstheme="majorBidi"/>
          <w:sz w:val="28"/>
          <w:szCs w:val="28"/>
        </w:rPr>
        <w:lastRenderedPageBreak/>
        <w:t>Chapitre III : Résultats</w:t>
      </w:r>
      <w:bookmarkEnd w:id="1378"/>
      <w:bookmarkEnd w:id="1379"/>
      <w:bookmarkEnd w:id="1380"/>
      <w:bookmarkEnd w:id="1381"/>
      <w:bookmarkEnd w:id="1382"/>
      <w:bookmarkEnd w:id="1383"/>
      <w:bookmarkEnd w:id="1384"/>
    </w:p>
    <w:p w:rsidR="004A2A5D" w:rsidRDefault="004A2A5D" w:rsidP="004A2A5D">
      <w:pPr>
        <w:spacing w:line="360" w:lineRule="auto"/>
        <w:jc w:val="both"/>
        <w:rPr>
          <w:rFonts w:ascii="Times New Roman" w:hAnsi="Times New Roman" w:cs="Times New Roman"/>
          <w:sz w:val="24"/>
          <w:szCs w:val="24"/>
        </w:rPr>
      </w:pPr>
    </w:p>
    <w:p w:rsidR="004A2A5D" w:rsidRPr="00DF4EFA" w:rsidRDefault="004A2A5D" w:rsidP="004A2A5D">
      <w:pPr>
        <w:pStyle w:val="Titre"/>
        <w:rPr>
          <w:rFonts w:ascii="Times New Roman" w:hAnsi="Times New Roman"/>
          <w:sz w:val="28"/>
          <w:szCs w:val="28"/>
        </w:rPr>
      </w:pPr>
      <w:bookmarkStart w:id="1385" w:name="_Toc251855069"/>
      <w:bookmarkStart w:id="1386" w:name="_Toc251855479"/>
      <w:bookmarkStart w:id="1387" w:name="_Toc126492639"/>
      <w:bookmarkStart w:id="1388" w:name="_Toc126493054"/>
      <w:bookmarkStart w:id="1389" w:name="_Toc126570566"/>
      <w:bookmarkStart w:id="1390" w:name="_Toc126571880"/>
      <w:bookmarkStart w:id="1391" w:name="_Toc126572661"/>
      <w:bookmarkStart w:id="1392" w:name="_Toc126575296"/>
      <w:bookmarkStart w:id="1393" w:name="_Toc126575977"/>
      <w:bookmarkStart w:id="1394" w:name="_Toc126576852"/>
      <w:bookmarkStart w:id="1395" w:name="_Toc252094061"/>
      <w:bookmarkStart w:id="1396" w:name="_Toc252365450"/>
      <w:bookmarkStart w:id="1397" w:name="_Toc252365721"/>
      <w:bookmarkStart w:id="1398" w:name="_Toc252366266"/>
      <w:r w:rsidRPr="00DF4EFA">
        <w:rPr>
          <w:rFonts w:ascii="Times New Roman" w:hAnsi="Times New Roman"/>
          <w:sz w:val="28"/>
          <w:szCs w:val="28"/>
        </w:rPr>
        <w:t>FENUGREC (</w:t>
      </w:r>
      <w:r w:rsidRPr="00DF4EFA">
        <w:rPr>
          <w:rFonts w:ascii="Times New Roman" w:hAnsi="Times New Roman"/>
          <w:i/>
          <w:iCs/>
          <w:sz w:val="28"/>
          <w:szCs w:val="28"/>
        </w:rPr>
        <w:t>Trigonella foenum graecum</w:t>
      </w:r>
      <w:r w:rsidRPr="00DF4EFA">
        <w:rPr>
          <w:rFonts w:ascii="Times New Roman" w:hAnsi="Times New Roman"/>
          <w:sz w:val="28"/>
          <w:szCs w:val="28"/>
        </w:rPr>
        <w:t xml:space="preserve"> L.)</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rsidR="004A2A5D" w:rsidRPr="00DF4EFA" w:rsidRDefault="004A2A5D" w:rsidP="008B3CEC">
      <w:pPr>
        <w:pStyle w:val="Titre1"/>
        <w:numPr>
          <w:ilvl w:val="0"/>
          <w:numId w:val="48"/>
        </w:numPr>
        <w:spacing w:after="240"/>
        <w:rPr>
          <w:rFonts w:ascii="Times New Roman" w:hAnsi="Times New Roman"/>
          <w:color w:val="auto"/>
        </w:rPr>
      </w:pPr>
      <w:bookmarkStart w:id="1399" w:name="_Toc251855070"/>
      <w:bookmarkStart w:id="1400" w:name="_Toc251855480"/>
      <w:bookmarkStart w:id="1401" w:name="_Toc126492640"/>
      <w:bookmarkStart w:id="1402" w:name="_Toc126493055"/>
      <w:bookmarkStart w:id="1403" w:name="_Toc126570567"/>
      <w:bookmarkStart w:id="1404" w:name="_Toc126571881"/>
      <w:bookmarkStart w:id="1405" w:name="_Toc126572662"/>
      <w:bookmarkStart w:id="1406" w:name="_Toc126575297"/>
      <w:bookmarkStart w:id="1407" w:name="_Toc126575978"/>
      <w:bookmarkStart w:id="1408" w:name="_Toc126576853"/>
      <w:bookmarkStart w:id="1409" w:name="_Toc252094062"/>
      <w:bookmarkStart w:id="1410" w:name="_Toc252365451"/>
      <w:bookmarkStart w:id="1411" w:name="_Toc252365722"/>
      <w:bookmarkStart w:id="1412" w:name="_Toc252366267"/>
      <w:r w:rsidRPr="00DF4EFA">
        <w:rPr>
          <w:rFonts w:ascii="Times New Roman" w:hAnsi="Times New Roman"/>
          <w:color w:val="auto"/>
        </w:rPr>
        <w:t>Germination</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rsidR="004A2A5D" w:rsidRDefault="004A2A5D" w:rsidP="00AD6B8B">
      <w:pPr>
        <w:pStyle w:val="Paragraphedeliste"/>
        <w:numPr>
          <w:ilvl w:val="0"/>
          <w:numId w:val="20"/>
        </w:numPr>
        <w:spacing w:before="240" w:after="240" w:line="360" w:lineRule="auto"/>
        <w:contextualSpacing w:val="0"/>
        <w:jc w:val="both"/>
        <w:rPr>
          <w:rFonts w:ascii="Times New Roman" w:hAnsi="Times New Roman" w:cs="Times New Roman"/>
          <w:b/>
          <w:bCs/>
          <w:sz w:val="24"/>
          <w:szCs w:val="24"/>
        </w:rPr>
      </w:pPr>
      <w:r w:rsidRPr="003616FC">
        <w:rPr>
          <w:rFonts w:ascii="Times New Roman" w:hAnsi="Times New Roman" w:cs="Times New Roman"/>
          <w:b/>
          <w:bCs/>
          <w:sz w:val="24"/>
          <w:szCs w:val="24"/>
        </w:rPr>
        <w:t xml:space="preserve">Vitesse </w:t>
      </w:r>
      <w:r>
        <w:rPr>
          <w:rFonts w:ascii="Times New Roman" w:hAnsi="Times New Roman" w:cs="Times New Roman"/>
          <w:b/>
          <w:bCs/>
          <w:sz w:val="24"/>
          <w:szCs w:val="24"/>
        </w:rPr>
        <w:t xml:space="preserve">moyenne </w:t>
      </w:r>
      <w:r w:rsidRPr="003616FC">
        <w:rPr>
          <w:rFonts w:ascii="Times New Roman" w:hAnsi="Times New Roman" w:cs="Times New Roman"/>
          <w:b/>
          <w:bCs/>
          <w:sz w:val="24"/>
          <w:szCs w:val="24"/>
        </w:rPr>
        <w:t xml:space="preserve">de germination journalière </w:t>
      </w:r>
      <w:r>
        <w:rPr>
          <w:rFonts w:ascii="Times New Roman" w:hAnsi="Times New Roman" w:cs="Times New Roman"/>
          <w:b/>
          <w:bCs/>
          <w:sz w:val="24"/>
          <w:szCs w:val="24"/>
        </w:rPr>
        <w:t>(VGJ)</w:t>
      </w:r>
    </w:p>
    <w:p w:rsidR="004A2A5D" w:rsidRDefault="004A2A5D" w:rsidP="004A2A5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Les graines du fenugrec ont toutes ge</w:t>
      </w:r>
      <w:r w:rsidR="009D4E54">
        <w:rPr>
          <w:rFonts w:ascii="Times New Roman" w:hAnsi="Times New Roman" w:cs="Times New Roman"/>
          <w:sz w:val="24"/>
          <w:szCs w:val="24"/>
        </w:rPr>
        <w:t>rmé au bout de 6 jours (Annexe 1</w:t>
      </w:r>
      <w:r>
        <w:rPr>
          <w:rFonts w:ascii="Times New Roman" w:hAnsi="Times New Roman" w:cs="Times New Roman"/>
          <w:sz w:val="24"/>
          <w:szCs w:val="24"/>
        </w:rPr>
        <w:t xml:space="preserve">), </w:t>
      </w:r>
      <w:r w:rsidRPr="004575FF">
        <w:rPr>
          <w:rFonts w:ascii="Times New Roman" w:hAnsi="Times New Roman" w:cs="Times New Roman"/>
          <w:sz w:val="24"/>
          <w:szCs w:val="24"/>
        </w:rPr>
        <w:t>avec</w:t>
      </w:r>
      <w:r>
        <w:rPr>
          <w:rFonts w:ascii="Times New Roman" w:hAnsi="Times New Roman" w:cs="Times New Roman"/>
          <w:sz w:val="24"/>
          <w:szCs w:val="24"/>
        </w:rPr>
        <w:t xml:space="preserve"> la population P1 qui présente la valeur moyenne de l</w:t>
      </w:r>
      <w:r w:rsidR="002B4DB3">
        <w:rPr>
          <w:rFonts w:ascii="Times New Roman" w:hAnsi="Times New Roman" w:cs="Times New Roman"/>
          <w:sz w:val="24"/>
          <w:szCs w:val="24"/>
        </w:rPr>
        <w:t>a vitesse la plus élevé soit 23,</w:t>
      </w:r>
      <w:r>
        <w:rPr>
          <w:rFonts w:ascii="Times New Roman" w:hAnsi="Times New Roman" w:cs="Times New Roman"/>
          <w:sz w:val="24"/>
          <w:szCs w:val="24"/>
        </w:rPr>
        <w:t xml:space="preserve">98 graines/jours. Par contre, la population P4 a </w:t>
      </w:r>
      <w:r w:rsidRPr="004575FF">
        <w:rPr>
          <w:rFonts w:ascii="Times New Roman" w:hAnsi="Times New Roman" w:cs="Times New Roman"/>
          <w:sz w:val="24"/>
          <w:szCs w:val="24"/>
        </w:rPr>
        <w:t xml:space="preserve">donné </w:t>
      </w:r>
      <w:r>
        <w:rPr>
          <w:rFonts w:ascii="Times New Roman" w:hAnsi="Times New Roman" w:cs="Times New Roman"/>
          <w:sz w:val="24"/>
          <w:szCs w:val="24"/>
        </w:rPr>
        <w:t>une vites</w:t>
      </w:r>
      <w:r w:rsidR="002B4DB3">
        <w:rPr>
          <w:rFonts w:ascii="Times New Roman" w:hAnsi="Times New Roman" w:cs="Times New Roman"/>
          <w:sz w:val="24"/>
          <w:szCs w:val="24"/>
        </w:rPr>
        <w:t>se moyenne très réduite soit 17,</w:t>
      </w:r>
      <w:r>
        <w:rPr>
          <w:rFonts w:ascii="Times New Roman" w:hAnsi="Times New Roman" w:cs="Times New Roman"/>
          <w:sz w:val="24"/>
          <w:szCs w:val="24"/>
        </w:rPr>
        <w:t>58 graines/jours (Fig. 18).</w:t>
      </w:r>
    </w:p>
    <w:p w:rsidR="004A2A5D" w:rsidRDefault="004A2A5D" w:rsidP="004A2A5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L’analyse de variance indique une différence hautement significative</w:t>
      </w:r>
      <w:r w:rsidR="006D4468">
        <w:rPr>
          <w:rFonts w:ascii="Times New Roman" w:hAnsi="Times New Roman" w:cs="Times New Roman"/>
          <w:sz w:val="24"/>
          <w:szCs w:val="24"/>
        </w:rPr>
        <w:t xml:space="preserve"> entre les populations (Annexe </w:t>
      </w:r>
      <w:r w:rsidR="009D4E54">
        <w:rPr>
          <w:rFonts w:ascii="Times New Roman" w:hAnsi="Times New Roman" w:cs="Times New Roman"/>
          <w:sz w:val="24"/>
          <w:szCs w:val="24"/>
        </w:rPr>
        <w:t>2</w:t>
      </w:r>
      <w:r>
        <w:rPr>
          <w:rFonts w:ascii="Times New Roman" w:hAnsi="Times New Roman" w:cs="Times New Roman"/>
          <w:sz w:val="24"/>
          <w:szCs w:val="24"/>
        </w:rPr>
        <w:t>).</w:t>
      </w:r>
    </w:p>
    <w:p w:rsidR="004A2A5D" w:rsidRPr="00D4608A" w:rsidRDefault="004A2A5D" w:rsidP="00AD6B8B">
      <w:pPr>
        <w:pStyle w:val="Paragraphedeliste"/>
        <w:numPr>
          <w:ilvl w:val="0"/>
          <w:numId w:val="20"/>
        </w:numPr>
        <w:spacing w:before="240" w:after="240" w:line="360" w:lineRule="auto"/>
        <w:contextualSpacing w:val="0"/>
        <w:jc w:val="both"/>
        <w:rPr>
          <w:rFonts w:ascii="Times New Roman" w:hAnsi="Times New Roman" w:cs="Times New Roman"/>
          <w:b/>
          <w:bCs/>
          <w:sz w:val="28"/>
          <w:szCs w:val="28"/>
        </w:rPr>
      </w:pPr>
      <w:r w:rsidRPr="00D4608A">
        <w:rPr>
          <w:rFonts w:ascii="Times New Roman" w:hAnsi="Times New Roman" w:cs="Times New Roman"/>
          <w:b/>
          <w:bCs/>
          <w:sz w:val="24"/>
          <w:szCs w:val="24"/>
        </w:rPr>
        <w:t xml:space="preserve">Capacité </w:t>
      </w:r>
      <w:r>
        <w:rPr>
          <w:rFonts w:ascii="Times New Roman" w:hAnsi="Times New Roman" w:cs="Times New Roman"/>
          <w:b/>
          <w:bCs/>
          <w:sz w:val="24"/>
          <w:szCs w:val="24"/>
        </w:rPr>
        <w:t xml:space="preserve">moyenne </w:t>
      </w:r>
      <w:r w:rsidRPr="00D4608A">
        <w:rPr>
          <w:rFonts w:ascii="Times New Roman" w:hAnsi="Times New Roman" w:cs="Times New Roman"/>
          <w:b/>
          <w:bCs/>
          <w:sz w:val="24"/>
          <w:szCs w:val="24"/>
        </w:rPr>
        <w:t>de germination en (%) (CG)</w:t>
      </w:r>
    </w:p>
    <w:p w:rsidR="004A2A5D" w:rsidRDefault="004A2A5D" w:rsidP="004A2A5D">
      <w:pPr>
        <w:spacing w:before="240" w:line="360" w:lineRule="auto"/>
        <w:ind w:firstLine="284"/>
        <w:jc w:val="both"/>
        <w:rPr>
          <w:rFonts w:ascii="Times New Roman" w:hAnsi="Times New Roman" w:cs="Times New Roman"/>
          <w:sz w:val="24"/>
          <w:szCs w:val="24"/>
        </w:rPr>
      </w:pPr>
      <w:r w:rsidRPr="00C849A1">
        <w:rPr>
          <w:rFonts w:ascii="Times New Roman" w:hAnsi="Times New Roman" w:cs="Times New Roman"/>
          <w:sz w:val="24"/>
          <w:szCs w:val="24"/>
        </w:rPr>
        <w:t>Il appar</w:t>
      </w:r>
      <w:r>
        <w:rPr>
          <w:rFonts w:ascii="Times New Roman" w:hAnsi="Times New Roman" w:cs="Times New Roman"/>
          <w:sz w:val="24"/>
          <w:szCs w:val="24"/>
        </w:rPr>
        <w:t>aît</w:t>
      </w:r>
      <w:r w:rsidRPr="00C849A1">
        <w:rPr>
          <w:rFonts w:ascii="Times New Roman" w:hAnsi="Times New Roman" w:cs="Times New Roman"/>
          <w:sz w:val="24"/>
          <w:szCs w:val="24"/>
        </w:rPr>
        <w:t xml:space="preserve"> d’après </w:t>
      </w:r>
      <w:r w:rsidRPr="00CC0B8C">
        <w:rPr>
          <w:rFonts w:ascii="Times New Roman" w:hAnsi="Times New Roman" w:cs="Times New Roman"/>
          <w:sz w:val="24"/>
          <w:szCs w:val="24"/>
        </w:rPr>
        <w:t xml:space="preserve">la figure </w:t>
      </w:r>
      <w:r>
        <w:rPr>
          <w:rFonts w:ascii="Times New Roman" w:hAnsi="Times New Roman" w:cs="Times New Roman"/>
          <w:sz w:val="24"/>
          <w:szCs w:val="24"/>
        </w:rPr>
        <w:t>19</w:t>
      </w:r>
      <w:r w:rsidRPr="00C849A1">
        <w:rPr>
          <w:rFonts w:ascii="Times New Roman" w:hAnsi="Times New Roman" w:cs="Times New Roman"/>
          <w:sz w:val="24"/>
          <w:szCs w:val="24"/>
        </w:rPr>
        <w:t xml:space="preserve"> que la meilleure valeur</w:t>
      </w:r>
      <w:r>
        <w:rPr>
          <w:rFonts w:ascii="Times New Roman" w:hAnsi="Times New Roman" w:cs="Times New Roman"/>
          <w:sz w:val="24"/>
          <w:szCs w:val="24"/>
        </w:rPr>
        <w:t xml:space="preserve"> moyenne</w:t>
      </w:r>
      <w:r w:rsidRPr="00C849A1">
        <w:rPr>
          <w:rFonts w:ascii="Times New Roman" w:hAnsi="Times New Roman" w:cs="Times New Roman"/>
          <w:sz w:val="24"/>
          <w:szCs w:val="24"/>
        </w:rPr>
        <w:t xml:space="preserve"> de la capacité de germin</w:t>
      </w:r>
      <w:r w:rsidR="002B4DB3">
        <w:rPr>
          <w:rFonts w:ascii="Times New Roman" w:hAnsi="Times New Roman" w:cs="Times New Roman"/>
          <w:sz w:val="24"/>
          <w:szCs w:val="24"/>
        </w:rPr>
        <w:t>ation (99,</w:t>
      </w:r>
      <w:r>
        <w:rPr>
          <w:rFonts w:ascii="Times New Roman" w:hAnsi="Times New Roman" w:cs="Times New Roman"/>
          <w:sz w:val="24"/>
          <w:szCs w:val="24"/>
        </w:rPr>
        <w:t xml:space="preserve">7%) est </w:t>
      </w:r>
      <w:r w:rsidRPr="004575FF">
        <w:rPr>
          <w:rFonts w:ascii="Times New Roman" w:hAnsi="Times New Roman" w:cs="Times New Roman"/>
          <w:sz w:val="24"/>
          <w:szCs w:val="24"/>
        </w:rPr>
        <w:t>enregistrée</w:t>
      </w:r>
      <w:r>
        <w:rPr>
          <w:rFonts w:ascii="Times New Roman" w:hAnsi="Times New Roman" w:cs="Times New Roman"/>
          <w:sz w:val="24"/>
          <w:szCs w:val="24"/>
        </w:rPr>
        <w:t xml:space="preserve"> chez</w:t>
      </w:r>
      <w:r w:rsidRPr="00C849A1">
        <w:rPr>
          <w:rFonts w:ascii="Times New Roman" w:hAnsi="Times New Roman" w:cs="Times New Roman"/>
          <w:sz w:val="24"/>
          <w:szCs w:val="24"/>
        </w:rPr>
        <w:t xml:space="preserve"> les populations P1 et P3.</w:t>
      </w:r>
      <w:r>
        <w:rPr>
          <w:rFonts w:ascii="Times New Roman" w:hAnsi="Times New Roman" w:cs="Times New Roman"/>
          <w:sz w:val="24"/>
          <w:szCs w:val="24"/>
        </w:rPr>
        <w:t xml:space="preserve"> A</w:t>
      </w:r>
      <w:r w:rsidRPr="00C849A1">
        <w:rPr>
          <w:rFonts w:ascii="Times New Roman" w:hAnsi="Times New Roman" w:cs="Times New Roman"/>
          <w:sz w:val="24"/>
          <w:szCs w:val="24"/>
        </w:rPr>
        <w:t xml:space="preserve">lors que la population P4 a un minimum de </w:t>
      </w:r>
      <w:r w:rsidR="002B4DB3">
        <w:rPr>
          <w:rFonts w:ascii="Times New Roman" w:hAnsi="Times New Roman" w:cs="Times New Roman"/>
          <w:sz w:val="24"/>
          <w:szCs w:val="24"/>
        </w:rPr>
        <w:t>88,</w:t>
      </w:r>
      <w:r>
        <w:rPr>
          <w:rFonts w:ascii="Times New Roman" w:hAnsi="Times New Roman" w:cs="Times New Roman"/>
          <w:sz w:val="24"/>
          <w:szCs w:val="24"/>
        </w:rPr>
        <w:t>67% (Fig. 19).</w:t>
      </w:r>
    </w:p>
    <w:p w:rsidR="004A2A5D" w:rsidRDefault="004A2A5D" w:rsidP="004A2A5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L’analyse de</w:t>
      </w:r>
      <w:r w:rsidR="008F5138">
        <w:rPr>
          <w:rFonts w:ascii="Times New Roman" w:hAnsi="Times New Roman" w:cs="Times New Roman"/>
          <w:sz w:val="24"/>
          <w:szCs w:val="24"/>
        </w:rPr>
        <w:t xml:space="preserve"> la</w:t>
      </w:r>
      <w:r>
        <w:rPr>
          <w:rFonts w:ascii="Times New Roman" w:hAnsi="Times New Roman" w:cs="Times New Roman"/>
          <w:sz w:val="24"/>
          <w:szCs w:val="24"/>
        </w:rPr>
        <w:t xml:space="preserve"> variance confirme l’existence d’un effet inter population hautement significatif. La comparaison des moyennes permet de déterminer deux groupes distincts, le groupe A qui renferme les populations P1, P2, P3, P5 et P6. Le groupe B qui </w:t>
      </w:r>
      <w:r w:rsidRPr="004575FF">
        <w:rPr>
          <w:rFonts w:ascii="Times New Roman" w:hAnsi="Times New Roman" w:cs="Times New Roman"/>
          <w:sz w:val="24"/>
          <w:szCs w:val="24"/>
        </w:rPr>
        <w:t>est représenté</w:t>
      </w:r>
      <w:r w:rsidR="006D4468">
        <w:rPr>
          <w:rFonts w:ascii="Times New Roman" w:hAnsi="Times New Roman" w:cs="Times New Roman"/>
          <w:sz w:val="24"/>
          <w:szCs w:val="24"/>
        </w:rPr>
        <w:t xml:space="preserve"> par la population P4 (Annexe </w:t>
      </w:r>
      <w:r w:rsidR="009D4E54">
        <w:rPr>
          <w:rFonts w:ascii="Times New Roman" w:hAnsi="Times New Roman" w:cs="Times New Roman"/>
          <w:sz w:val="24"/>
          <w:szCs w:val="24"/>
        </w:rPr>
        <w:t>2</w:t>
      </w:r>
      <w:r>
        <w:rPr>
          <w:rFonts w:ascii="Times New Roman" w:hAnsi="Times New Roman" w:cs="Times New Roman"/>
          <w:sz w:val="24"/>
          <w:szCs w:val="24"/>
        </w:rPr>
        <w:t>).</w:t>
      </w:r>
    </w:p>
    <w:p w:rsidR="004A2A5D" w:rsidRPr="00D4608A" w:rsidRDefault="004A2A5D" w:rsidP="008B3CEC">
      <w:pPr>
        <w:pStyle w:val="Paragraphedeliste"/>
        <w:numPr>
          <w:ilvl w:val="0"/>
          <w:numId w:val="20"/>
        </w:numPr>
        <w:spacing w:before="240" w:line="360" w:lineRule="auto"/>
        <w:contextualSpacing w:val="0"/>
        <w:jc w:val="both"/>
        <w:rPr>
          <w:rFonts w:ascii="Times New Roman" w:hAnsi="Times New Roman" w:cs="Times New Roman"/>
          <w:sz w:val="24"/>
          <w:szCs w:val="24"/>
        </w:rPr>
      </w:pPr>
      <w:r w:rsidRPr="00D4608A">
        <w:rPr>
          <w:rFonts w:ascii="Times New Roman" w:hAnsi="Times New Roman" w:cs="Times New Roman"/>
          <w:b/>
          <w:bCs/>
          <w:sz w:val="24"/>
          <w:szCs w:val="24"/>
        </w:rPr>
        <w:t xml:space="preserve">Valeur germinative </w:t>
      </w:r>
      <w:r>
        <w:rPr>
          <w:rFonts w:ascii="Times New Roman" w:hAnsi="Times New Roman" w:cs="Times New Roman"/>
          <w:b/>
          <w:bCs/>
          <w:sz w:val="24"/>
          <w:szCs w:val="24"/>
        </w:rPr>
        <w:t xml:space="preserve">moyenne </w:t>
      </w:r>
      <w:r w:rsidRPr="00D4608A">
        <w:rPr>
          <w:rFonts w:ascii="Times New Roman" w:hAnsi="Times New Roman" w:cs="Times New Roman"/>
          <w:b/>
          <w:bCs/>
          <w:sz w:val="24"/>
          <w:szCs w:val="24"/>
        </w:rPr>
        <w:t>(VG)</w:t>
      </w:r>
    </w:p>
    <w:p w:rsidR="004A2A5D" w:rsidRDefault="004A2A5D" w:rsidP="004A2A5D">
      <w:pPr>
        <w:spacing w:before="240" w:line="360" w:lineRule="auto"/>
        <w:ind w:firstLine="284"/>
        <w:jc w:val="both"/>
        <w:rPr>
          <w:rFonts w:ascii="Times New Roman" w:hAnsi="Times New Roman" w:cs="Times New Roman"/>
          <w:b/>
          <w:bCs/>
          <w:sz w:val="28"/>
          <w:szCs w:val="28"/>
        </w:rPr>
      </w:pPr>
      <w:r w:rsidRPr="007E0338">
        <w:rPr>
          <w:rFonts w:ascii="Times New Roman" w:hAnsi="Times New Roman" w:cs="Times New Roman"/>
          <w:sz w:val="24"/>
          <w:szCs w:val="24"/>
        </w:rPr>
        <w:t xml:space="preserve">La valeur germinative moyenne </w:t>
      </w:r>
      <w:r w:rsidR="002B4DB3">
        <w:rPr>
          <w:rFonts w:ascii="Times New Roman" w:hAnsi="Times New Roman" w:cs="Times New Roman"/>
          <w:sz w:val="24"/>
          <w:szCs w:val="24"/>
        </w:rPr>
        <w:t>varie d’un maximum de 955,</w:t>
      </w:r>
      <w:r>
        <w:rPr>
          <w:rFonts w:ascii="Times New Roman" w:hAnsi="Times New Roman" w:cs="Times New Roman"/>
          <w:sz w:val="24"/>
          <w:szCs w:val="24"/>
        </w:rPr>
        <w:t>5 pour la po</w:t>
      </w:r>
      <w:r w:rsidR="002B4DB3">
        <w:rPr>
          <w:rFonts w:ascii="Times New Roman" w:hAnsi="Times New Roman" w:cs="Times New Roman"/>
          <w:sz w:val="24"/>
          <w:szCs w:val="24"/>
        </w:rPr>
        <w:t>pulation P1 à un minimum de 475,</w:t>
      </w:r>
      <w:r>
        <w:rPr>
          <w:rFonts w:ascii="Times New Roman" w:hAnsi="Times New Roman" w:cs="Times New Roman"/>
          <w:sz w:val="24"/>
          <w:szCs w:val="24"/>
        </w:rPr>
        <w:t>49 chez la population P4 (Fig. 20).</w:t>
      </w:r>
    </w:p>
    <w:p w:rsidR="004A2A5D" w:rsidRPr="006767E7" w:rsidRDefault="004A2A5D" w:rsidP="004A2A5D">
      <w:pPr>
        <w:spacing w:before="240" w:line="360" w:lineRule="auto"/>
        <w:ind w:firstLine="284"/>
        <w:jc w:val="both"/>
        <w:rPr>
          <w:rFonts w:ascii="Times New Roman" w:hAnsi="Times New Roman" w:cs="Times New Roman"/>
          <w:b/>
          <w:bCs/>
          <w:sz w:val="28"/>
          <w:szCs w:val="28"/>
        </w:rPr>
      </w:pPr>
      <w:r>
        <w:rPr>
          <w:rFonts w:ascii="Times New Roman" w:hAnsi="Times New Roman" w:cs="Times New Roman"/>
          <w:sz w:val="24"/>
          <w:szCs w:val="24"/>
        </w:rPr>
        <w:t>En effet, l’analyse de variance met en évidence une différence très hautement significative entre les populations étudiées. La comparaison des moyennes permet de déceler trois groupes homogènes. Le groupe A regroupe les populations P1 et P3. Le groupe B</w:t>
      </w:r>
      <w:r w:rsidRPr="00ED28C4">
        <w:rPr>
          <w:rFonts w:ascii="Times New Roman" w:hAnsi="Times New Roman" w:cs="Times New Roman"/>
          <w:sz w:val="24"/>
          <w:szCs w:val="24"/>
        </w:rPr>
        <w:t xml:space="preserve"> </w:t>
      </w:r>
      <w:r>
        <w:rPr>
          <w:rFonts w:ascii="Times New Roman" w:hAnsi="Times New Roman" w:cs="Times New Roman"/>
          <w:sz w:val="24"/>
          <w:szCs w:val="24"/>
        </w:rPr>
        <w:t>regroupe les populations P2 et P6 et le groupe C qui est représenté par le</w:t>
      </w:r>
      <w:r w:rsidR="006D4468">
        <w:rPr>
          <w:rFonts w:ascii="Times New Roman" w:hAnsi="Times New Roman" w:cs="Times New Roman"/>
          <w:sz w:val="24"/>
          <w:szCs w:val="24"/>
        </w:rPr>
        <w:t xml:space="preserve">s populations P4 et P5 (Annexe </w:t>
      </w:r>
      <w:r w:rsidR="009D4E54">
        <w:rPr>
          <w:rFonts w:ascii="Times New Roman" w:hAnsi="Times New Roman" w:cs="Times New Roman"/>
          <w:sz w:val="24"/>
          <w:szCs w:val="24"/>
        </w:rPr>
        <w:t>2</w:t>
      </w:r>
      <w:r>
        <w:rPr>
          <w:rFonts w:ascii="Times New Roman" w:hAnsi="Times New Roman" w:cs="Times New Roman"/>
          <w:sz w:val="24"/>
          <w:szCs w:val="24"/>
        </w:rPr>
        <w:t xml:space="preserve">).  </w:t>
      </w:r>
    </w:p>
    <w:p w:rsidR="004A2A5D" w:rsidRDefault="004A2A5D" w:rsidP="004A2A5D">
      <w:pPr>
        <w:spacing w:line="360" w:lineRule="auto"/>
        <w:jc w:val="both"/>
        <w:rPr>
          <w:rFonts w:ascii="Times New Roman" w:hAnsi="Times New Roman" w:cs="Times New Roman"/>
          <w:b/>
          <w:bCs/>
          <w:sz w:val="28"/>
          <w:szCs w:val="28"/>
        </w:rPr>
      </w:pPr>
    </w:p>
    <w:p w:rsidR="00B16C26" w:rsidRPr="00B17FBC" w:rsidRDefault="004A2A5D" w:rsidP="00B16C26">
      <w:pPr>
        <w:keepNext/>
        <w:spacing w:after="120" w:line="360" w:lineRule="auto"/>
        <w:jc w:val="center"/>
        <w:rPr>
          <w:sz w:val="24"/>
          <w:szCs w:val="24"/>
        </w:rPr>
      </w:pPr>
      <w:r w:rsidRPr="00B17FBC">
        <w:rPr>
          <w:rFonts w:ascii="Times New Roman" w:hAnsi="Times New Roman" w:cs="Times New Roman"/>
          <w:b/>
          <w:bCs/>
          <w:noProof/>
          <w:sz w:val="24"/>
          <w:szCs w:val="24"/>
        </w:rPr>
        <w:lastRenderedPageBreak/>
        <w:drawing>
          <wp:inline distT="0" distB="0" distL="0" distR="0">
            <wp:extent cx="5401742" cy="2343048"/>
            <wp:effectExtent l="19050" t="0" r="27508" b="102"/>
            <wp:docPr id="34"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B2182" w:rsidRPr="00463B12" w:rsidRDefault="00B16C26" w:rsidP="00463B12">
      <w:pPr>
        <w:pStyle w:val="Lgende"/>
        <w:spacing w:before="240"/>
        <w:jc w:val="center"/>
        <w:rPr>
          <w:rFonts w:asciiTheme="majorBidi" w:hAnsiTheme="majorBidi" w:cstheme="majorBidi"/>
          <w:color w:val="auto"/>
          <w:sz w:val="24"/>
          <w:szCs w:val="24"/>
        </w:rPr>
      </w:pPr>
      <w:bookmarkStart w:id="1413" w:name="_Toc252194955"/>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18</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:Vitesse moyenne de germination journalière (Nombre de graines germées/jours).</w:t>
      </w:r>
      <w:bookmarkEnd w:id="1413"/>
    </w:p>
    <w:p w:rsidR="00B16C26" w:rsidRDefault="004A2A5D" w:rsidP="00B16C26">
      <w:pPr>
        <w:keepNext/>
        <w:spacing w:after="0" w:line="240" w:lineRule="auto"/>
        <w:jc w:val="center"/>
      </w:pPr>
      <w:r w:rsidRPr="00647612">
        <w:rPr>
          <w:rFonts w:ascii="Times New Roman" w:hAnsi="Times New Roman" w:cs="Times New Roman"/>
          <w:b/>
          <w:bCs/>
          <w:noProof/>
          <w:sz w:val="24"/>
          <w:szCs w:val="24"/>
        </w:rPr>
        <w:drawing>
          <wp:inline distT="0" distB="0" distL="0" distR="0">
            <wp:extent cx="5405770" cy="2340000"/>
            <wp:effectExtent l="19050" t="0" r="23480" b="3150"/>
            <wp:docPr id="7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A2A5D" w:rsidRPr="00463B12" w:rsidRDefault="00B16C26" w:rsidP="00463B12">
      <w:pPr>
        <w:pStyle w:val="Lgende"/>
        <w:spacing w:before="240"/>
        <w:jc w:val="center"/>
        <w:rPr>
          <w:rFonts w:asciiTheme="majorBidi" w:hAnsiTheme="majorBidi" w:cstheme="majorBidi"/>
          <w:color w:val="auto"/>
          <w:sz w:val="24"/>
          <w:szCs w:val="24"/>
        </w:rPr>
      </w:pPr>
      <w:bookmarkStart w:id="1414" w:name="_Toc252194956"/>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19</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:Capacité moyenne de germination en (%).</w:t>
      </w:r>
      <w:bookmarkEnd w:id="1414"/>
    </w:p>
    <w:p w:rsidR="004A2A5D" w:rsidRPr="00C1013B" w:rsidRDefault="004A2A5D" w:rsidP="004A2A5D">
      <w:pPr>
        <w:spacing w:after="0" w:line="240" w:lineRule="auto"/>
        <w:jc w:val="center"/>
        <w:rPr>
          <w:rFonts w:ascii="Times New Roman" w:hAnsi="Times New Roman" w:cs="Times New Roman"/>
          <w:b/>
          <w:bCs/>
          <w:sz w:val="24"/>
          <w:szCs w:val="24"/>
        </w:rPr>
      </w:pPr>
    </w:p>
    <w:p w:rsidR="00B16C26" w:rsidRDefault="004A2A5D" w:rsidP="00B16C26">
      <w:pPr>
        <w:keepNext/>
        <w:spacing w:after="120" w:line="360" w:lineRule="auto"/>
        <w:jc w:val="center"/>
      </w:pPr>
      <w:r w:rsidRPr="00647612">
        <w:rPr>
          <w:rFonts w:ascii="Times New Roman" w:hAnsi="Times New Roman" w:cs="Times New Roman"/>
          <w:b/>
          <w:bCs/>
          <w:noProof/>
          <w:sz w:val="28"/>
          <w:szCs w:val="28"/>
        </w:rPr>
        <w:drawing>
          <wp:inline distT="0" distB="0" distL="0" distR="0">
            <wp:extent cx="5405770" cy="2340000"/>
            <wp:effectExtent l="19050" t="0" r="23480" b="3150"/>
            <wp:docPr id="7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41792" w:rsidRPr="00463B12" w:rsidRDefault="00B16C26" w:rsidP="00463B12">
      <w:pPr>
        <w:pStyle w:val="Lgende"/>
        <w:spacing w:before="240"/>
        <w:jc w:val="center"/>
        <w:rPr>
          <w:rFonts w:asciiTheme="majorBidi" w:hAnsiTheme="majorBidi" w:cstheme="majorBidi"/>
          <w:color w:val="auto"/>
          <w:sz w:val="24"/>
          <w:szCs w:val="24"/>
        </w:rPr>
      </w:pPr>
      <w:bookmarkStart w:id="1415" w:name="_Toc252194957"/>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20</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:Valeur germinative moyenne.</w:t>
      </w:r>
      <w:bookmarkEnd w:id="1415"/>
    </w:p>
    <w:p w:rsidR="004A2A5D" w:rsidRPr="002701F9" w:rsidRDefault="004A2A5D" w:rsidP="004A2A5D">
      <w:pPr>
        <w:spacing w:after="0" w:line="240" w:lineRule="auto"/>
        <w:rPr>
          <w:rFonts w:ascii="Times New Roman" w:hAnsi="Times New Roman" w:cs="Times New Roman"/>
          <w:b/>
          <w:bCs/>
          <w:sz w:val="24"/>
          <w:szCs w:val="24"/>
        </w:rPr>
      </w:pPr>
    </w:p>
    <w:p w:rsidR="004A2A5D" w:rsidRPr="00C1013B" w:rsidRDefault="004A2A5D" w:rsidP="00EC177D">
      <w:pPr>
        <w:pStyle w:val="Titre1"/>
        <w:numPr>
          <w:ilvl w:val="0"/>
          <w:numId w:val="48"/>
        </w:numPr>
        <w:spacing w:after="240"/>
        <w:rPr>
          <w:rFonts w:ascii="Times New Roman" w:hAnsi="Times New Roman"/>
          <w:color w:val="auto"/>
        </w:rPr>
      </w:pPr>
      <w:bookmarkStart w:id="1416" w:name="_Toc251855071"/>
      <w:bookmarkStart w:id="1417" w:name="_Toc251855481"/>
      <w:bookmarkStart w:id="1418" w:name="_Toc126492641"/>
      <w:bookmarkStart w:id="1419" w:name="_Toc126493056"/>
      <w:bookmarkStart w:id="1420" w:name="_Toc126570568"/>
      <w:bookmarkStart w:id="1421" w:name="_Toc126571882"/>
      <w:bookmarkStart w:id="1422" w:name="_Toc126572663"/>
      <w:bookmarkStart w:id="1423" w:name="_Toc126575298"/>
      <w:bookmarkStart w:id="1424" w:name="_Toc126575979"/>
      <w:bookmarkStart w:id="1425" w:name="_Toc126576854"/>
      <w:bookmarkStart w:id="1426" w:name="_Toc252094063"/>
      <w:bookmarkStart w:id="1427" w:name="_Toc252365452"/>
      <w:bookmarkStart w:id="1428" w:name="_Toc252365723"/>
      <w:bookmarkStart w:id="1429" w:name="_Toc252366268"/>
      <w:r w:rsidRPr="00C1013B">
        <w:rPr>
          <w:rFonts w:ascii="Times New Roman" w:hAnsi="Times New Roman"/>
          <w:color w:val="auto"/>
        </w:rPr>
        <w:lastRenderedPageBreak/>
        <w:t>Caract</w:t>
      </w:r>
      <w:r w:rsidR="00EC177D">
        <w:rPr>
          <w:rFonts w:ascii="Times New Roman" w:hAnsi="Times New Roman"/>
          <w:color w:val="auto"/>
        </w:rPr>
        <w:t>ères</w:t>
      </w:r>
      <w:r w:rsidRPr="00C1013B">
        <w:rPr>
          <w:rFonts w:ascii="Times New Roman" w:hAnsi="Times New Roman"/>
          <w:color w:val="auto"/>
        </w:rPr>
        <w:t xml:space="preserve"> phénologiques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rsidR="004A2A5D" w:rsidRPr="00D4608A" w:rsidRDefault="004A2A5D" w:rsidP="00AD6B8B">
      <w:pPr>
        <w:pStyle w:val="Paragraphedeliste"/>
        <w:numPr>
          <w:ilvl w:val="0"/>
          <w:numId w:val="21"/>
        </w:numPr>
        <w:spacing w:before="240" w:line="360" w:lineRule="auto"/>
        <w:contextualSpacing w:val="0"/>
        <w:jc w:val="both"/>
        <w:rPr>
          <w:rFonts w:ascii="Times New Roman" w:hAnsi="Times New Roman" w:cs="Times New Roman"/>
          <w:b/>
          <w:bCs/>
          <w:sz w:val="24"/>
          <w:szCs w:val="24"/>
        </w:rPr>
      </w:pPr>
      <w:r w:rsidRPr="00D4608A">
        <w:rPr>
          <w:rFonts w:ascii="Times New Roman" w:hAnsi="Times New Roman" w:cs="Times New Roman"/>
          <w:b/>
          <w:bCs/>
          <w:sz w:val="24"/>
          <w:szCs w:val="24"/>
        </w:rPr>
        <w:t>Levée (L, PL)</w:t>
      </w:r>
    </w:p>
    <w:p w:rsidR="004A2A5D" w:rsidRDefault="004A2A5D" w:rsidP="004A2A5D">
      <w:pPr>
        <w:spacing w:line="360" w:lineRule="auto"/>
        <w:ind w:firstLine="284"/>
        <w:jc w:val="both"/>
        <w:rPr>
          <w:rFonts w:ascii="Times New Roman" w:hAnsi="Times New Roman" w:cs="Times New Roman"/>
          <w:sz w:val="24"/>
          <w:szCs w:val="24"/>
        </w:rPr>
      </w:pPr>
      <w:r w:rsidRPr="00213ACD">
        <w:rPr>
          <w:rFonts w:ascii="Times New Roman" w:hAnsi="Times New Roman" w:cs="Times New Roman"/>
          <w:sz w:val="24"/>
          <w:szCs w:val="24"/>
        </w:rPr>
        <w:t xml:space="preserve">Le nombre </w:t>
      </w:r>
      <w:r>
        <w:rPr>
          <w:rFonts w:ascii="Times New Roman" w:hAnsi="Times New Roman" w:cs="Times New Roman"/>
          <w:sz w:val="24"/>
          <w:szCs w:val="24"/>
        </w:rPr>
        <w:t xml:space="preserve">moyen </w:t>
      </w:r>
      <w:r w:rsidRPr="00213ACD">
        <w:rPr>
          <w:rFonts w:ascii="Times New Roman" w:hAnsi="Times New Roman" w:cs="Times New Roman"/>
          <w:sz w:val="24"/>
          <w:szCs w:val="24"/>
        </w:rPr>
        <w:t>de jours entre le semis et la levée chez le fenugrec varie de</w:t>
      </w:r>
      <w:r w:rsidR="002B4DB3">
        <w:rPr>
          <w:rFonts w:ascii="Times New Roman" w:hAnsi="Times New Roman" w:cs="Times New Roman"/>
          <w:sz w:val="24"/>
          <w:szCs w:val="24"/>
        </w:rPr>
        <w:t xml:space="preserve"> 12 jours à 13,</w:t>
      </w:r>
      <w:r>
        <w:rPr>
          <w:rFonts w:ascii="Times New Roman" w:hAnsi="Times New Roman" w:cs="Times New Roman"/>
          <w:sz w:val="24"/>
          <w:szCs w:val="24"/>
        </w:rPr>
        <w:t>75 jours. L’analyse de variance indique une différence hautement significative entre les populations</w:t>
      </w:r>
      <w:r w:rsidRPr="0053449C">
        <w:rPr>
          <w:rFonts w:ascii="Times New Roman" w:hAnsi="Times New Roman" w:cs="Times New Roman"/>
          <w:sz w:val="24"/>
          <w:szCs w:val="24"/>
        </w:rPr>
        <w:t xml:space="preserve"> (Annexe</w:t>
      </w:r>
      <w:r>
        <w:rPr>
          <w:rFonts w:ascii="Times New Roman" w:hAnsi="Times New Roman" w:cs="Times New Roman"/>
          <w:sz w:val="24"/>
          <w:szCs w:val="24"/>
        </w:rPr>
        <w:t xml:space="preserve"> 2</w:t>
      </w:r>
      <w:r w:rsidRPr="0053449C">
        <w:rPr>
          <w:rFonts w:ascii="Times New Roman" w:hAnsi="Times New Roman" w:cs="Times New Roman"/>
          <w:sz w:val="24"/>
          <w:szCs w:val="24"/>
        </w:rPr>
        <w:t>).</w:t>
      </w:r>
      <w:r>
        <w:rPr>
          <w:rFonts w:ascii="Times New Roman" w:hAnsi="Times New Roman" w:cs="Times New Roman"/>
          <w:sz w:val="24"/>
          <w:szCs w:val="24"/>
        </w:rPr>
        <w:t xml:space="preserve"> Le test Newman et Keuls fait ressortir trois groupes homogènes. Le groupe A qui renferme la po</w:t>
      </w:r>
      <w:r w:rsidR="002B4DB3">
        <w:rPr>
          <w:rFonts w:ascii="Times New Roman" w:hAnsi="Times New Roman" w:cs="Times New Roman"/>
          <w:sz w:val="24"/>
          <w:szCs w:val="24"/>
        </w:rPr>
        <w:t>pulation P4 la plus tardive (13,</w:t>
      </w:r>
      <w:r>
        <w:rPr>
          <w:rFonts w:ascii="Times New Roman" w:hAnsi="Times New Roman" w:cs="Times New Roman"/>
          <w:sz w:val="24"/>
          <w:szCs w:val="24"/>
        </w:rPr>
        <w:t>75 jours) et le groupe</w:t>
      </w:r>
      <w:r w:rsidR="009D78C8">
        <w:rPr>
          <w:rFonts w:ascii="Times New Roman" w:hAnsi="Times New Roman" w:cs="Times New Roman"/>
          <w:sz w:val="24"/>
          <w:szCs w:val="24"/>
        </w:rPr>
        <w:t xml:space="preserve"> C qui présente la population P3</w:t>
      </w:r>
      <w:r w:rsidR="002B4DB3">
        <w:rPr>
          <w:rFonts w:ascii="Times New Roman" w:hAnsi="Times New Roman" w:cs="Times New Roman"/>
          <w:sz w:val="24"/>
          <w:szCs w:val="24"/>
        </w:rPr>
        <w:t xml:space="preserve"> la plus précoce (11,</w:t>
      </w:r>
      <w:r>
        <w:rPr>
          <w:rFonts w:ascii="Times New Roman" w:hAnsi="Times New Roman" w:cs="Times New Roman"/>
          <w:sz w:val="24"/>
          <w:szCs w:val="24"/>
        </w:rPr>
        <w:t xml:space="preserve">5 jours). Le groupe chevauchant AB renferme les populations P5 et P6 et le groupe chevauchant  BC renferme les populations P1 et </w:t>
      </w:r>
      <w:r w:rsidRPr="00EF308D">
        <w:rPr>
          <w:rFonts w:ascii="Times New Roman" w:hAnsi="Times New Roman" w:cs="Times New Roman"/>
          <w:sz w:val="24"/>
          <w:szCs w:val="24"/>
        </w:rPr>
        <w:t>P2</w:t>
      </w:r>
      <w:r w:rsidR="00EE63BB">
        <w:rPr>
          <w:rFonts w:ascii="Times New Roman" w:hAnsi="Times New Roman" w:cs="Times New Roman"/>
          <w:sz w:val="24"/>
          <w:szCs w:val="24"/>
        </w:rPr>
        <w:t xml:space="preserve"> </w:t>
      </w:r>
      <w:r w:rsidR="00EE63BB" w:rsidRPr="004575FF">
        <w:rPr>
          <w:rFonts w:ascii="Times New Roman" w:hAnsi="Times New Roman" w:cs="Times New Roman"/>
          <w:sz w:val="24"/>
          <w:szCs w:val="24"/>
        </w:rPr>
        <w:t>(Fig. 21)</w:t>
      </w:r>
      <w:r w:rsidR="00424376" w:rsidRPr="004575FF">
        <w:rPr>
          <w:rFonts w:ascii="Times New Roman" w:hAnsi="Times New Roman" w:cs="Times New Roman"/>
          <w:sz w:val="24"/>
          <w:szCs w:val="24"/>
        </w:rPr>
        <w:t>.</w:t>
      </w:r>
    </w:p>
    <w:p w:rsidR="004A2A5D" w:rsidRDefault="004A2A5D" w:rsidP="00086983">
      <w:pPr>
        <w:spacing w:line="360" w:lineRule="auto"/>
        <w:ind w:firstLine="284"/>
        <w:jc w:val="both"/>
        <w:rPr>
          <w:rFonts w:ascii="Times New Roman" w:hAnsi="Times New Roman" w:cs="Times New Roman"/>
          <w:sz w:val="24"/>
          <w:szCs w:val="24"/>
        </w:rPr>
      </w:pPr>
      <w:r w:rsidRPr="00213ACD">
        <w:rPr>
          <w:rFonts w:ascii="Times New Roman" w:hAnsi="Times New Roman" w:cs="Times New Roman"/>
          <w:sz w:val="24"/>
          <w:szCs w:val="24"/>
        </w:rPr>
        <w:t xml:space="preserve">Concernant le caractère </w:t>
      </w:r>
      <w:r w:rsidRPr="004575FF">
        <w:rPr>
          <w:rFonts w:ascii="Times New Roman" w:hAnsi="Times New Roman" w:cs="Times New Roman"/>
          <w:sz w:val="24"/>
          <w:szCs w:val="24"/>
        </w:rPr>
        <w:t>pleine levée</w:t>
      </w:r>
      <w:r w:rsidRPr="00213ACD">
        <w:rPr>
          <w:rFonts w:ascii="Times New Roman" w:hAnsi="Times New Roman" w:cs="Times New Roman"/>
          <w:sz w:val="24"/>
          <w:szCs w:val="24"/>
        </w:rPr>
        <w:t>,</w:t>
      </w:r>
      <w:r w:rsidRPr="00FE7352">
        <w:rPr>
          <w:rFonts w:ascii="Times New Roman" w:hAnsi="Times New Roman" w:cs="Times New Roman"/>
          <w:sz w:val="24"/>
          <w:szCs w:val="24"/>
        </w:rPr>
        <w:t xml:space="preserve"> </w:t>
      </w:r>
      <w:r>
        <w:rPr>
          <w:rFonts w:ascii="Times New Roman" w:hAnsi="Times New Roman" w:cs="Times New Roman"/>
          <w:sz w:val="24"/>
          <w:szCs w:val="24"/>
        </w:rPr>
        <w:t>l’analyse de variance montre une différence hautement significative entre les populations</w:t>
      </w:r>
      <w:r w:rsidRPr="0053449C">
        <w:rPr>
          <w:rFonts w:ascii="Times New Roman" w:hAnsi="Times New Roman" w:cs="Times New Roman"/>
          <w:sz w:val="24"/>
          <w:szCs w:val="24"/>
        </w:rPr>
        <w:t xml:space="preserve"> (Annexe</w:t>
      </w:r>
      <w:r>
        <w:rPr>
          <w:rFonts w:ascii="Times New Roman" w:hAnsi="Times New Roman" w:cs="Times New Roman"/>
          <w:sz w:val="24"/>
          <w:szCs w:val="24"/>
        </w:rPr>
        <w:t xml:space="preserve"> 2</w:t>
      </w:r>
      <w:r w:rsidRPr="0053449C">
        <w:rPr>
          <w:rFonts w:ascii="Times New Roman" w:hAnsi="Times New Roman" w:cs="Times New Roman"/>
          <w:sz w:val="24"/>
          <w:szCs w:val="24"/>
        </w:rPr>
        <w:t>).</w:t>
      </w:r>
      <w:r>
        <w:rPr>
          <w:rFonts w:ascii="Times New Roman" w:hAnsi="Times New Roman" w:cs="Times New Roman"/>
          <w:sz w:val="24"/>
          <w:szCs w:val="24"/>
        </w:rPr>
        <w:t xml:space="preserve"> Il en résulte </w:t>
      </w:r>
      <w:r w:rsidR="00086983">
        <w:rPr>
          <w:rFonts w:ascii="Times New Roman" w:hAnsi="Times New Roman" w:cs="Times New Roman"/>
          <w:sz w:val="24"/>
          <w:szCs w:val="24"/>
        </w:rPr>
        <w:t>trois</w:t>
      </w:r>
      <w:r>
        <w:rPr>
          <w:rFonts w:ascii="Times New Roman" w:hAnsi="Times New Roman" w:cs="Times New Roman"/>
          <w:sz w:val="24"/>
          <w:szCs w:val="24"/>
        </w:rPr>
        <w:t xml:space="preserve"> groupes homogènes, les</w:t>
      </w:r>
      <w:r w:rsidRPr="00213ACD">
        <w:rPr>
          <w:rFonts w:ascii="Times New Roman" w:hAnsi="Times New Roman" w:cs="Times New Roman"/>
          <w:sz w:val="24"/>
          <w:szCs w:val="24"/>
        </w:rPr>
        <w:t xml:space="preserve"> populations </w:t>
      </w:r>
      <w:r>
        <w:rPr>
          <w:rFonts w:ascii="Times New Roman" w:hAnsi="Times New Roman" w:cs="Times New Roman"/>
          <w:sz w:val="24"/>
          <w:szCs w:val="24"/>
        </w:rPr>
        <w:t>P1, P2 et P3 (groupe B) sont caractérisées par la plus courte durée</w:t>
      </w:r>
      <w:r w:rsidRPr="001D471F">
        <w:rPr>
          <w:rFonts w:ascii="Times New Roman" w:hAnsi="Times New Roman" w:cs="Times New Roman"/>
          <w:sz w:val="24"/>
          <w:szCs w:val="24"/>
        </w:rPr>
        <w:t xml:space="preserve"> </w:t>
      </w:r>
      <w:r w:rsidRPr="00213ACD">
        <w:rPr>
          <w:rFonts w:ascii="Times New Roman" w:hAnsi="Times New Roman" w:cs="Times New Roman"/>
          <w:sz w:val="24"/>
          <w:szCs w:val="24"/>
        </w:rPr>
        <w:t>entre le semis e</w:t>
      </w:r>
      <w:r>
        <w:rPr>
          <w:rFonts w:ascii="Times New Roman" w:hAnsi="Times New Roman" w:cs="Times New Roman"/>
          <w:sz w:val="24"/>
          <w:szCs w:val="24"/>
        </w:rPr>
        <w:t xml:space="preserve">t le stade </w:t>
      </w:r>
      <w:r w:rsidRPr="004575FF">
        <w:rPr>
          <w:rFonts w:ascii="Times New Roman" w:hAnsi="Times New Roman" w:cs="Times New Roman"/>
          <w:sz w:val="24"/>
          <w:szCs w:val="24"/>
        </w:rPr>
        <w:t xml:space="preserve">pleine levée </w:t>
      </w:r>
      <w:r>
        <w:rPr>
          <w:rFonts w:ascii="Times New Roman" w:hAnsi="Times New Roman" w:cs="Times New Roman"/>
          <w:sz w:val="24"/>
          <w:szCs w:val="24"/>
        </w:rPr>
        <w:t xml:space="preserve">(14 jours). Les </w:t>
      </w:r>
      <w:r w:rsidRPr="00213ACD">
        <w:rPr>
          <w:rFonts w:ascii="Times New Roman" w:hAnsi="Times New Roman" w:cs="Times New Roman"/>
          <w:sz w:val="24"/>
          <w:szCs w:val="24"/>
        </w:rPr>
        <w:t>population</w:t>
      </w:r>
      <w:r>
        <w:rPr>
          <w:rFonts w:ascii="Times New Roman" w:hAnsi="Times New Roman" w:cs="Times New Roman"/>
          <w:sz w:val="24"/>
          <w:szCs w:val="24"/>
        </w:rPr>
        <w:t xml:space="preserve">s P5 et P6 </w:t>
      </w:r>
      <w:r w:rsidRPr="00213ACD">
        <w:rPr>
          <w:rFonts w:ascii="Times New Roman" w:hAnsi="Times New Roman" w:cs="Times New Roman"/>
          <w:sz w:val="24"/>
          <w:szCs w:val="24"/>
        </w:rPr>
        <w:t>présente</w:t>
      </w:r>
      <w:r>
        <w:rPr>
          <w:rFonts w:ascii="Times New Roman" w:hAnsi="Times New Roman" w:cs="Times New Roman"/>
          <w:sz w:val="24"/>
          <w:szCs w:val="24"/>
        </w:rPr>
        <w:t>nt</w:t>
      </w:r>
      <w:r w:rsidRPr="00213ACD">
        <w:rPr>
          <w:rFonts w:ascii="Times New Roman" w:hAnsi="Times New Roman" w:cs="Times New Roman"/>
          <w:sz w:val="24"/>
          <w:szCs w:val="24"/>
        </w:rPr>
        <w:t xml:space="preserve"> le nombre </w:t>
      </w:r>
      <w:r>
        <w:rPr>
          <w:rFonts w:ascii="Times New Roman" w:hAnsi="Times New Roman" w:cs="Times New Roman"/>
          <w:sz w:val="24"/>
          <w:szCs w:val="24"/>
        </w:rPr>
        <w:t xml:space="preserve">moyen </w:t>
      </w:r>
      <w:r w:rsidRPr="00213ACD">
        <w:rPr>
          <w:rFonts w:ascii="Times New Roman" w:hAnsi="Times New Roman" w:cs="Times New Roman"/>
          <w:sz w:val="24"/>
          <w:szCs w:val="24"/>
        </w:rPr>
        <w:t>de jours le plus élevé entre le semis et la pleine lev</w:t>
      </w:r>
      <w:r>
        <w:rPr>
          <w:rFonts w:ascii="Times New Roman" w:hAnsi="Times New Roman" w:cs="Times New Roman"/>
          <w:sz w:val="24"/>
          <w:szCs w:val="24"/>
        </w:rPr>
        <w:t xml:space="preserve">ée soit 18 jours. </w:t>
      </w:r>
      <w:r w:rsidRPr="00213ACD">
        <w:rPr>
          <w:rFonts w:ascii="Times New Roman" w:hAnsi="Times New Roman" w:cs="Times New Roman"/>
          <w:sz w:val="24"/>
          <w:szCs w:val="24"/>
        </w:rPr>
        <w:t>Par contre</w:t>
      </w:r>
      <w:r>
        <w:rPr>
          <w:rFonts w:ascii="Times New Roman" w:hAnsi="Times New Roman" w:cs="Times New Roman"/>
          <w:sz w:val="24"/>
          <w:szCs w:val="24"/>
        </w:rPr>
        <w:t>,</w:t>
      </w:r>
      <w:r w:rsidRPr="00213ACD">
        <w:rPr>
          <w:rFonts w:ascii="Times New Roman" w:hAnsi="Times New Roman" w:cs="Times New Roman"/>
          <w:sz w:val="24"/>
          <w:szCs w:val="24"/>
        </w:rPr>
        <w:t xml:space="preserve"> la population P4 n’atteint pas le stade </w:t>
      </w:r>
      <w:r w:rsidRPr="004575FF">
        <w:rPr>
          <w:rFonts w:ascii="Times New Roman" w:hAnsi="Times New Roman" w:cs="Times New Roman"/>
          <w:sz w:val="24"/>
          <w:szCs w:val="24"/>
        </w:rPr>
        <w:t>pleine levée</w:t>
      </w:r>
      <w:r>
        <w:rPr>
          <w:rFonts w:ascii="Times New Roman" w:hAnsi="Times New Roman" w:cs="Times New Roman"/>
          <w:sz w:val="24"/>
          <w:szCs w:val="24"/>
        </w:rPr>
        <w:t xml:space="preserve"> </w:t>
      </w:r>
      <w:r w:rsidRPr="004575FF">
        <w:rPr>
          <w:rFonts w:ascii="Times New Roman" w:hAnsi="Times New Roman" w:cs="Times New Roman"/>
          <w:sz w:val="24"/>
          <w:szCs w:val="24"/>
        </w:rPr>
        <w:t>(Fig. 21).</w:t>
      </w:r>
    </w:p>
    <w:p w:rsidR="004A2A5D" w:rsidRPr="00D4608A" w:rsidRDefault="004A2A5D" w:rsidP="00AD6B8B">
      <w:pPr>
        <w:pStyle w:val="Paragraphedeliste"/>
        <w:numPr>
          <w:ilvl w:val="0"/>
          <w:numId w:val="21"/>
        </w:numPr>
        <w:spacing w:before="240" w:line="360" w:lineRule="auto"/>
        <w:contextualSpacing w:val="0"/>
        <w:jc w:val="both"/>
        <w:rPr>
          <w:rFonts w:ascii="Times New Roman" w:hAnsi="Times New Roman" w:cs="Times New Roman"/>
          <w:b/>
          <w:bCs/>
          <w:sz w:val="24"/>
          <w:szCs w:val="24"/>
        </w:rPr>
      </w:pPr>
      <w:r w:rsidRPr="00D4608A">
        <w:rPr>
          <w:rFonts w:ascii="Times New Roman" w:hAnsi="Times New Roman" w:cs="Times New Roman"/>
          <w:b/>
          <w:bCs/>
          <w:sz w:val="24"/>
          <w:szCs w:val="24"/>
        </w:rPr>
        <w:t>Pourcentage</w:t>
      </w:r>
      <w:r>
        <w:rPr>
          <w:rFonts w:ascii="Times New Roman" w:hAnsi="Times New Roman" w:cs="Times New Roman"/>
          <w:b/>
          <w:bCs/>
          <w:sz w:val="24"/>
          <w:szCs w:val="24"/>
        </w:rPr>
        <w:t xml:space="preserve"> moyen</w:t>
      </w:r>
      <w:r w:rsidRPr="00D4608A">
        <w:rPr>
          <w:rFonts w:ascii="Times New Roman" w:hAnsi="Times New Roman" w:cs="Times New Roman"/>
          <w:b/>
          <w:bCs/>
          <w:sz w:val="24"/>
          <w:szCs w:val="24"/>
        </w:rPr>
        <w:t xml:space="preserve"> de levée (PGL)</w:t>
      </w:r>
    </w:p>
    <w:p w:rsidR="004A2A5D" w:rsidRDefault="004A2A5D" w:rsidP="004A2A5D">
      <w:pPr>
        <w:spacing w:line="360" w:lineRule="auto"/>
        <w:ind w:firstLine="284"/>
        <w:jc w:val="both"/>
        <w:rPr>
          <w:rFonts w:ascii="Times New Roman" w:hAnsi="Times New Roman" w:cs="Times New Roman"/>
          <w:sz w:val="24"/>
          <w:szCs w:val="24"/>
        </w:rPr>
      </w:pPr>
      <w:r w:rsidRPr="007605AC">
        <w:rPr>
          <w:rFonts w:ascii="Times New Roman" w:hAnsi="Times New Roman" w:cs="Times New Roman"/>
          <w:sz w:val="24"/>
          <w:szCs w:val="24"/>
        </w:rPr>
        <w:t xml:space="preserve">L’analyse statistique des résultats de ce caractère a révélé </w:t>
      </w:r>
      <w:r>
        <w:rPr>
          <w:rFonts w:ascii="Times New Roman" w:hAnsi="Times New Roman" w:cs="Times New Roman"/>
          <w:sz w:val="24"/>
          <w:szCs w:val="24"/>
        </w:rPr>
        <w:t>une différence très hautement significative entre les populations, avec l’apparition de trois groupes homogènes</w:t>
      </w:r>
      <w:r w:rsidRPr="0053449C">
        <w:rPr>
          <w:rFonts w:ascii="Times New Roman" w:hAnsi="Times New Roman" w:cs="Times New Roman"/>
          <w:sz w:val="24"/>
          <w:szCs w:val="24"/>
        </w:rPr>
        <w:t xml:space="preserve"> (Annexe</w:t>
      </w:r>
      <w:r>
        <w:rPr>
          <w:rFonts w:ascii="Times New Roman" w:hAnsi="Times New Roman" w:cs="Times New Roman"/>
          <w:sz w:val="24"/>
          <w:szCs w:val="24"/>
        </w:rPr>
        <w:t xml:space="preserve"> 2</w:t>
      </w:r>
      <w:r w:rsidRPr="0053449C">
        <w:rPr>
          <w:rFonts w:ascii="Times New Roman" w:hAnsi="Times New Roman" w:cs="Times New Roman"/>
          <w:sz w:val="24"/>
          <w:szCs w:val="24"/>
        </w:rPr>
        <w:t>).</w:t>
      </w:r>
      <w:r w:rsidR="002B4DB3">
        <w:rPr>
          <w:rFonts w:ascii="Times New Roman" w:hAnsi="Times New Roman" w:cs="Times New Roman"/>
          <w:sz w:val="24"/>
          <w:szCs w:val="24"/>
        </w:rPr>
        <w:t xml:space="preserve"> Les valeurs varient entre 92,03% pour le groupe A (P3) et 70,</w:t>
      </w:r>
      <w:r>
        <w:rPr>
          <w:rFonts w:ascii="Times New Roman" w:hAnsi="Times New Roman" w:cs="Times New Roman"/>
          <w:sz w:val="24"/>
          <w:szCs w:val="24"/>
        </w:rPr>
        <w:t xml:space="preserve">86% pour le groupe C (P4) </w:t>
      </w:r>
      <w:r w:rsidRPr="004575FF">
        <w:rPr>
          <w:rFonts w:ascii="Times New Roman" w:hAnsi="Times New Roman" w:cs="Times New Roman"/>
          <w:sz w:val="24"/>
          <w:szCs w:val="24"/>
        </w:rPr>
        <w:t>(Fig. 22).</w:t>
      </w:r>
    </w:p>
    <w:p w:rsidR="004A2A5D" w:rsidRPr="00D4608A" w:rsidRDefault="004A2A5D" w:rsidP="00AD6B8B">
      <w:pPr>
        <w:pStyle w:val="Paragraphedeliste"/>
        <w:numPr>
          <w:ilvl w:val="0"/>
          <w:numId w:val="21"/>
        </w:numPr>
        <w:spacing w:before="240" w:line="360" w:lineRule="auto"/>
        <w:contextualSpacing w:val="0"/>
        <w:jc w:val="both"/>
        <w:rPr>
          <w:rFonts w:ascii="Times New Roman" w:hAnsi="Times New Roman" w:cs="Times New Roman"/>
          <w:b/>
          <w:bCs/>
          <w:sz w:val="24"/>
          <w:szCs w:val="24"/>
        </w:rPr>
      </w:pPr>
      <w:r w:rsidRPr="00D4608A">
        <w:rPr>
          <w:rFonts w:ascii="Times New Roman" w:hAnsi="Times New Roman" w:cs="Times New Roman"/>
          <w:b/>
          <w:bCs/>
          <w:sz w:val="24"/>
          <w:szCs w:val="24"/>
        </w:rPr>
        <w:t>Début floraison (DF), Plein</w:t>
      </w:r>
      <w:r>
        <w:rPr>
          <w:rFonts w:ascii="Times New Roman" w:hAnsi="Times New Roman" w:cs="Times New Roman"/>
          <w:b/>
          <w:bCs/>
          <w:sz w:val="24"/>
          <w:szCs w:val="24"/>
        </w:rPr>
        <w:t>e</w:t>
      </w:r>
      <w:r w:rsidRPr="00D4608A">
        <w:rPr>
          <w:rFonts w:ascii="Times New Roman" w:hAnsi="Times New Roman" w:cs="Times New Roman"/>
          <w:b/>
          <w:bCs/>
          <w:sz w:val="24"/>
          <w:szCs w:val="24"/>
        </w:rPr>
        <w:t xml:space="preserve"> floraison</w:t>
      </w:r>
      <w:r>
        <w:rPr>
          <w:rFonts w:ascii="Times New Roman" w:hAnsi="Times New Roman" w:cs="Times New Roman"/>
          <w:b/>
          <w:bCs/>
          <w:sz w:val="24"/>
          <w:szCs w:val="24"/>
        </w:rPr>
        <w:t xml:space="preserve"> </w:t>
      </w:r>
      <w:r w:rsidRPr="00D4608A">
        <w:rPr>
          <w:rFonts w:ascii="Times New Roman" w:hAnsi="Times New Roman" w:cs="Times New Roman"/>
          <w:b/>
          <w:bCs/>
          <w:sz w:val="24"/>
          <w:szCs w:val="24"/>
        </w:rPr>
        <w:t>(PF) et fin floraison (FF)</w:t>
      </w:r>
    </w:p>
    <w:p w:rsidR="004A2A5D" w:rsidRDefault="004A2A5D" w:rsidP="004A2A5D">
      <w:pPr>
        <w:spacing w:line="360" w:lineRule="auto"/>
        <w:ind w:firstLine="284"/>
        <w:jc w:val="both"/>
        <w:rPr>
          <w:rFonts w:ascii="Times New Roman" w:hAnsi="Times New Roman" w:cs="Times New Roman"/>
          <w:sz w:val="24"/>
          <w:szCs w:val="24"/>
        </w:rPr>
      </w:pPr>
      <w:r w:rsidRPr="00511B12">
        <w:rPr>
          <w:rFonts w:ascii="Times New Roman" w:hAnsi="Times New Roman" w:cs="Times New Roman"/>
          <w:sz w:val="24"/>
          <w:szCs w:val="24"/>
        </w:rPr>
        <w:t>La figure</w:t>
      </w:r>
      <w:r w:rsidRPr="009C6928">
        <w:rPr>
          <w:rFonts w:ascii="Times New Roman" w:hAnsi="Times New Roman" w:cs="Times New Roman"/>
          <w:sz w:val="24"/>
          <w:szCs w:val="24"/>
        </w:rPr>
        <w:t xml:space="preserve"> </w:t>
      </w:r>
      <w:r>
        <w:rPr>
          <w:rFonts w:ascii="Times New Roman" w:hAnsi="Times New Roman" w:cs="Times New Roman"/>
          <w:sz w:val="24"/>
          <w:szCs w:val="24"/>
        </w:rPr>
        <w:t>23</w:t>
      </w:r>
      <w:r w:rsidRPr="009C6928">
        <w:rPr>
          <w:rFonts w:ascii="Times New Roman" w:hAnsi="Times New Roman" w:cs="Times New Roman"/>
          <w:sz w:val="24"/>
          <w:szCs w:val="24"/>
        </w:rPr>
        <w:t xml:space="preserve"> met en évidence le nombre moyen de jours entre le semis </w:t>
      </w:r>
      <w:r>
        <w:rPr>
          <w:rFonts w:ascii="Times New Roman" w:hAnsi="Times New Roman" w:cs="Times New Roman"/>
          <w:sz w:val="24"/>
          <w:szCs w:val="24"/>
        </w:rPr>
        <w:t xml:space="preserve">et le début floraison, la pleine floraison et la fin floraison. </w:t>
      </w:r>
    </w:p>
    <w:p w:rsidR="004A2A5D" w:rsidRDefault="004A2A5D" w:rsidP="004A2A5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Concernant le caractère début floraison, la population P4 est la plus précoce </w:t>
      </w:r>
      <w:r w:rsidRPr="004575FF">
        <w:rPr>
          <w:rFonts w:ascii="Times New Roman" w:hAnsi="Times New Roman" w:cs="Times New Roman"/>
          <w:sz w:val="24"/>
          <w:szCs w:val="24"/>
        </w:rPr>
        <w:t xml:space="preserve">avec </w:t>
      </w:r>
      <w:r w:rsidR="002B4DB3">
        <w:rPr>
          <w:rFonts w:ascii="Times New Roman" w:hAnsi="Times New Roman" w:cs="Times New Roman"/>
          <w:sz w:val="24"/>
          <w:szCs w:val="24"/>
        </w:rPr>
        <w:t>62,</w:t>
      </w:r>
      <w:r>
        <w:rPr>
          <w:rFonts w:ascii="Times New Roman" w:hAnsi="Times New Roman" w:cs="Times New Roman"/>
          <w:sz w:val="24"/>
          <w:szCs w:val="24"/>
        </w:rPr>
        <w:t xml:space="preserve">5 jours. Par contre, la population P5 est la plus tardive </w:t>
      </w:r>
      <w:r w:rsidRPr="004575FF">
        <w:rPr>
          <w:rFonts w:ascii="Times New Roman" w:hAnsi="Times New Roman" w:cs="Times New Roman"/>
          <w:sz w:val="24"/>
          <w:szCs w:val="24"/>
        </w:rPr>
        <w:t>avec</w:t>
      </w:r>
      <w:r w:rsidR="002B4DB3">
        <w:rPr>
          <w:rFonts w:ascii="Times New Roman" w:hAnsi="Times New Roman" w:cs="Times New Roman"/>
          <w:sz w:val="24"/>
          <w:szCs w:val="24"/>
        </w:rPr>
        <w:t xml:space="preserve"> 66,</w:t>
      </w:r>
      <w:r>
        <w:rPr>
          <w:rFonts w:ascii="Times New Roman" w:hAnsi="Times New Roman" w:cs="Times New Roman"/>
          <w:sz w:val="24"/>
          <w:szCs w:val="24"/>
        </w:rPr>
        <w:t xml:space="preserve">25 jours. Le caractère </w:t>
      </w:r>
      <w:r w:rsidRPr="004575FF">
        <w:rPr>
          <w:rFonts w:ascii="Times New Roman" w:hAnsi="Times New Roman" w:cs="Times New Roman"/>
          <w:sz w:val="24"/>
          <w:szCs w:val="24"/>
        </w:rPr>
        <w:t>pleine</w:t>
      </w:r>
      <w:r>
        <w:rPr>
          <w:rFonts w:ascii="Times New Roman" w:hAnsi="Times New Roman" w:cs="Times New Roman"/>
          <w:sz w:val="24"/>
          <w:szCs w:val="24"/>
        </w:rPr>
        <w:t xml:space="preserve"> floraison </w:t>
      </w:r>
      <w:r w:rsidRPr="00213ACD">
        <w:rPr>
          <w:rFonts w:ascii="Times New Roman" w:hAnsi="Times New Roman" w:cs="Times New Roman"/>
          <w:sz w:val="24"/>
          <w:szCs w:val="24"/>
        </w:rPr>
        <w:t>varie de</w:t>
      </w:r>
      <w:r w:rsidR="00420554">
        <w:rPr>
          <w:rFonts w:ascii="Times New Roman" w:hAnsi="Times New Roman" w:cs="Times New Roman"/>
          <w:sz w:val="24"/>
          <w:szCs w:val="24"/>
        </w:rPr>
        <w:t xml:space="preserve"> 70</w:t>
      </w:r>
      <w:r>
        <w:rPr>
          <w:rFonts w:ascii="Times New Roman" w:hAnsi="Times New Roman" w:cs="Times New Roman"/>
          <w:sz w:val="24"/>
          <w:szCs w:val="24"/>
        </w:rPr>
        <w:t xml:space="preserve"> jours pou</w:t>
      </w:r>
      <w:r w:rsidR="00420554">
        <w:rPr>
          <w:rFonts w:ascii="Times New Roman" w:hAnsi="Times New Roman" w:cs="Times New Roman"/>
          <w:sz w:val="24"/>
          <w:szCs w:val="24"/>
        </w:rPr>
        <w:t>r la population P1</w:t>
      </w:r>
      <w:r>
        <w:rPr>
          <w:rFonts w:ascii="Times New Roman" w:hAnsi="Times New Roman" w:cs="Times New Roman"/>
          <w:sz w:val="24"/>
          <w:szCs w:val="24"/>
        </w:rPr>
        <w:t xml:space="preserve"> à 72 jours pour les populations P2 et P5. La valeur moyenne du caractère fin floraison la plus importante est enregistrée chez</w:t>
      </w:r>
      <w:r w:rsidRPr="002D1555">
        <w:rPr>
          <w:rFonts w:ascii="Times New Roman" w:hAnsi="Times New Roman" w:cs="Times New Roman"/>
          <w:sz w:val="24"/>
          <w:szCs w:val="24"/>
        </w:rPr>
        <w:t xml:space="preserve"> </w:t>
      </w:r>
      <w:r>
        <w:rPr>
          <w:rFonts w:ascii="Times New Roman" w:hAnsi="Times New Roman" w:cs="Times New Roman"/>
          <w:sz w:val="24"/>
          <w:szCs w:val="24"/>
        </w:rPr>
        <w:t xml:space="preserve">la population P3 </w:t>
      </w:r>
      <w:r w:rsidR="002B4DB3">
        <w:rPr>
          <w:rFonts w:ascii="Times New Roman" w:hAnsi="Times New Roman" w:cs="Times New Roman"/>
          <w:sz w:val="24"/>
          <w:szCs w:val="24"/>
        </w:rPr>
        <w:t>avec 97,</w:t>
      </w:r>
      <w:r w:rsidRPr="004575FF">
        <w:rPr>
          <w:rFonts w:ascii="Times New Roman" w:hAnsi="Times New Roman" w:cs="Times New Roman"/>
          <w:sz w:val="24"/>
          <w:szCs w:val="24"/>
        </w:rPr>
        <w:t>25 jours</w:t>
      </w:r>
      <w:r>
        <w:rPr>
          <w:rFonts w:ascii="Times New Roman" w:hAnsi="Times New Roman" w:cs="Times New Roman"/>
          <w:sz w:val="24"/>
          <w:szCs w:val="24"/>
        </w:rPr>
        <w:t>.</w:t>
      </w:r>
    </w:p>
    <w:p w:rsidR="00B16C26" w:rsidRDefault="004A2A5D" w:rsidP="00B16C26">
      <w:pPr>
        <w:keepNext/>
        <w:spacing w:after="120" w:line="360" w:lineRule="auto"/>
        <w:jc w:val="center"/>
      </w:pPr>
      <w:r w:rsidRPr="0037523E">
        <w:rPr>
          <w:rFonts w:ascii="Times New Roman" w:hAnsi="Times New Roman" w:cs="Times New Roman"/>
          <w:noProof/>
          <w:sz w:val="24"/>
          <w:szCs w:val="24"/>
        </w:rPr>
        <w:lastRenderedPageBreak/>
        <w:drawing>
          <wp:inline distT="0" distB="0" distL="0" distR="0">
            <wp:extent cx="5409580" cy="2268000"/>
            <wp:effectExtent l="19050" t="0" r="19670" b="0"/>
            <wp:docPr id="73"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A2A5D" w:rsidRPr="00463B12" w:rsidRDefault="00B16C26" w:rsidP="00463B12">
      <w:pPr>
        <w:pStyle w:val="Lgende"/>
        <w:spacing w:before="240"/>
        <w:jc w:val="center"/>
        <w:rPr>
          <w:rFonts w:asciiTheme="majorBidi" w:hAnsiTheme="majorBidi" w:cstheme="majorBidi"/>
          <w:color w:val="auto"/>
          <w:sz w:val="20"/>
          <w:szCs w:val="20"/>
        </w:rPr>
      </w:pPr>
      <w:bookmarkStart w:id="1430" w:name="_Toc252194958"/>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21</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 xml:space="preserve">:Nombre moyen de jours entre le semis et la levée et la pleine levée </w:t>
      </w:r>
      <w:r w:rsidRPr="00463B12">
        <w:rPr>
          <w:rFonts w:asciiTheme="majorBidi" w:hAnsiTheme="majorBidi" w:cstheme="majorBidi"/>
          <w:color w:val="auto"/>
          <w:sz w:val="20"/>
          <w:szCs w:val="20"/>
        </w:rPr>
        <w:t>(L : levée ; PL : pleine levée).</w:t>
      </w:r>
      <w:bookmarkEnd w:id="1430"/>
    </w:p>
    <w:p w:rsidR="009C7F2E" w:rsidRDefault="004A2A5D" w:rsidP="009C7F2E">
      <w:pPr>
        <w:keepNext/>
        <w:spacing w:line="360" w:lineRule="auto"/>
        <w:jc w:val="center"/>
      </w:pPr>
      <w:r w:rsidRPr="0037523E">
        <w:rPr>
          <w:rFonts w:ascii="Times New Roman" w:hAnsi="Times New Roman" w:cs="Times New Roman"/>
          <w:b/>
          <w:bCs/>
          <w:noProof/>
          <w:sz w:val="24"/>
          <w:szCs w:val="24"/>
        </w:rPr>
        <w:drawing>
          <wp:inline distT="0" distB="0" distL="0" distR="0">
            <wp:extent cx="5402595" cy="2268000"/>
            <wp:effectExtent l="19050" t="0" r="26655" b="0"/>
            <wp:docPr id="74"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41792" w:rsidRPr="00463B12" w:rsidRDefault="009C7F2E" w:rsidP="00463B12">
      <w:pPr>
        <w:pStyle w:val="Lgende"/>
        <w:spacing w:before="240"/>
        <w:jc w:val="center"/>
        <w:rPr>
          <w:rFonts w:asciiTheme="majorBidi" w:hAnsiTheme="majorBidi" w:cstheme="majorBidi"/>
          <w:color w:val="auto"/>
          <w:sz w:val="24"/>
          <w:szCs w:val="24"/>
        </w:rPr>
      </w:pPr>
      <w:bookmarkStart w:id="1431" w:name="_Toc252194959"/>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22</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:Pourcentage moyen de levée en (%).</w:t>
      </w:r>
      <w:bookmarkEnd w:id="1431"/>
    </w:p>
    <w:p w:rsidR="00641792" w:rsidRPr="00641792" w:rsidRDefault="00641792" w:rsidP="00641792"/>
    <w:p w:rsidR="009C7F2E" w:rsidRDefault="004A2A5D" w:rsidP="009C7F2E">
      <w:pPr>
        <w:keepNext/>
        <w:spacing w:after="120" w:line="360" w:lineRule="auto"/>
        <w:jc w:val="center"/>
      </w:pPr>
      <w:r w:rsidRPr="0037523E">
        <w:rPr>
          <w:rFonts w:ascii="Times New Roman" w:hAnsi="Times New Roman" w:cs="Times New Roman"/>
          <w:noProof/>
          <w:sz w:val="24"/>
          <w:szCs w:val="24"/>
        </w:rPr>
        <w:drawing>
          <wp:inline distT="0" distB="0" distL="0" distR="0">
            <wp:extent cx="5400000" cy="2264735"/>
            <wp:effectExtent l="19050" t="0" r="10200" b="2215"/>
            <wp:docPr id="75"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A2A5D" w:rsidRPr="00463B12" w:rsidRDefault="009C7F2E" w:rsidP="00463B12">
      <w:pPr>
        <w:pStyle w:val="Lgende"/>
        <w:spacing w:before="240"/>
        <w:jc w:val="center"/>
        <w:rPr>
          <w:rFonts w:asciiTheme="majorBidi" w:hAnsiTheme="majorBidi" w:cstheme="majorBidi"/>
          <w:color w:val="auto"/>
          <w:sz w:val="24"/>
          <w:szCs w:val="24"/>
        </w:rPr>
      </w:pPr>
      <w:bookmarkStart w:id="1432" w:name="_Toc252194960"/>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23</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 xml:space="preserve">:Nombre moyen de jours entre le semis et le stade début floraison, pleine et fin floraison </w:t>
      </w:r>
      <w:r w:rsidRPr="00463B12">
        <w:rPr>
          <w:rFonts w:asciiTheme="majorBidi" w:hAnsiTheme="majorBidi" w:cstheme="majorBidi"/>
          <w:color w:val="auto"/>
          <w:sz w:val="20"/>
          <w:szCs w:val="20"/>
        </w:rPr>
        <w:t>(DF : Début floraison ; PF : pleine floraison ; FF : fin floraison).</w:t>
      </w:r>
      <w:bookmarkEnd w:id="1432"/>
    </w:p>
    <w:p w:rsidR="004A2A5D" w:rsidRDefault="004A2A5D" w:rsidP="004A2A5D">
      <w:pPr>
        <w:spacing w:line="360" w:lineRule="auto"/>
        <w:jc w:val="center"/>
        <w:rPr>
          <w:rFonts w:ascii="Times New Roman" w:hAnsi="Times New Roman" w:cs="Times New Roman"/>
          <w:sz w:val="20"/>
          <w:szCs w:val="20"/>
        </w:rPr>
      </w:pPr>
    </w:p>
    <w:p w:rsidR="004A2A5D" w:rsidRPr="00644F82" w:rsidRDefault="004A2A5D" w:rsidP="004A2A5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L’analyse de variance n’indique aucune différence significative</w:t>
      </w:r>
      <w:r w:rsidRPr="002D1555">
        <w:rPr>
          <w:rFonts w:ascii="Times New Roman" w:hAnsi="Times New Roman" w:cs="Times New Roman"/>
          <w:sz w:val="24"/>
          <w:szCs w:val="24"/>
        </w:rPr>
        <w:t xml:space="preserve"> </w:t>
      </w:r>
      <w:r>
        <w:rPr>
          <w:rFonts w:ascii="Times New Roman" w:hAnsi="Times New Roman" w:cs="Times New Roman"/>
          <w:sz w:val="24"/>
          <w:szCs w:val="24"/>
        </w:rPr>
        <w:t xml:space="preserve">entre les populations pour les deux caractères (début floraison et pleine floraison). Par contre, la </w:t>
      </w:r>
      <w:r w:rsidRPr="004575FF">
        <w:rPr>
          <w:rFonts w:ascii="Times New Roman" w:hAnsi="Times New Roman" w:cs="Times New Roman"/>
          <w:sz w:val="24"/>
          <w:szCs w:val="24"/>
        </w:rPr>
        <w:t>différence</w:t>
      </w:r>
      <w:r>
        <w:rPr>
          <w:rFonts w:ascii="Times New Roman" w:hAnsi="Times New Roman" w:cs="Times New Roman"/>
          <w:sz w:val="24"/>
          <w:szCs w:val="24"/>
        </w:rPr>
        <w:t xml:space="preserve"> est significative entre les populations pour le caractère fin floraison</w:t>
      </w:r>
      <w:r w:rsidRPr="0053449C">
        <w:rPr>
          <w:rFonts w:ascii="Times New Roman" w:hAnsi="Times New Roman" w:cs="Times New Roman"/>
          <w:sz w:val="24"/>
          <w:szCs w:val="24"/>
        </w:rPr>
        <w:t xml:space="preserve"> (Annexe</w:t>
      </w:r>
      <w:r>
        <w:rPr>
          <w:rFonts w:ascii="Times New Roman" w:hAnsi="Times New Roman" w:cs="Times New Roman"/>
          <w:sz w:val="24"/>
          <w:szCs w:val="24"/>
        </w:rPr>
        <w:t xml:space="preserve"> 2</w:t>
      </w:r>
      <w:r w:rsidRPr="0053449C">
        <w:rPr>
          <w:rFonts w:ascii="Times New Roman" w:hAnsi="Times New Roman" w:cs="Times New Roman"/>
          <w:sz w:val="24"/>
          <w:szCs w:val="24"/>
        </w:rPr>
        <w:t>).</w:t>
      </w:r>
      <w:r>
        <w:rPr>
          <w:rFonts w:ascii="Times New Roman" w:hAnsi="Times New Roman" w:cs="Times New Roman"/>
          <w:sz w:val="24"/>
          <w:szCs w:val="24"/>
        </w:rPr>
        <w:t xml:space="preserve"> </w:t>
      </w:r>
    </w:p>
    <w:p w:rsidR="004A2A5D" w:rsidRPr="00D4608A" w:rsidRDefault="004A2A5D" w:rsidP="00AD6B8B">
      <w:pPr>
        <w:pStyle w:val="Paragraphedeliste"/>
        <w:numPr>
          <w:ilvl w:val="0"/>
          <w:numId w:val="21"/>
        </w:numPr>
        <w:spacing w:before="240" w:line="360" w:lineRule="auto"/>
        <w:contextualSpacing w:val="0"/>
        <w:jc w:val="both"/>
        <w:rPr>
          <w:rFonts w:ascii="Times New Roman" w:hAnsi="Times New Roman" w:cs="Times New Roman"/>
          <w:b/>
          <w:bCs/>
          <w:sz w:val="24"/>
          <w:szCs w:val="24"/>
        </w:rPr>
      </w:pPr>
      <w:r w:rsidRPr="00D4608A">
        <w:rPr>
          <w:rFonts w:ascii="Times New Roman" w:hAnsi="Times New Roman" w:cs="Times New Roman"/>
          <w:b/>
          <w:bCs/>
          <w:sz w:val="24"/>
          <w:szCs w:val="24"/>
        </w:rPr>
        <w:t>Étalement de la floraison (ETF)</w:t>
      </w:r>
    </w:p>
    <w:p w:rsidR="004A2A5D" w:rsidRPr="004575FF" w:rsidRDefault="004A2A5D" w:rsidP="004A2A5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L’analyse de variance </w:t>
      </w:r>
      <w:r w:rsidRPr="004575FF">
        <w:rPr>
          <w:rFonts w:ascii="Times New Roman" w:hAnsi="Times New Roman" w:cs="Times New Roman"/>
          <w:sz w:val="24"/>
          <w:szCs w:val="24"/>
        </w:rPr>
        <w:t>ne</w:t>
      </w:r>
      <w:r>
        <w:rPr>
          <w:rFonts w:ascii="Times New Roman" w:hAnsi="Times New Roman" w:cs="Times New Roman"/>
          <w:sz w:val="24"/>
          <w:szCs w:val="24"/>
        </w:rPr>
        <w:t xml:space="preserve"> montre aucune différence significative</w:t>
      </w:r>
      <w:r w:rsidRPr="002D1555">
        <w:rPr>
          <w:rFonts w:ascii="Times New Roman" w:hAnsi="Times New Roman" w:cs="Times New Roman"/>
          <w:sz w:val="24"/>
          <w:szCs w:val="24"/>
        </w:rPr>
        <w:t xml:space="preserve"> </w:t>
      </w:r>
      <w:r>
        <w:rPr>
          <w:rFonts w:ascii="Times New Roman" w:hAnsi="Times New Roman" w:cs="Times New Roman"/>
          <w:sz w:val="24"/>
          <w:szCs w:val="24"/>
        </w:rPr>
        <w:t xml:space="preserve">entre les populations concernant ce caractère </w:t>
      </w:r>
      <w:r w:rsidRPr="0053449C">
        <w:rPr>
          <w:rFonts w:ascii="Times New Roman" w:hAnsi="Times New Roman" w:cs="Times New Roman"/>
          <w:sz w:val="24"/>
          <w:szCs w:val="24"/>
        </w:rPr>
        <w:t>(</w:t>
      </w:r>
      <w:r w:rsidRPr="00BE580A">
        <w:rPr>
          <w:rFonts w:ascii="Times New Roman" w:hAnsi="Times New Roman" w:cs="Times New Roman"/>
          <w:sz w:val="24"/>
          <w:szCs w:val="24"/>
        </w:rPr>
        <w:t>Fig</w:t>
      </w:r>
      <w:r>
        <w:rPr>
          <w:rFonts w:ascii="Times New Roman" w:hAnsi="Times New Roman" w:cs="Times New Roman"/>
          <w:sz w:val="24"/>
          <w:szCs w:val="24"/>
        </w:rPr>
        <w:t>. 24 ;</w:t>
      </w:r>
      <w:r w:rsidRPr="00402735">
        <w:rPr>
          <w:rFonts w:ascii="Times New Roman" w:hAnsi="Times New Roman" w:cs="Times New Roman"/>
          <w:sz w:val="24"/>
          <w:szCs w:val="24"/>
        </w:rPr>
        <w:t xml:space="preserve"> </w:t>
      </w:r>
      <w:r>
        <w:rPr>
          <w:rFonts w:ascii="Times New Roman" w:hAnsi="Times New Roman" w:cs="Times New Roman"/>
          <w:sz w:val="24"/>
          <w:szCs w:val="24"/>
        </w:rPr>
        <w:t>Annexe 2)</w:t>
      </w:r>
      <w:r w:rsidRPr="00BE580A">
        <w:rPr>
          <w:rFonts w:ascii="Times New Roman" w:hAnsi="Times New Roman" w:cs="Times New Roman"/>
          <w:sz w:val="24"/>
          <w:szCs w:val="24"/>
        </w:rPr>
        <w:t>.</w:t>
      </w:r>
    </w:p>
    <w:p w:rsidR="004A2A5D" w:rsidRPr="00D4608A" w:rsidRDefault="004A2A5D" w:rsidP="00AD6B8B">
      <w:pPr>
        <w:pStyle w:val="Paragraphedeliste"/>
        <w:numPr>
          <w:ilvl w:val="0"/>
          <w:numId w:val="21"/>
        </w:numPr>
        <w:spacing w:before="240" w:line="360" w:lineRule="auto"/>
        <w:contextualSpacing w:val="0"/>
        <w:jc w:val="both"/>
        <w:rPr>
          <w:rFonts w:ascii="Times New Roman" w:hAnsi="Times New Roman" w:cs="Times New Roman"/>
          <w:b/>
          <w:bCs/>
          <w:sz w:val="24"/>
          <w:szCs w:val="24"/>
        </w:rPr>
      </w:pPr>
      <w:r w:rsidRPr="00D4608A">
        <w:rPr>
          <w:rFonts w:ascii="Times New Roman" w:hAnsi="Times New Roman" w:cs="Times New Roman"/>
          <w:b/>
          <w:bCs/>
          <w:sz w:val="24"/>
          <w:szCs w:val="24"/>
        </w:rPr>
        <w:t>Nouaison (NO)</w:t>
      </w:r>
    </w:p>
    <w:p w:rsidR="004A2A5D" w:rsidRPr="00554BC8" w:rsidRDefault="004A2A5D" w:rsidP="004A2A5D">
      <w:pPr>
        <w:spacing w:line="360" w:lineRule="auto"/>
        <w:ind w:firstLine="284"/>
        <w:jc w:val="both"/>
        <w:rPr>
          <w:rFonts w:ascii="Times New Roman" w:hAnsi="Times New Roman" w:cs="Times New Roman"/>
          <w:sz w:val="24"/>
          <w:szCs w:val="24"/>
        </w:rPr>
      </w:pPr>
      <w:r w:rsidRPr="007605AC">
        <w:rPr>
          <w:rFonts w:ascii="Times New Roman" w:hAnsi="Times New Roman" w:cs="Times New Roman"/>
          <w:sz w:val="24"/>
          <w:szCs w:val="24"/>
        </w:rPr>
        <w:t xml:space="preserve">L’analyse statistique des résultats de ce caractère </w:t>
      </w:r>
      <w:r>
        <w:rPr>
          <w:rFonts w:ascii="Times New Roman" w:hAnsi="Times New Roman" w:cs="Times New Roman"/>
          <w:sz w:val="24"/>
          <w:szCs w:val="24"/>
        </w:rPr>
        <w:t>montre qu’il y a</w:t>
      </w:r>
      <w:r w:rsidRPr="007605AC">
        <w:rPr>
          <w:rFonts w:ascii="Times New Roman" w:hAnsi="Times New Roman" w:cs="Times New Roman"/>
          <w:sz w:val="24"/>
          <w:szCs w:val="24"/>
        </w:rPr>
        <w:t xml:space="preserve"> </w:t>
      </w:r>
      <w:r>
        <w:rPr>
          <w:rFonts w:ascii="Times New Roman" w:hAnsi="Times New Roman" w:cs="Times New Roman"/>
          <w:sz w:val="24"/>
          <w:szCs w:val="24"/>
        </w:rPr>
        <w:t>une différence hautement significative entre les populations et permet de distinguer deux groupes homogènes</w:t>
      </w:r>
      <w:r w:rsidRPr="007B6584">
        <w:rPr>
          <w:rFonts w:ascii="Times New Roman" w:hAnsi="Times New Roman" w:cs="Times New Roman"/>
          <w:b/>
          <w:bCs/>
          <w:color w:val="FF0000"/>
          <w:sz w:val="24"/>
          <w:szCs w:val="24"/>
        </w:rPr>
        <w:t xml:space="preserve"> </w:t>
      </w:r>
      <w:r w:rsidRPr="0053449C">
        <w:rPr>
          <w:rFonts w:ascii="Times New Roman" w:hAnsi="Times New Roman" w:cs="Times New Roman"/>
          <w:sz w:val="24"/>
          <w:szCs w:val="24"/>
        </w:rPr>
        <w:t>(Annexe</w:t>
      </w:r>
      <w:r>
        <w:rPr>
          <w:rFonts w:ascii="Times New Roman" w:hAnsi="Times New Roman" w:cs="Times New Roman"/>
          <w:sz w:val="24"/>
          <w:szCs w:val="24"/>
        </w:rPr>
        <w:t xml:space="preserve"> 2</w:t>
      </w:r>
      <w:r w:rsidRPr="0053449C">
        <w:rPr>
          <w:rFonts w:ascii="Times New Roman" w:hAnsi="Times New Roman" w:cs="Times New Roman"/>
          <w:sz w:val="24"/>
          <w:szCs w:val="24"/>
        </w:rPr>
        <w:t>).</w:t>
      </w:r>
      <w:r>
        <w:rPr>
          <w:rFonts w:ascii="Times New Roman" w:hAnsi="Times New Roman" w:cs="Times New Roman"/>
          <w:sz w:val="24"/>
          <w:szCs w:val="24"/>
        </w:rPr>
        <w:t xml:space="preserve"> Le groupe A regroupe les populations P5 et P6 avec un moyen de 76 jours entre le semis et la nouaison. Le groupe B</w:t>
      </w:r>
      <w:r w:rsidRPr="00ED28C4">
        <w:rPr>
          <w:rFonts w:ascii="Times New Roman" w:hAnsi="Times New Roman" w:cs="Times New Roman"/>
          <w:sz w:val="24"/>
          <w:szCs w:val="24"/>
        </w:rPr>
        <w:t xml:space="preserve"> </w:t>
      </w:r>
      <w:r>
        <w:rPr>
          <w:rFonts w:ascii="Times New Roman" w:hAnsi="Times New Roman" w:cs="Times New Roman"/>
          <w:sz w:val="24"/>
          <w:szCs w:val="24"/>
        </w:rPr>
        <w:t>regroupe les populations P1</w:t>
      </w:r>
      <w:r w:rsidR="00222475">
        <w:rPr>
          <w:rFonts w:ascii="Times New Roman" w:hAnsi="Times New Roman" w:cs="Times New Roman"/>
          <w:sz w:val="24"/>
          <w:szCs w:val="24"/>
        </w:rPr>
        <w:t xml:space="preserve"> et </w:t>
      </w:r>
      <w:r w:rsidR="002B4DB3">
        <w:rPr>
          <w:rFonts w:ascii="Times New Roman" w:hAnsi="Times New Roman" w:cs="Times New Roman"/>
          <w:sz w:val="24"/>
          <w:szCs w:val="24"/>
        </w:rPr>
        <w:t>P2 avec respectivement 73 et 72,</w:t>
      </w:r>
      <w:r>
        <w:rPr>
          <w:rFonts w:ascii="Times New Roman" w:hAnsi="Times New Roman" w:cs="Times New Roman"/>
          <w:sz w:val="24"/>
          <w:szCs w:val="24"/>
        </w:rPr>
        <w:t xml:space="preserve">5 jours et le groupe chevauchant AB qui est représenté par la population P3 </w:t>
      </w:r>
      <w:r w:rsidRPr="00351D78">
        <w:rPr>
          <w:rFonts w:ascii="Times New Roman" w:hAnsi="Times New Roman" w:cs="Times New Roman"/>
          <w:sz w:val="24"/>
          <w:szCs w:val="24"/>
        </w:rPr>
        <w:t>(</w:t>
      </w:r>
      <w:r>
        <w:rPr>
          <w:rFonts w:ascii="Times New Roman" w:hAnsi="Times New Roman" w:cs="Times New Roman"/>
          <w:sz w:val="24"/>
          <w:szCs w:val="24"/>
        </w:rPr>
        <w:t>Fig. 25</w:t>
      </w:r>
      <w:r w:rsidRPr="00351D78">
        <w:rPr>
          <w:rFonts w:ascii="Times New Roman" w:hAnsi="Times New Roman" w:cs="Times New Roman"/>
          <w:sz w:val="24"/>
          <w:szCs w:val="24"/>
        </w:rPr>
        <w:t>).</w:t>
      </w:r>
    </w:p>
    <w:p w:rsidR="004A2A5D" w:rsidRPr="00D4608A" w:rsidRDefault="004A2A5D" w:rsidP="00AD6B8B">
      <w:pPr>
        <w:pStyle w:val="Paragraphedeliste"/>
        <w:numPr>
          <w:ilvl w:val="0"/>
          <w:numId w:val="21"/>
        </w:numPr>
        <w:spacing w:before="240" w:line="360" w:lineRule="auto"/>
        <w:contextualSpacing w:val="0"/>
        <w:jc w:val="both"/>
        <w:rPr>
          <w:rFonts w:ascii="Times New Roman" w:hAnsi="Times New Roman" w:cs="Times New Roman"/>
          <w:b/>
          <w:bCs/>
          <w:sz w:val="24"/>
          <w:szCs w:val="24"/>
        </w:rPr>
      </w:pPr>
      <w:r w:rsidRPr="00D4608A">
        <w:rPr>
          <w:rFonts w:ascii="Times New Roman" w:hAnsi="Times New Roman" w:cs="Times New Roman"/>
          <w:b/>
          <w:bCs/>
          <w:sz w:val="24"/>
          <w:szCs w:val="24"/>
        </w:rPr>
        <w:t>Formation des gousses</w:t>
      </w:r>
      <w:r>
        <w:rPr>
          <w:rFonts w:ascii="Times New Roman" w:hAnsi="Times New Roman" w:cs="Times New Roman"/>
          <w:b/>
          <w:bCs/>
          <w:sz w:val="24"/>
          <w:szCs w:val="24"/>
        </w:rPr>
        <w:t xml:space="preserve"> </w:t>
      </w:r>
      <w:r w:rsidRPr="00D4608A">
        <w:rPr>
          <w:rFonts w:ascii="Times New Roman" w:hAnsi="Times New Roman" w:cs="Times New Roman"/>
          <w:b/>
          <w:bCs/>
          <w:sz w:val="24"/>
          <w:szCs w:val="24"/>
        </w:rPr>
        <w:t>(FG)</w:t>
      </w:r>
    </w:p>
    <w:p w:rsidR="004A2A5D" w:rsidRDefault="004A2A5D" w:rsidP="004A2A5D">
      <w:pPr>
        <w:spacing w:line="360" w:lineRule="auto"/>
        <w:ind w:firstLine="284"/>
        <w:jc w:val="both"/>
        <w:rPr>
          <w:rFonts w:ascii="Times New Roman" w:hAnsi="Times New Roman" w:cs="Times New Roman"/>
          <w:b/>
          <w:bCs/>
          <w:sz w:val="24"/>
          <w:szCs w:val="24"/>
        </w:rPr>
      </w:pPr>
      <w:r w:rsidRPr="00224886">
        <w:rPr>
          <w:rFonts w:ascii="Times New Roman" w:hAnsi="Times New Roman" w:cs="Times New Roman"/>
          <w:sz w:val="24"/>
          <w:szCs w:val="24"/>
        </w:rPr>
        <w:t xml:space="preserve">Le nombre moyen de </w:t>
      </w:r>
      <w:r w:rsidRPr="004575FF">
        <w:rPr>
          <w:rFonts w:ascii="Times New Roman" w:hAnsi="Times New Roman" w:cs="Times New Roman"/>
          <w:sz w:val="24"/>
          <w:szCs w:val="24"/>
        </w:rPr>
        <w:t>jours</w:t>
      </w:r>
      <w:r w:rsidRPr="00224886">
        <w:rPr>
          <w:rFonts w:ascii="Times New Roman" w:hAnsi="Times New Roman" w:cs="Times New Roman"/>
          <w:sz w:val="24"/>
          <w:szCs w:val="24"/>
        </w:rPr>
        <w:t xml:space="preserve"> entre le semis et </w:t>
      </w:r>
      <w:r>
        <w:rPr>
          <w:rFonts w:ascii="Times New Roman" w:hAnsi="Times New Roman" w:cs="Times New Roman"/>
          <w:sz w:val="24"/>
          <w:szCs w:val="24"/>
        </w:rPr>
        <w:t>l</w:t>
      </w:r>
      <w:r w:rsidRPr="00224886">
        <w:rPr>
          <w:rFonts w:ascii="Times New Roman" w:hAnsi="Times New Roman" w:cs="Times New Roman"/>
          <w:sz w:val="24"/>
          <w:szCs w:val="24"/>
        </w:rPr>
        <w:t>a formation des gousses pour le</w:t>
      </w:r>
      <w:r w:rsidR="002B4DB3">
        <w:rPr>
          <w:rFonts w:ascii="Times New Roman" w:hAnsi="Times New Roman" w:cs="Times New Roman"/>
          <w:sz w:val="24"/>
          <w:szCs w:val="24"/>
        </w:rPr>
        <w:t>s six populations varie entre 9,</w:t>
      </w:r>
      <w:r w:rsidRPr="00224886">
        <w:rPr>
          <w:rFonts w:ascii="Times New Roman" w:hAnsi="Times New Roman" w:cs="Times New Roman"/>
          <w:sz w:val="24"/>
          <w:szCs w:val="24"/>
        </w:rPr>
        <w:t xml:space="preserve">51 jours chez les populations P3, P5 et P6 qui sont </w:t>
      </w:r>
      <w:r w:rsidRPr="004575FF">
        <w:rPr>
          <w:rFonts w:ascii="Times New Roman" w:hAnsi="Times New Roman" w:cs="Times New Roman"/>
          <w:sz w:val="24"/>
          <w:szCs w:val="24"/>
        </w:rPr>
        <w:t>représentées</w:t>
      </w:r>
      <w:r w:rsidRPr="00224886">
        <w:rPr>
          <w:rFonts w:ascii="Times New Roman" w:hAnsi="Times New Roman" w:cs="Times New Roman"/>
          <w:sz w:val="24"/>
          <w:szCs w:val="24"/>
        </w:rPr>
        <w:t xml:space="preserve"> par le groupe A et 89 jours pour les populations P1 et P4 (groupe B). Le groupe chevauchant AB qui renferme la population P2 présente un moyen de 90 jours</w:t>
      </w:r>
      <w:r w:rsidRPr="0053449C">
        <w:rPr>
          <w:rFonts w:ascii="Times New Roman" w:hAnsi="Times New Roman" w:cs="Times New Roman"/>
          <w:sz w:val="24"/>
          <w:szCs w:val="24"/>
        </w:rPr>
        <w:t xml:space="preserve"> (</w:t>
      </w:r>
      <w:r>
        <w:rPr>
          <w:rFonts w:ascii="Times New Roman" w:hAnsi="Times New Roman" w:cs="Times New Roman"/>
          <w:sz w:val="24"/>
          <w:szCs w:val="24"/>
        </w:rPr>
        <w:t>Fig. 26 ;</w:t>
      </w:r>
      <w:r w:rsidRPr="00402735">
        <w:rPr>
          <w:rFonts w:ascii="Times New Roman" w:hAnsi="Times New Roman" w:cs="Times New Roman"/>
          <w:sz w:val="24"/>
          <w:szCs w:val="24"/>
        </w:rPr>
        <w:t xml:space="preserve"> Annexe</w:t>
      </w:r>
      <w:r>
        <w:rPr>
          <w:rFonts w:ascii="Times New Roman" w:hAnsi="Times New Roman" w:cs="Times New Roman"/>
          <w:sz w:val="24"/>
          <w:szCs w:val="24"/>
        </w:rPr>
        <w:t xml:space="preserve"> </w:t>
      </w:r>
      <w:r w:rsidRPr="00402735">
        <w:rPr>
          <w:rFonts w:ascii="Times New Roman" w:hAnsi="Times New Roman" w:cs="Times New Roman"/>
          <w:sz w:val="24"/>
          <w:szCs w:val="24"/>
        </w:rPr>
        <w:t>2</w:t>
      </w:r>
      <w:r w:rsidRPr="004575FF">
        <w:rPr>
          <w:rFonts w:ascii="Times New Roman" w:hAnsi="Times New Roman" w:cs="Times New Roman"/>
          <w:sz w:val="24"/>
          <w:szCs w:val="24"/>
        </w:rPr>
        <w:t>).</w:t>
      </w:r>
    </w:p>
    <w:p w:rsidR="004A2A5D" w:rsidRDefault="004A2A5D" w:rsidP="004A2A5D">
      <w:pPr>
        <w:spacing w:line="360" w:lineRule="auto"/>
        <w:ind w:firstLine="284"/>
        <w:jc w:val="both"/>
        <w:rPr>
          <w:rFonts w:ascii="Times New Roman" w:hAnsi="Times New Roman" w:cs="Times New Roman"/>
          <w:b/>
          <w:bCs/>
          <w:sz w:val="24"/>
          <w:szCs w:val="24"/>
        </w:rPr>
      </w:pPr>
    </w:p>
    <w:p w:rsidR="004A2A5D" w:rsidRDefault="004A2A5D" w:rsidP="004A2A5D">
      <w:pPr>
        <w:spacing w:line="360" w:lineRule="auto"/>
        <w:ind w:firstLine="284"/>
        <w:jc w:val="both"/>
        <w:rPr>
          <w:rFonts w:ascii="Times New Roman" w:hAnsi="Times New Roman" w:cs="Times New Roman"/>
          <w:b/>
          <w:bCs/>
          <w:sz w:val="24"/>
          <w:szCs w:val="24"/>
        </w:rPr>
      </w:pPr>
    </w:p>
    <w:p w:rsidR="004A2A5D" w:rsidRDefault="004A2A5D" w:rsidP="004A2A5D">
      <w:pPr>
        <w:spacing w:line="360" w:lineRule="auto"/>
        <w:ind w:firstLine="284"/>
        <w:jc w:val="both"/>
        <w:rPr>
          <w:rFonts w:ascii="Times New Roman" w:hAnsi="Times New Roman" w:cs="Times New Roman"/>
          <w:b/>
          <w:bCs/>
          <w:sz w:val="24"/>
          <w:szCs w:val="24"/>
        </w:rPr>
      </w:pPr>
    </w:p>
    <w:p w:rsidR="004A2A5D" w:rsidRDefault="004A2A5D" w:rsidP="004A2A5D">
      <w:pPr>
        <w:spacing w:line="360" w:lineRule="auto"/>
        <w:ind w:firstLine="284"/>
        <w:jc w:val="both"/>
        <w:rPr>
          <w:rFonts w:ascii="Times New Roman" w:hAnsi="Times New Roman" w:cs="Times New Roman"/>
          <w:b/>
          <w:bCs/>
          <w:sz w:val="24"/>
          <w:szCs w:val="24"/>
        </w:rPr>
      </w:pPr>
    </w:p>
    <w:p w:rsidR="004A2A5D" w:rsidRDefault="004A2A5D" w:rsidP="004A2A5D">
      <w:pPr>
        <w:spacing w:line="360" w:lineRule="auto"/>
        <w:ind w:firstLine="284"/>
        <w:jc w:val="both"/>
        <w:rPr>
          <w:rFonts w:ascii="Times New Roman" w:hAnsi="Times New Roman" w:cs="Times New Roman"/>
          <w:b/>
          <w:bCs/>
          <w:sz w:val="24"/>
          <w:szCs w:val="24"/>
        </w:rPr>
      </w:pPr>
    </w:p>
    <w:p w:rsidR="004A2A5D" w:rsidRDefault="004A2A5D" w:rsidP="004A2A5D">
      <w:pPr>
        <w:spacing w:line="360" w:lineRule="auto"/>
        <w:ind w:firstLine="284"/>
        <w:jc w:val="both"/>
        <w:rPr>
          <w:rFonts w:ascii="Times New Roman" w:hAnsi="Times New Roman" w:cs="Times New Roman"/>
          <w:sz w:val="24"/>
          <w:szCs w:val="24"/>
        </w:rPr>
      </w:pPr>
    </w:p>
    <w:p w:rsidR="009C7F2E" w:rsidRDefault="004A2A5D" w:rsidP="009C7F2E">
      <w:pPr>
        <w:keepNext/>
        <w:spacing w:line="360" w:lineRule="auto"/>
        <w:jc w:val="both"/>
      </w:pPr>
      <w:r>
        <w:rPr>
          <w:rFonts w:ascii="Times New Roman" w:hAnsi="Times New Roman" w:cs="Times New Roman"/>
          <w:b/>
          <w:bCs/>
          <w:sz w:val="24"/>
          <w:szCs w:val="24"/>
        </w:rPr>
        <w:lastRenderedPageBreak/>
        <w:t xml:space="preserve">         </w:t>
      </w:r>
      <w:r w:rsidRPr="00131AFE">
        <w:rPr>
          <w:rFonts w:ascii="Times New Roman" w:hAnsi="Times New Roman" w:cs="Times New Roman"/>
          <w:b/>
          <w:bCs/>
          <w:noProof/>
          <w:sz w:val="24"/>
          <w:szCs w:val="24"/>
        </w:rPr>
        <w:drawing>
          <wp:inline distT="0" distB="0" distL="0" distR="0">
            <wp:extent cx="5399420" cy="2268000"/>
            <wp:effectExtent l="19050" t="0" r="10780" b="0"/>
            <wp:docPr id="77"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41792" w:rsidRDefault="009C7F2E" w:rsidP="00463B12">
      <w:pPr>
        <w:pStyle w:val="Lgende"/>
        <w:spacing w:before="240"/>
        <w:jc w:val="center"/>
      </w:pPr>
      <w:bookmarkStart w:id="1433" w:name="_Toc252194961"/>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24</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:La durée moyenne de floraison (étalement).</w:t>
      </w:r>
      <w:bookmarkEnd w:id="1433"/>
    </w:p>
    <w:p w:rsidR="004A2A5D" w:rsidRDefault="004A2A5D" w:rsidP="004A2A5D">
      <w:pPr>
        <w:spacing w:after="120" w:line="360" w:lineRule="auto"/>
        <w:jc w:val="center"/>
      </w:pPr>
      <w:r w:rsidRPr="00174190">
        <w:rPr>
          <w:noProof/>
        </w:rPr>
        <w:drawing>
          <wp:anchor distT="0" distB="0" distL="114300" distR="114300" simplePos="0" relativeHeight="251681792" behindDoc="0" locked="0" layoutInCell="1" allowOverlap="1">
            <wp:simplePos x="0" y="0"/>
            <wp:positionH relativeFrom="column">
              <wp:posOffset>365125</wp:posOffset>
            </wp:positionH>
            <wp:positionV relativeFrom="paragraph">
              <wp:posOffset>73025</wp:posOffset>
            </wp:positionV>
            <wp:extent cx="5505450" cy="2266950"/>
            <wp:effectExtent l="19050" t="0" r="19050" b="0"/>
            <wp:wrapSquare wrapText="bothSides"/>
            <wp:docPr id="80"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4A2A5D" w:rsidRDefault="004A2A5D" w:rsidP="004A2A5D">
      <w:pPr>
        <w:spacing w:after="120" w:line="360" w:lineRule="auto"/>
        <w:jc w:val="center"/>
      </w:pPr>
    </w:p>
    <w:p w:rsidR="004A2A5D" w:rsidRDefault="004A2A5D" w:rsidP="004A2A5D">
      <w:pPr>
        <w:spacing w:after="120" w:line="360" w:lineRule="auto"/>
        <w:jc w:val="center"/>
      </w:pPr>
    </w:p>
    <w:p w:rsidR="004A2A5D" w:rsidRDefault="004A2A5D" w:rsidP="004A2A5D">
      <w:pPr>
        <w:spacing w:after="120" w:line="360" w:lineRule="auto"/>
        <w:jc w:val="center"/>
      </w:pPr>
    </w:p>
    <w:p w:rsidR="004A2A5D" w:rsidRDefault="004A2A5D" w:rsidP="004A2A5D">
      <w:pPr>
        <w:spacing w:after="120" w:line="360" w:lineRule="auto"/>
        <w:jc w:val="center"/>
      </w:pPr>
    </w:p>
    <w:p w:rsidR="004A2A5D" w:rsidRDefault="004A2A5D" w:rsidP="004A2A5D">
      <w:pPr>
        <w:spacing w:after="120" w:line="360" w:lineRule="auto"/>
        <w:jc w:val="center"/>
      </w:pPr>
    </w:p>
    <w:p w:rsidR="002630B7" w:rsidRDefault="002630B7" w:rsidP="002630B7">
      <w:pPr>
        <w:pStyle w:val="Lgende"/>
        <w:spacing w:before="240"/>
        <w:rPr>
          <w:b w:val="0"/>
          <w:bCs w:val="0"/>
          <w:color w:val="auto"/>
          <w:sz w:val="22"/>
          <w:szCs w:val="22"/>
        </w:rPr>
      </w:pPr>
      <w:bookmarkStart w:id="1434" w:name="_Toc252194962"/>
    </w:p>
    <w:p w:rsidR="004A2A5D" w:rsidRPr="00641792" w:rsidRDefault="009C7F2E" w:rsidP="002630B7">
      <w:pPr>
        <w:pStyle w:val="Lgende"/>
        <w:spacing w:before="240"/>
        <w:jc w:val="center"/>
        <w:rPr>
          <w:rFonts w:asciiTheme="majorBidi" w:hAnsiTheme="majorBidi" w:cstheme="majorBidi"/>
          <w:color w:val="auto"/>
          <w:sz w:val="24"/>
          <w:szCs w:val="24"/>
        </w:rPr>
      </w:pPr>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25</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:Nombre moyen de jours entre le semis et la nouaison.</w:t>
      </w:r>
      <w:bookmarkEnd w:id="1434"/>
    </w:p>
    <w:p w:rsidR="004A2A5D" w:rsidRDefault="004A2A5D" w:rsidP="004A2A5D">
      <w:pPr>
        <w:spacing w:after="120" w:line="360" w:lineRule="auto"/>
        <w:jc w:val="center"/>
        <w:rPr>
          <w:noProof/>
        </w:rPr>
      </w:pPr>
      <w:r w:rsidRPr="00174190">
        <w:rPr>
          <w:noProof/>
        </w:rPr>
        <w:drawing>
          <wp:anchor distT="0" distB="0" distL="114300" distR="114300" simplePos="0" relativeHeight="251682816" behindDoc="0" locked="0" layoutInCell="1" allowOverlap="1">
            <wp:simplePos x="0" y="0"/>
            <wp:positionH relativeFrom="column">
              <wp:posOffset>360045</wp:posOffset>
            </wp:positionH>
            <wp:positionV relativeFrom="paragraph">
              <wp:posOffset>100330</wp:posOffset>
            </wp:positionV>
            <wp:extent cx="5604510" cy="2268855"/>
            <wp:effectExtent l="19050" t="0" r="15240" b="0"/>
            <wp:wrapSquare wrapText="bothSides"/>
            <wp:docPr id="81"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4A2A5D" w:rsidRPr="00641792" w:rsidRDefault="009C7F2E" w:rsidP="002630B7">
      <w:pPr>
        <w:pStyle w:val="Lgende"/>
        <w:spacing w:before="240"/>
        <w:jc w:val="center"/>
        <w:rPr>
          <w:rFonts w:asciiTheme="majorBidi" w:hAnsiTheme="majorBidi" w:cstheme="majorBidi"/>
          <w:color w:val="auto"/>
          <w:sz w:val="24"/>
          <w:szCs w:val="24"/>
        </w:rPr>
      </w:pPr>
      <w:bookmarkStart w:id="1435" w:name="_Toc252194963"/>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26</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:Nombre moyen de jours entre le semis et la formation des gousses.</w:t>
      </w:r>
      <w:bookmarkEnd w:id="1435"/>
    </w:p>
    <w:p w:rsidR="004A2A5D" w:rsidRDefault="004A2A5D" w:rsidP="004A2A5D">
      <w:pPr>
        <w:tabs>
          <w:tab w:val="left" w:pos="1418"/>
        </w:tabs>
        <w:spacing w:line="360" w:lineRule="auto"/>
        <w:jc w:val="center"/>
        <w:rPr>
          <w:rFonts w:ascii="Times New Roman" w:hAnsi="Times New Roman" w:cs="Times New Roman"/>
          <w:b/>
          <w:bCs/>
          <w:sz w:val="24"/>
          <w:szCs w:val="24"/>
        </w:rPr>
      </w:pPr>
    </w:p>
    <w:p w:rsidR="009C7F2E" w:rsidRDefault="009C7F2E" w:rsidP="004A2A5D">
      <w:pPr>
        <w:tabs>
          <w:tab w:val="left" w:pos="1418"/>
        </w:tabs>
        <w:spacing w:line="360" w:lineRule="auto"/>
        <w:jc w:val="center"/>
        <w:rPr>
          <w:rFonts w:ascii="Times New Roman" w:hAnsi="Times New Roman" w:cs="Times New Roman"/>
          <w:b/>
          <w:bCs/>
          <w:sz w:val="24"/>
          <w:szCs w:val="24"/>
        </w:rPr>
      </w:pPr>
    </w:p>
    <w:p w:rsidR="004A2A5D" w:rsidRPr="00D4608A" w:rsidRDefault="004A2A5D" w:rsidP="008B3CEC">
      <w:pPr>
        <w:pStyle w:val="Paragraphedeliste"/>
        <w:numPr>
          <w:ilvl w:val="0"/>
          <w:numId w:val="21"/>
        </w:numPr>
        <w:spacing w:before="240" w:line="360" w:lineRule="auto"/>
        <w:contextualSpacing w:val="0"/>
        <w:jc w:val="both"/>
        <w:rPr>
          <w:rFonts w:ascii="Times New Roman" w:hAnsi="Times New Roman" w:cs="Times New Roman"/>
          <w:b/>
          <w:bCs/>
          <w:sz w:val="24"/>
          <w:szCs w:val="24"/>
        </w:rPr>
      </w:pPr>
      <w:r w:rsidRPr="00D4608A">
        <w:rPr>
          <w:rFonts w:ascii="Times New Roman" w:hAnsi="Times New Roman" w:cs="Times New Roman"/>
          <w:b/>
          <w:bCs/>
          <w:sz w:val="24"/>
          <w:szCs w:val="24"/>
        </w:rPr>
        <w:t>Maturité des gousses</w:t>
      </w:r>
      <w:r>
        <w:rPr>
          <w:rFonts w:ascii="Times New Roman" w:hAnsi="Times New Roman" w:cs="Times New Roman"/>
          <w:b/>
          <w:bCs/>
          <w:sz w:val="24"/>
          <w:szCs w:val="24"/>
        </w:rPr>
        <w:t xml:space="preserve"> </w:t>
      </w:r>
      <w:r w:rsidRPr="00D4608A">
        <w:rPr>
          <w:rFonts w:ascii="Times New Roman" w:hAnsi="Times New Roman" w:cs="Times New Roman"/>
          <w:b/>
          <w:bCs/>
          <w:sz w:val="24"/>
          <w:szCs w:val="24"/>
        </w:rPr>
        <w:t>(M)</w:t>
      </w:r>
    </w:p>
    <w:p w:rsidR="004A2A5D" w:rsidRPr="00497039" w:rsidRDefault="004A2A5D" w:rsidP="004A2A5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Concernant ce caractère, l’analyse</w:t>
      </w:r>
      <w:r w:rsidRPr="007605AC">
        <w:rPr>
          <w:rFonts w:ascii="Times New Roman" w:hAnsi="Times New Roman" w:cs="Times New Roman"/>
          <w:sz w:val="24"/>
          <w:szCs w:val="24"/>
        </w:rPr>
        <w:t xml:space="preserve"> </w:t>
      </w:r>
      <w:r>
        <w:rPr>
          <w:rFonts w:ascii="Times New Roman" w:hAnsi="Times New Roman" w:cs="Times New Roman"/>
          <w:sz w:val="24"/>
          <w:szCs w:val="24"/>
        </w:rPr>
        <w:t xml:space="preserve">de variance ne montre aucune déférence significative avec </w:t>
      </w:r>
      <w:r w:rsidRPr="004575FF">
        <w:rPr>
          <w:rFonts w:ascii="Times New Roman" w:hAnsi="Times New Roman" w:cs="Times New Roman"/>
          <w:sz w:val="24"/>
          <w:szCs w:val="24"/>
        </w:rPr>
        <w:t xml:space="preserve">une moyenne </w:t>
      </w:r>
      <w:r>
        <w:rPr>
          <w:rFonts w:ascii="Times New Roman" w:hAnsi="Times New Roman" w:cs="Times New Roman"/>
          <w:sz w:val="24"/>
          <w:szCs w:val="24"/>
        </w:rPr>
        <w:t>générale de 124 jours entre le stade semis et le stade maturité des gousses (F</w:t>
      </w:r>
      <w:r w:rsidRPr="0097472B">
        <w:rPr>
          <w:rFonts w:ascii="Times New Roman" w:hAnsi="Times New Roman" w:cs="Times New Roman"/>
          <w:sz w:val="24"/>
          <w:szCs w:val="24"/>
        </w:rPr>
        <w:t>ig</w:t>
      </w:r>
      <w:r>
        <w:rPr>
          <w:rFonts w:ascii="Times New Roman" w:hAnsi="Times New Roman" w:cs="Times New Roman"/>
          <w:sz w:val="24"/>
          <w:szCs w:val="24"/>
        </w:rPr>
        <w:t>. 27</w:t>
      </w:r>
      <w:r w:rsidRPr="0097472B">
        <w:rPr>
          <w:rFonts w:ascii="Times New Roman" w:hAnsi="Times New Roman" w:cs="Times New Roman"/>
          <w:sz w:val="24"/>
          <w:szCs w:val="24"/>
        </w:rPr>
        <w:t>; Annexe 2</w:t>
      </w:r>
      <w:r>
        <w:rPr>
          <w:rFonts w:ascii="Times New Roman" w:hAnsi="Times New Roman" w:cs="Times New Roman"/>
          <w:sz w:val="24"/>
          <w:szCs w:val="24"/>
        </w:rPr>
        <w:t>).</w:t>
      </w:r>
    </w:p>
    <w:p w:rsidR="004A2A5D" w:rsidRPr="001015DF" w:rsidRDefault="004A2A5D" w:rsidP="008B3CEC">
      <w:pPr>
        <w:pStyle w:val="Titre1"/>
        <w:numPr>
          <w:ilvl w:val="0"/>
          <w:numId w:val="48"/>
        </w:numPr>
        <w:spacing w:after="240" w:line="360" w:lineRule="auto"/>
        <w:rPr>
          <w:rFonts w:ascii="Times New Roman" w:hAnsi="Times New Roman"/>
          <w:color w:val="auto"/>
        </w:rPr>
      </w:pPr>
      <w:bookmarkStart w:id="1436" w:name="_Toc251855072"/>
      <w:bookmarkStart w:id="1437" w:name="_Toc251855482"/>
      <w:bookmarkStart w:id="1438" w:name="_Toc126492642"/>
      <w:bookmarkStart w:id="1439" w:name="_Toc126493057"/>
      <w:bookmarkStart w:id="1440" w:name="_Toc126570569"/>
      <w:bookmarkStart w:id="1441" w:name="_Toc126571883"/>
      <w:bookmarkStart w:id="1442" w:name="_Toc126572664"/>
      <w:bookmarkStart w:id="1443" w:name="_Toc126575299"/>
      <w:bookmarkStart w:id="1444" w:name="_Toc126575980"/>
      <w:bookmarkStart w:id="1445" w:name="_Toc126576855"/>
      <w:bookmarkStart w:id="1446" w:name="_Toc252094064"/>
      <w:bookmarkStart w:id="1447" w:name="_Toc252365453"/>
      <w:bookmarkStart w:id="1448" w:name="_Toc252365724"/>
      <w:bookmarkStart w:id="1449" w:name="_Toc252366269"/>
      <w:r w:rsidRPr="001015DF">
        <w:rPr>
          <w:rFonts w:ascii="Times New Roman" w:hAnsi="Times New Roman"/>
          <w:color w:val="auto"/>
        </w:rPr>
        <w:t>Caractères de développement végétatif</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rsidR="004A2A5D" w:rsidRPr="00D4608A" w:rsidRDefault="004A2A5D" w:rsidP="00AD6B8B">
      <w:pPr>
        <w:pStyle w:val="Paragraphedeliste"/>
        <w:numPr>
          <w:ilvl w:val="0"/>
          <w:numId w:val="22"/>
        </w:numPr>
        <w:spacing w:before="240" w:line="360" w:lineRule="auto"/>
        <w:contextualSpacing w:val="0"/>
        <w:jc w:val="both"/>
        <w:rPr>
          <w:rFonts w:ascii="Times New Roman" w:hAnsi="Times New Roman" w:cs="Times New Roman"/>
          <w:b/>
          <w:bCs/>
          <w:sz w:val="24"/>
          <w:szCs w:val="24"/>
        </w:rPr>
      </w:pPr>
      <w:r w:rsidRPr="00D4608A">
        <w:rPr>
          <w:rFonts w:ascii="Times New Roman" w:hAnsi="Times New Roman" w:cs="Times New Roman"/>
          <w:b/>
          <w:bCs/>
          <w:sz w:val="24"/>
          <w:szCs w:val="24"/>
        </w:rPr>
        <w:t>Dynamique de croissance en hauteur (DCH)</w:t>
      </w:r>
    </w:p>
    <w:p w:rsidR="004A2A5D" w:rsidRPr="005419FB" w:rsidRDefault="004A2A5D" w:rsidP="004A2A5D">
      <w:pPr>
        <w:spacing w:line="360" w:lineRule="auto"/>
        <w:ind w:firstLine="284"/>
        <w:jc w:val="both"/>
        <w:rPr>
          <w:rFonts w:ascii="Times New Roman" w:hAnsi="Times New Roman" w:cs="Times New Roman"/>
          <w:sz w:val="24"/>
          <w:szCs w:val="24"/>
        </w:rPr>
      </w:pPr>
      <w:r w:rsidRPr="004575FF">
        <w:rPr>
          <w:rFonts w:ascii="Times New Roman" w:hAnsi="Times New Roman" w:cs="Times New Roman"/>
          <w:sz w:val="24"/>
          <w:szCs w:val="24"/>
        </w:rPr>
        <w:t>De la première date de notation jusqu’à la</w:t>
      </w:r>
      <w:r>
        <w:rPr>
          <w:rFonts w:ascii="Times New Roman" w:hAnsi="Times New Roman" w:cs="Times New Roman"/>
          <w:sz w:val="24"/>
          <w:szCs w:val="24"/>
        </w:rPr>
        <w:t xml:space="preserve"> </w:t>
      </w:r>
      <w:r w:rsidRPr="00926B64">
        <w:rPr>
          <w:rFonts w:ascii="Times New Roman" w:hAnsi="Times New Roman" w:cs="Times New Roman"/>
          <w:sz w:val="24"/>
          <w:szCs w:val="24"/>
        </w:rPr>
        <w:t>dernière date de notation</w:t>
      </w:r>
      <w:r>
        <w:rPr>
          <w:rFonts w:ascii="Times New Roman" w:hAnsi="Times New Roman" w:cs="Times New Roman"/>
          <w:sz w:val="24"/>
          <w:szCs w:val="24"/>
        </w:rPr>
        <w:t xml:space="preserve">, </w:t>
      </w:r>
      <w:r w:rsidRPr="00926B64">
        <w:rPr>
          <w:rFonts w:ascii="Times New Roman" w:hAnsi="Times New Roman" w:cs="Times New Roman"/>
          <w:sz w:val="24"/>
          <w:szCs w:val="24"/>
        </w:rPr>
        <w:t xml:space="preserve">les populations </w:t>
      </w:r>
      <w:r>
        <w:rPr>
          <w:rFonts w:ascii="Times New Roman" w:hAnsi="Times New Roman" w:cs="Times New Roman"/>
          <w:sz w:val="24"/>
          <w:szCs w:val="24"/>
        </w:rPr>
        <w:t xml:space="preserve">P1, P4 et P2 présentent régulièrement les valeurs moyennes de la hauteur les plus </w:t>
      </w:r>
      <w:r w:rsidRPr="004575FF">
        <w:rPr>
          <w:rFonts w:ascii="Times New Roman" w:hAnsi="Times New Roman" w:cs="Times New Roman"/>
          <w:sz w:val="24"/>
          <w:szCs w:val="24"/>
        </w:rPr>
        <w:t>importantes par rapports à celles</w:t>
      </w:r>
      <w:r>
        <w:rPr>
          <w:rFonts w:ascii="Times New Roman" w:hAnsi="Times New Roman" w:cs="Times New Roman"/>
          <w:sz w:val="24"/>
          <w:szCs w:val="24"/>
        </w:rPr>
        <w:t xml:space="preserve"> des populations P6, P5 et P3 </w:t>
      </w:r>
      <w:r w:rsidRPr="00334989">
        <w:rPr>
          <w:rFonts w:ascii="Times New Roman" w:hAnsi="Times New Roman" w:cs="Times New Roman"/>
          <w:sz w:val="24"/>
          <w:szCs w:val="24"/>
        </w:rPr>
        <w:t>(</w:t>
      </w:r>
      <w:r>
        <w:rPr>
          <w:rFonts w:ascii="Times New Roman" w:hAnsi="Times New Roman" w:cs="Times New Roman"/>
          <w:sz w:val="24"/>
          <w:szCs w:val="24"/>
        </w:rPr>
        <w:t>F</w:t>
      </w:r>
      <w:r w:rsidRPr="00334989">
        <w:rPr>
          <w:rFonts w:ascii="Times New Roman" w:hAnsi="Times New Roman" w:cs="Times New Roman"/>
          <w:sz w:val="24"/>
          <w:szCs w:val="24"/>
        </w:rPr>
        <w:t>ig</w:t>
      </w:r>
      <w:r>
        <w:rPr>
          <w:rFonts w:ascii="Times New Roman" w:hAnsi="Times New Roman" w:cs="Times New Roman"/>
          <w:sz w:val="24"/>
          <w:szCs w:val="24"/>
        </w:rPr>
        <w:t>. 28</w:t>
      </w:r>
      <w:r w:rsidRPr="00334989">
        <w:rPr>
          <w:rFonts w:ascii="Times New Roman" w:hAnsi="Times New Roman" w:cs="Times New Roman"/>
          <w:sz w:val="24"/>
          <w:szCs w:val="24"/>
        </w:rPr>
        <w:t>).</w:t>
      </w:r>
    </w:p>
    <w:p w:rsidR="004A2A5D" w:rsidRDefault="004A2A5D" w:rsidP="00E61B0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L’analyse de variance révèle une différence très hautement significative entre les populations pour </w:t>
      </w:r>
      <w:r w:rsidRPr="004575FF">
        <w:rPr>
          <w:rFonts w:ascii="Times New Roman" w:hAnsi="Times New Roman" w:cs="Times New Roman"/>
          <w:sz w:val="24"/>
          <w:szCs w:val="24"/>
        </w:rPr>
        <w:t xml:space="preserve">toutes </w:t>
      </w:r>
      <w:r>
        <w:rPr>
          <w:rFonts w:ascii="Times New Roman" w:hAnsi="Times New Roman" w:cs="Times New Roman"/>
          <w:sz w:val="24"/>
          <w:szCs w:val="24"/>
        </w:rPr>
        <w:t xml:space="preserve">les dates de </w:t>
      </w:r>
      <w:r w:rsidR="00E61B06">
        <w:rPr>
          <w:rFonts w:ascii="Times New Roman" w:hAnsi="Times New Roman" w:cs="Times New Roman"/>
          <w:sz w:val="24"/>
          <w:szCs w:val="24"/>
        </w:rPr>
        <w:t>notation</w:t>
      </w:r>
      <w:r w:rsidRPr="0053449C">
        <w:rPr>
          <w:rFonts w:ascii="Times New Roman" w:hAnsi="Times New Roman" w:cs="Times New Roman"/>
          <w:sz w:val="24"/>
          <w:szCs w:val="24"/>
        </w:rPr>
        <w:t xml:space="preserve"> (Annexe</w:t>
      </w:r>
      <w:r>
        <w:rPr>
          <w:rFonts w:ascii="Times New Roman" w:hAnsi="Times New Roman" w:cs="Times New Roman"/>
          <w:sz w:val="24"/>
          <w:szCs w:val="24"/>
        </w:rPr>
        <w:t xml:space="preserve"> 2</w:t>
      </w:r>
      <w:r w:rsidRPr="0053449C">
        <w:rPr>
          <w:rFonts w:ascii="Times New Roman" w:hAnsi="Times New Roman" w:cs="Times New Roman"/>
          <w:sz w:val="24"/>
          <w:szCs w:val="24"/>
        </w:rPr>
        <w:t>).</w:t>
      </w:r>
      <w:r>
        <w:rPr>
          <w:rFonts w:ascii="Times New Roman" w:hAnsi="Times New Roman" w:cs="Times New Roman"/>
          <w:sz w:val="24"/>
          <w:szCs w:val="24"/>
        </w:rPr>
        <w:t xml:space="preserve"> </w:t>
      </w:r>
    </w:p>
    <w:p w:rsidR="004A2A5D" w:rsidRPr="00D4608A" w:rsidRDefault="004A2A5D" w:rsidP="002C28D7">
      <w:pPr>
        <w:pStyle w:val="Paragraphedeliste"/>
        <w:numPr>
          <w:ilvl w:val="0"/>
          <w:numId w:val="22"/>
        </w:numPr>
        <w:spacing w:before="240" w:line="360" w:lineRule="auto"/>
        <w:contextualSpacing w:val="0"/>
        <w:jc w:val="both"/>
        <w:rPr>
          <w:rFonts w:ascii="Times New Roman" w:hAnsi="Times New Roman" w:cs="Times New Roman"/>
          <w:b/>
          <w:bCs/>
          <w:sz w:val="24"/>
          <w:szCs w:val="24"/>
        </w:rPr>
      </w:pPr>
      <w:r w:rsidRPr="00D4608A">
        <w:rPr>
          <w:rFonts w:ascii="Times New Roman" w:hAnsi="Times New Roman" w:cs="Times New Roman"/>
          <w:b/>
          <w:bCs/>
          <w:sz w:val="24"/>
          <w:szCs w:val="24"/>
        </w:rPr>
        <w:t>Vitesse</w:t>
      </w:r>
      <w:r>
        <w:rPr>
          <w:rFonts w:ascii="Times New Roman" w:hAnsi="Times New Roman" w:cs="Times New Roman"/>
          <w:b/>
          <w:bCs/>
          <w:sz w:val="24"/>
          <w:szCs w:val="24"/>
        </w:rPr>
        <w:t xml:space="preserve"> moyenne</w:t>
      </w:r>
      <w:r w:rsidRPr="00D4608A">
        <w:rPr>
          <w:rFonts w:ascii="Times New Roman" w:hAnsi="Times New Roman" w:cs="Times New Roman"/>
          <w:b/>
          <w:bCs/>
          <w:sz w:val="24"/>
          <w:szCs w:val="24"/>
        </w:rPr>
        <w:t xml:space="preserve"> de croissance en hauteur (VCH)</w:t>
      </w:r>
    </w:p>
    <w:p w:rsidR="004A2A5D" w:rsidRDefault="004A2A5D" w:rsidP="004A2A5D">
      <w:pPr>
        <w:spacing w:line="360" w:lineRule="auto"/>
        <w:ind w:firstLine="284"/>
        <w:jc w:val="both"/>
        <w:rPr>
          <w:rFonts w:ascii="Times New Roman" w:hAnsi="Times New Roman" w:cs="Times New Roman"/>
          <w:sz w:val="24"/>
          <w:szCs w:val="24"/>
        </w:rPr>
      </w:pPr>
      <w:r w:rsidRPr="005419FB">
        <w:rPr>
          <w:rFonts w:ascii="Times New Roman" w:hAnsi="Times New Roman" w:cs="Times New Roman"/>
          <w:sz w:val="24"/>
          <w:szCs w:val="24"/>
        </w:rPr>
        <w:t xml:space="preserve">La meilleure vitesse </w:t>
      </w:r>
      <w:r>
        <w:rPr>
          <w:rFonts w:ascii="Times New Roman" w:hAnsi="Times New Roman" w:cs="Times New Roman"/>
          <w:sz w:val="24"/>
          <w:szCs w:val="24"/>
        </w:rPr>
        <w:t xml:space="preserve">moyenne </w:t>
      </w:r>
      <w:r w:rsidRPr="005419FB">
        <w:rPr>
          <w:rFonts w:ascii="Times New Roman" w:hAnsi="Times New Roman" w:cs="Times New Roman"/>
          <w:sz w:val="24"/>
          <w:szCs w:val="24"/>
        </w:rPr>
        <w:t>de croissance</w:t>
      </w:r>
      <w:r>
        <w:rPr>
          <w:rFonts w:ascii="Times New Roman" w:hAnsi="Times New Roman" w:cs="Times New Roman"/>
          <w:sz w:val="24"/>
          <w:szCs w:val="24"/>
        </w:rPr>
        <w:t xml:space="preserve"> est </w:t>
      </w:r>
      <w:r w:rsidRPr="007B5E3E">
        <w:rPr>
          <w:rFonts w:ascii="Times New Roman" w:hAnsi="Times New Roman" w:cs="Times New Roman"/>
          <w:sz w:val="24"/>
          <w:szCs w:val="24"/>
        </w:rPr>
        <w:t>enregistrée</w:t>
      </w:r>
      <w:r>
        <w:rPr>
          <w:rFonts w:ascii="Times New Roman" w:hAnsi="Times New Roman" w:cs="Times New Roman"/>
          <w:sz w:val="24"/>
          <w:szCs w:val="24"/>
        </w:rPr>
        <w:t xml:space="preserve"> </w:t>
      </w:r>
      <w:r w:rsidRPr="007B5E3E">
        <w:rPr>
          <w:rFonts w:ascii="Times New Roman" w:hAnsi="Times New Roman" w:cs="Times New Roman"/>
          <w:sz w:val="24"/>
          <w:szCs w:val="24"/>
        </w:rPr>
        <w:t>par</w:t>
      </w:r>
      <w:r>
        <w:rPr>
          <w:rFonts w:ascii="Times New Roman" w:hAnsi="Times New Roman" w:cs="Times New Roman"/>
          <w:sz w:val="24"/>
          <w:szCs w:val="24"/>
        </w:rPr>
        <w:t xml:space="preserve"> les populations P1 e</w:t>
      </w:r>
      <w:r w:rsidR="002B4DB3">
        <w:rPr>
          <w:rFonts w:ascii="Times New Roman" w:hAnsi="Times New Roman" w:cs="Times New Roman"/>
          <w:sz w:val="24"/>
          <w:szCs w:val="24"/>
        </w:rPr>
        <w:t>t P4 avec respectivement avec 0,91 et 0,</w:t>
      </w:r>
      <w:r>
        <w:rPr>
          <w:rFonts w:ascii="Times New Roman" w:hAnsi="Times New Roman" w:cs="Times New Roman"/>
          <w:sz w:val="24"/>
          <w:szCs w:val="24"/>
        </w:rPr>
        <w:t>88 cm/j, suivies</w:t>
      </w:r>
      <w:r w:rsidR="00D95ED0">
        <w:rPr>
          <w:rFonts w:ascii="Times New Roman" w:hAnsi="Times New Roman" w:cs="Times New Roman"/>
          <w:sz w:val="24"/>
          <w:szCs w:val="24"/>
        </w:rPr>
        <w:t xml:space="preserve"> par la population P2 avec 0,</w:t>
      </w:r>
      <w:r>
        <w:rPr>
          <w:rFonts w:ascii="Times New Roman" w:hAnsi="Times New Roman" w:cs="Times New Roman"/>
          <w:sz w:val="24"/>
          <w:szCs w:val="24"/>
        </w:rPr>
        <w:t>84 cm/j puis par les populations P5,</w:t>
      </w:r>
      <w:r w:rsidR="002B4DB3">
        <w:rPr>
          <w:rFonts w:ascii="Times New Roman" w:hAnsi="Times New Roman" w:cs="Times New Roman"/>
          <w:sz w:val="24"/>
          <w:szCs w:val="24"/>
        </w:rPr>
        <w:t xml:space="preserve"> P6 et P3 avec respectivement 0,76</w:t>
      </w:r>
      <w:r w:rsidR="00D95ED0">
        <w:rPr>
          <w:rFonts w:ascii="Times New Roman" w:hAnsi="Times New Roman" w:cs="Times New Roman"/>
          <w:sz w:val="24"/>
          <w:szCs w:val="24"/>
        </w:rPr>
        <w:t>.</w:t>
      </w:r>
      <w:r>
        <w:rPr>
          <w:rFonts w:ascii="Times New Roman" w:hAnsi="Times New Roman" w:cs="Times New Roman"/>
          <w:sz w:val="24"/>
          <w:szCs w:val="24"/>
        </w:rPr>
        <w:t xml:space="preserve"> 0.</w:t>
      </w:r>
      <w:r w:rsidRPr="002B0B40">
        <w:rPr>
          <w:rFonts w:ascii="Times New Roman" w:hAnsi="Times New Roman" w:cs="Times New Roman"/>
          <w:sz w:val="24"/>
          <w:szCs w:val="24"/>
        </w:rPr>
        <w:t>63 et</w:t>
      </w:r>
      <w:r>
        <w:rPr>
          <w:rFonts w:ascii="Times New Roman" w:hAnsi="Times New Roman" w:cs="Times New Roman"/>
          <w:sz w:val="24"/>
          <w:szCs w:val="24"/>
        </w:rPr>
        <w:t xml:space="preserve"> 0</w:t>
      </w:r>
      <w:r w:rsidR="00D95ED0">
        <w:rPr>
          <w:rFonts w:ascii="Times New Roman" w:hAnsi="Times New Roman" w:cs="Times New Roman"/>
          <w:sz w:val="24"/>
          <w:szCs w:val="24"/>
        </w:rPr>
        <w:t>,</w:t>
      </w:r>
      <w:r w:rsidRPr="002B0B40">
        <w:rPr>
          <w:rFonts w:ascii="Times New Roman" w:hAnsi="Times New Roman" w:cs="Times New Roman"/>
          <w:sz w:val="24"/>
          <w:szCs w:val="24"/>
        </w:rPr>
        <w:t>61 cm/j (</w:t>
      </w:r>
      <w:r>
        <w:rPr>
          <w:rFonts w:ascii="Times New Roman" w:hAnsi="Times New Roman" w:cs="Times New Roman"/>
          <w:sz w:val="24"/>
          <w:szCs w:val="24"/>
        </w:rPr>
        <w:t>F</w:t>
      </w:r>
      <w:r w:rsidRPr="002B0B40">
        <w:rPr>
          <w:rFonts w:ascii="Times New Roman" w:hAnsi="Times New Roman" w:cs="Times New Roman"/>
          <w:sz w:val="24"/>
          <w:szCs w:val="24"/>
        </w:rPr>
        <w:t>ig</w:t>
      </w:r>
      <w:r>
        <w:rPr>
          <w:rFonts w:ascii="Times New Roman" w:hAnsi="Times New Roman" w:cs="Times New Roman"/>
          <w:sz w:val="24"/>
          <w:szCs w:val="24"/>
        </w:rPr>
        <w:t>. 29</w:t>
      </w:r>
      <w:r w:rsidRPr="002B0B40">
        <w:rPr>
          <w:rFonts w:ascii="Times New Roman" w:hAnsi="Times New Roman" w:cs="Times New Roman"/>
          <w:sz w:val="24"/>
          <w:szCs w:val="24"/>
        </w:rPr>
        <w:t>).</w:t>
      </w:r>
    </w:p>
    <w:p w:rsidR="004A2A5D" w:rsidRDefault="004A2A5D" w:rsidP="004A2A5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L’analyse de </w:t>
      </w:r>
      <w:r w:rsidR="008F5138">
        <w:rPr>
          <w:rFonts w:ascii="Times New Roman" w:hAnsi="Times New Roman" w:cs="Times New Roman"/>
          <w:sz w:val="24"/>
          <w:szCs w:val="24"/>
        </w:rPr>
        <w:t xml:space="preserve">la </w:t>
      </w:r>
      <w:r>
        <w:rPr>
          <w:rFonts w:ascii="Times New Roman" w:hAnsi="Times New Roman" w:cs="Times New Roman"/>
          <w:sz w:val="24"/>
          <w:szCs w:val="24"/>
        </w:rPr>
        <w:t xml:space="preserve">variance permet de déceler une différence très hautement significative. La comparaison des </w:t>
      </w:r>
      <w:r w:rsidR="009D0B3F">
        <w:rPr>
          <w:rFonts w:ascii="Times New Roman" w:hAnsi="Times New Roman" w:cs="Times New Roman"/>
          <w:sz w:val="24"/>
          <w:szCs w:val="24"/>
        </w:rPr>
        <w:t>moyennes a fait apparaître deux groupes homogènes et trois</w:t>
      </w:r>
      <w:r>
        <w:rPr>
          <w:rFonts w:ascii="Times New Roman" w:hAnsi="Times New Roman" w:cs="Times New Roman"/>
          <w:sz w:val="24"/>
          <w:szCs w:val="24"/>
        </w:rPr>
        <w:t xml:space="preserve"> groupes chevauchants </w:t>
      </w:r>
      <w:r w:rsidRPr="0053449C">
        <w:rPr>
          <w:rFonts w:ascii="Times New Roman" w:hAnsi="Times New Roman" w:cs="Times New Roman"/>
          <w:sz w:val="24"/>
          <w:szCs w:val="24"/>
        </w:rPr>
        <w:t>(Annexe</w:t>
      </w:r>
      <w:r>
        <w:rPr>
          <w:rFonts w:ascii="Times New Roman" w:hAnsi="Times New Roman" w:cs="Times New Roman"/>
          <w:sz w:val="24"/>
          <w:szCs w:val="24"/>
        </w:rPr>
        <w:t xml:space="preserve"> 2</w:t>
      </w:r>
      <w:r w:rsidRPr="0053449C">
        <w:rPr>
          <w:rFonts w:ascii="Times New Roman" w:hAnsi="Times New Roman" w:cs="Times New Roman"/>
          <w:sz w:val="24"/>
          <w:szCs w:val="24"/>
        </w:rPr>
        <w:t>).</w:t>
      </w:r>
    </w:p>
    <w:p w:rsidR="004A2A5D" w:rsidRDefault="004A2A5D" w:rsidP="004A2A5D">
      <w:pPr>
        <w:spacing w:line="360" w:lineRule="auto"/>
        <w:ind w:firstLine="284"/>
        <w:jc w:val="both"/>
        <w:rPr>
          <w:rFonts w:ascii="Times New Roman" w:hAnsi="Times New Roman" w:cs="Times New Roman"/>
          <w:sz w:val="24"/>
          <w:szCs w:val="24"/>
        </w:rPr>
      </w:pPr>
    </w:p>
    <w:p w:rsidR="004A2A5D" w:rsidRDefault="004A2A5D" w:rsidP="004A2A5D">
      <w:pPr>
        <w:spacing w:line="360" w:lineRule="auto"/>
        <w:ind w:firstLine="284"/>
        <w:jc w:val="both"/>
        <w:rPr>
          <w:rFonts w:ascii="Times New Roman" w:hAnsi="Times New Roman" w:cs="Times New Roman"/>
          <w:sz w:val="24"/>
          <w:szCs w:val="24"/>
        </w:rPr>
      </w:pPr>
    </w:p>
    <w:p w:rsidR="004A2A5D" w:rsidRDefault="004A2A5D" w:rsidP="004A2A5D">
      <w:pPr>
        <w:spacing w:line="360" w:lineRule="auto"/>
        <w:ind w:firstLine="284"/>
        <w:jc w:val="both"/>
        <w:rPr>
          <w:rFonts w:ascii="Times New Roman" w:hAnsi="Times New Roman" w:cs="Times New Roman"/>
          <w:sz w:val="24"/>
          <w:szCs w:val="24"/>
        </w:rPr>
      </w:pPr>
    </w:p>
    <w:p w:rsidR="004A2A5D" w:rsidRDefault="004A2A5D" w:rsidP="004A2A5D">
      <w:pPr>
        <w:spacing w:line="360" w:lineRule="auto"/>
        <w:ind w:firstLine="284"/>
        <w:jc w:val="both"/>
        <w:rPr>
          <w:rFonts w:ascii="Times New Roman" w:hAnsi="Times New Roman" w:cs="Times New Roman"/>
          <w:sz w:val="24"/>
          <w:szCs w:val="24"/>
        </w:rPr>
      </w:pPr>
    </w:p>
    <w:p w:rsidR="004A2A5D" w:rsidRDefault="004A2A5D" w:rsidP="004A2A5D">
      <w:pPr>
        <w:spacing w:line="360" w:lineRule="auto"/>
        <w:ind w:firstLine="284"/>
        <w:jc w:val="both"/>
        <w:rPr>
          <w:rFonts w:ascii="Times New Roman" w:hAnsi="Times New Roman" w:cs="Times New Roman"/>
          <w:sz w:val="24"/>
          <w:szCs w:val="24"/>
        </w:rPr>
      </w:pPr>
    </w:p>
    <w:p w:rsidR="004A2A5D" w:rsidRDefault="004A2A5D" w:rsidP="004A2A5D">
      <w:pPr>
        <w:spacing w:line="360" w:lineRule="auto"/>
        <w:ind w:firstLine="284"/>
        <w:jc w:val="both"/>
        <w:rPr>
          <w:rFonts w:ascii="Times New Roman" w:hAnsi="Times New Roman" w:cs="Times New Roman"/>
          <w:sz w:val="24"/>
          <w:szCs w:val="24"/>
        </w:rPr>
      </w:pPr>
    </w:p>
    <w:p w:rsidR="004A2A5D" w:rsidRDefault="004A2A5D" w:rsidP="004A2A5D">
      <w:pPr>
        <w:spacing w:line="360" w:lineRule="auto"/>
        <w:jc w:val="center"/>
        <w:rPr>
          <w:rFonts w:ascii="Times New Roman" w:hAnsi="Times New Roman" w:cs="Times New Roman"/>
          <w:b/>
          <w:bCs/>
          <w:sz w:val="24"/>
          <w:szCs w:val="24"/>
        </w:rPr>
      </w:pPr>
      <w:r w:rsidRPr="00497039">
        <w:rPr>
          <w:rFonts w:ascii="Times New Roman" w:hAnsi="Times New Roman" w:cs="Times New Roman"/>
          <w:b/>
          <w:bCs/>
          <w:noProof/>
          <w:sz w:val="24"/>
          <w:szCs w:val="24"/>
        </w:rPr>
        <w:lastRenderedPageBreak/>
        <w:drawing>
          <wp:inline distT="0" distB="0" distL="0" distR="0">
            <wp:extent cx="5402758" cy="2268000"/>
            <wp:effectExtent l="19050" t="0" r="26492" b="0"/>
            <wp:docPr id="82"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A2A5D" w:rsidRPr="00641792" w:rsidRDefault="009C7F2E" w:rsidP="00463B12">
      <w:pPr>
        <w:pStyle w:val="Lgende"/>
        <w:spacing w:before="240"/>
        <w:jc w:val="center"/>
        <w:rPr>
          <w:rFonts w:asciiTheme="majorBidi" w:hAnsiTheme="majorBidi" w:cstheme="majorBidi"/>
          <w:color w:val="auto"/>
          <w:sz w:val="24"/>
          <w:szCs w:val="24"/>
        </w:rPr>
      </w:pPr>
      <w:bookmarkStart w:id="1450" w:name="_Toc252194964"/>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27</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:Nombre moyen de jours entre le semis et la maturité des gousses.</w:t>
      </w:r>
      <w:bookmarkEnd w:id="1450"/>
    </w:p>
    <w:p w:rsidR="00F956A6" w:rsidRDefault="004A2A5D" w:rsidP="00F956A6">
      <w:pPr>
        <w:keepNext/>
        <w:spacing w:after="120" w:line="360" w:lineRule="auto"/>
        <w:jc w:val="center"/>
      </w:pPr>
      <w:r w:rsidRPr="00D22604">
        <w:rPr>
          <w:rFonts w:ascii="Times New Roman" w:hAnsi="Times New Roman" w:cs="Times New Roman"/>
          <w:noProof/>
        </w:rPr>
        <w:drawing>
          <wp:inline distT="0" distB="0" distL="0" distR="0">
            <wp:extent cx="5402758" cy="2507852"/>
            <wp:effectExtent l="19050" t="0" r="26492" b="6748"/>
            <wp:docPr id="85"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A2A5D" w:rsidRPr="00F956A6" w:rsidRDefault="009C7F2E" w:rsidP="00463B12">
      <w:pPr>
        <w:pStyle w:val="Lgende"/>
        <w:spacing w:before="240"/>
        <w:jc w:val="center"/>
        <w:rPr>
          <w:rFonts w:asciiTheme="majorBidi" w:hAnsiTheme="majorBidi" w:cstheme="majorBidi"/>
          <w:color w:val="auto"/>
          <w:sz w:val="24"/>
          <w:szCs w:val="24"/>
        </w:rPr>
      </w:pPr>
      <w:bookmarkStart w:id="1451" w:name="_Toc252194965"/>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28</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:Les cinq hauteurs moyennes des plants en (cm).</w:t>
      </w:r>
      <w:bookmarkEnd w:id="1451"/>
    </w:p>
    <w:p w:rsidR="004A2A5D" w:rsidRDefault="004A2A5D" w:rsidP="004A2A5D">
      <w:pPr>
        <w:spacing w:after="120" w:line="360" w:lineRule="auto"/>
        <w:jc w:val="center"/>
        <w:rPr>
          <w:rFonts w:ascii="Times New Roman" w:hAnsi="Times New Roman" w:cs="Times New Roman"/>
          <w:sz w:val="24"/>
          <w:szCs w:val="24"/>
        </w:rPr>
      </w:pPr>
      <w:r w:rsidRPr="00497039">
        <w:rPr>
          <w:rFonts w:ascii="Times New Roman" w:hAnsi="Times New Roman" w:cs="Times New Roman"/>
          <w:noProof/>
          <w:sz w:val="24"/>
          <w:szCs w:val="24"/>
        </w:rPr>
        <w:drawing>
          <wp:inline distT="0" distB="0" distL="0" distR="0">
            <wp:extent cx="5404028" cy="2268000"/>
            <wp:effectExtent l="19050" t="0" r="25222" b="0"/>
            <wp:docPr id="84"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A2A5D" w:rsidRPr="00F956A6" w:rsidRDefault="009C7F2E" w:rsidP="00463B12">
      <w:pPr>
        <w:pStyle w:val="Lgende"/>
        <w:spacing w:before="240"/>
        <w:jc w:val="center"/>
        <w:rPr>
          <w:rFonts w:asciiTheme="majorBidi" w:hAnsiTheme="majorBidi" w:cstheme="majorBidi"/>
          <w:color w:val="auto"/>
          <w:sz w:val="24"/>
          <w:szCs w:val="24"/>
        </w:rPr>
      </w:pPr>
      <w:bookmarkStart w:id="1452" w:name="_Toc252194966"/>
      <w:r w:rsidRPr="00463B12">
        <w:rPr>
          <w:rFonts w:asciiTheme="majorBidi" w:hAnsiTheme="majorBidi" w:cstheme="majorBidi"/>
          <w:color w:val="auto"/>
          <w:sz w:val="24"/>
          <w:szCs w:val="24"/>
        </w:rPr>
        <w:t xml:space="preserve">Fig. </w:t>
      </w:r>
      <w:r w:rsidR="00811D6A" w:rsidRPr="00463B12">
        <w:rPr>
          <w:rFonts w:asciiTheme="majorBidi" w:hAnsiTheme="majorBidi" w:cstheme="majorBidi"/>
          <w:color w:val="auto"/>
          <w:sz w:val="24"/>
          <w:szCs w:val="24"/>
        </w:rPr>
        <w:fldChar w:fldCharType="begin"/>
      </w:r>
      <w:r w:rsidRPr="00463B12">
        <w:rPr>
          <w:rFonts w:asciiTheme="majorBidi" w:hAnsiTheme="majorBidi" w:cstheme="majorBidi"/>
          <w:color w:val="auto"/>
          <w:sz w:val="24"/>
          <w:szCs w:val="24"/>
        </w:rPr>
        <w:instrText xml:space="preserve"> SEQ Figure \* ARABIC </w:instrText>
      </w:r>
      <w:r w:rsidR="00811D6A" w:rsidRPr="00463B12">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29</w:t>
      </w:r>
      <w:r w:rsidR="00811D6A" w:rsidRPr="00463B12">
        <w:rPr>
          <w:rFonts w:asciiTheme="majorBidi" w:hAnsiTheme="majorBidi" w:cstheme="majorBidi"/>
          <w:color w:val="auto"/>
          <w:sz w:val="24"/>
          <w:szCs w:val="24"/>
        </w:rPr>
        <w:fldChar w:fldCharType="end"/>
      </w:r>
      <w:r w:rsidRPr="00463B12">
        <w:rPr>
          <w:rFonts w:asciiTheme="majorBidi" w:hAnsiTheme="majorBidi" w:cstheme="majorBidi"/>
          <w:color w:val="auto"/>
          <w:sz w:val="24"/>
          <w:szCs w:val="24"/>
        </w:rPr>
        <w:t>:Vitesse moyenne de croissance (en cm/j).</w:t>
      </w:r>
      <w:bookmarkEnd w:id="1452"/>
    </w:p>
    <w:p w:rsidR="004A2A5D" w:rsidRPr="005E7648" w:rsidRDefault="004A2A5D" w:rsidP="004A2A5D">
      <w:pPr>
        <w:spacing w:line="360" w:lineRule="auto"/>
        <w:jc w:val="both"/>
        <w:rPr>
          <w:rFonts w:ascii="Arial" w:hAnsi="Arial" w:cs="Arial"/>
          <w:b/>
          <w:bCs/>
          <w:sz w:val="24"/>
          <w:szCs w:val="24"/>
        </w:rPr>
      </w:pPr>
    </w:p>
    <w:p w:rsidR="004A2A5D" w:rsidRPr="001015DF" w:rsidRDefault="004A2A5D" w:rsidP="00AD6B8B">
      <w:pPr>
        <w:pStyle w:val="Titre1"/>
        <w:numPr>
          <w:ilvl w:val="0"/>
          <w:numId w:val="48"/>
        </w:numPr>
        <w:spacing w:after="240" w:line="360" w:lineRule="auto"/>
        <w:rPr>
          <w:rFonts w:ascii="Times New Roman" w:hAnsi="Times New Roman"/>
          <w:color w:val="auto"/>
        </w:rPr>
      </w:pPr>
      <w:bookmarkStart w:id="1453" w:name="_Toc251855073"/>
      <w:bookmarkStart w:id="1454" w:name="_Toc251855483"/>
      <w:bookmarkStart w:id="1455" w:name="_Toc126492643"/>
      <w:bookmarkStart w:id="1456" w:name="_Toc126493058"/>
      <w:bookmarkStart w:id="1457" w:name="_Toc126570570"/>
      <w:bookmarkStart w:id="1458" w:name="_Toc126571884"/>
      <w:bookmarkStart w:id="1459" w:name="_Toc126572665"/>
      <w:bookmarkStart w:id="1460" w:name="_Toc126575300"/>
      <w:bookmarkStart w:id="1461" w:name="_Toc126575981"/>
      <w:bookmarkStart w:id="1462" w:name="_Toc126576856"/>
      <w:bookmarkStart w:id="1463" w:name="_Toc252094065"/>
      <w:bookmarkStart w:id="1464" w:name="_Toc252365454"/>
      <w:bookmarkStart w:id="1465" w:name="_Toc252365725"/>
      <w:bookmarkStart w:id="1466" w:name="_Toc252366270"/>
      <w:r w:rsidRPr="001015DF">
        <w:rPr>
          <w:rFonts w:ascii="Times New Roman" w:hAnsi="Times New Roman"/>
          <w:color w:val="auto"/>
        </w:rPr>
        <w:lastRenderedPageBreak/>
        <w:t>Etude biométrique</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rsidR="004A2A5D" w:rsidRDefault="004A2A5D" w:rsidP="004A2A5D">
      <w:pPr>
        <w:spacing w:line="360" w:lineRule="auto"/>
        <w:ind w:firstLine="284"/>
        <w:jc w:val="both"/>
        <w:rPr>
          <w:rFonts w:ascii="Times New Roman" w:hAnsi="Times New Roman" w:cs="Times New Roman"/>
          <w:sz w:val="24"/>
          <w:szCs w:val="24"/>
        </w:rPr>
      </w:pPr>
      <w:r w:rsidRPr="00426DA7">
        <w:rPr>
          <w:rFonts w:ascii="Times New Roman" w:hAnsi="Times New Roman" w:cs="Times New Roman"/>
          <w:sz w:val="24"/>
          <w:szCs w:val="24"/>
        </w:rPr>
        <w:t xml:space="preserve">La récolte a été effectuée le 8 juin, après la maturation complète des plants. </w:t>
      </w:r>
    </w:p>
    <w:p w:rsidR="004A2A5D" w:rsidRPr="00B42018"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B42018">
        <w:rPr>
          <w:rFonts w:ascii="Times New Roman" w:hAnsi="Times New Roman" w:cs="Times New Roman"/>
          <w:b/>
          <w:bCs/>
          <w:sz w:val="24"/>
          <w:szCs w:val="24"/>
        </w:rPr>
        <w:t xml:space="preserve">Nombre </w:t>
      </w:r>
      <w:r>
        <w:rPr>
          <w:rFonts w:ascii="Times New Roman" w:hAnsi="Times New Roman" w:cs="Times New Roman"/>
          <w:b/>
          <w:bCs/>
          <w:sz w:val="24"/>
          <w:szCs w:val="24"/>
        </w:rPr>
        <w:t xml:space="preserve">moyen </w:t>
      </w:r>
      <w:r w:rsidRPr="00B42018">
        <w:rPr>
          <w:rFonts w:ascii="Times New Roman" w:hAnsi="Times New Roman" w:cs="Times New Roman"/>
          <w:b/>
          <w:bCs/>
          <w:sz w:val="24"/>
          <w:szCs w:val="24"/>
        </w:rPr>
        <w:t>de ramifications primaires (NR1)</w:t>
      </w:r>
    </w:p>
    <w:p w:rsidR="004A2A5D" w:rsidRDefault="004A2A5D" w:rsidP="004A2A5D">
      <w:pPr>
        <w:spacing w:line="360" w:lineRule="auto"/>
        <w:ind w:firstLine="284"/>
        <w:jc w:val="both"/>
        <w:rPr>
          <w:rFonts w:ascii="Times New Roman" w:hAnsi="Times New Roman" w:cs="Times New Roman"/>
          <w:sz w:val="24"/>
          <w:szCs w:val="24"/>
        </w:rPr>
      </w:pPr>
      <w:r w:rsidRPr="00ED2123">
        <w:rPr>
          <w:rFonts w:ascii="Times New Roman" w:hAnsi="Times New Roman" w:cs="Times New Roman"/>
          <w:sz w:val="24"/>
          <w:szCs w:val="24"/>
        </w:rPr>
        <w:t xml:space="preserve">Les valeurs de ce </w:t>
      </w:r>
      <w:r>
        <w:rPr>
          <w:rFonts w:ascii="Times New Roman" w:hAnsi="Times New Roman" w:cs="Times New Roman"/>
          <w:sz w:val="24"/>
          <w:szCs w:val="24"/>
        </w:rPr>
        <w:t>caractère varie</w:t>
      </w:r>
      <w:r w:rsidR="00D95ED0">
        <w:rPr>
          <w:rFonts w:ascii="Times New Roman" w:hAnsi="Times New Roman" w:cs="Times New Roman"/>
          <w:sz w:val="24"/>
          <w:szCs w:val="24"/>
        </w:rPr>
        <w:t>nt entre 3,35 chez la population P4 et 1,</w:t>
      </w:r>
      <w:r>
        <w:rPr>
          <w:rFonts w:ascii="Times New Roman" w:hAnsi="Times New Roman" w:cs="Times New Roman"/>
          <w:sz w:val="24"/>
          <w:szCs w:val="24"/>
        </w:rPr>
        <w:t>63 pour la population P6.</w:t>
      </w:r>
    </w:p>
    <w:p w:rsidR="004A2A5D" w:rsidRPr="00EB0638" w:rsidRDefault="004A2A5D" w:rsidP="004A2A5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L’analyse de variance permet de montrer une différence très hautement significative entre les populations</w:t>
      </w:r>
      <w:r w:rsidRPr="0053449C">
        <w:rPr>
          <w:rFonts w:ascii="Times New Roman" w:hAnsi="Times New Roman" w:cs="Times New Roman"/>
          <w:sz w:val="24"/>
          <w:szCs w:val="24"/>
        </w:rPr>
        <w:t xml:space="preserve"> (Annexe</w:t>
      </w:r>
      <w:r>
        <w:rPr>
          <w:rFonts w:ascii="Times New Roman" w:hAnsi="Times New Roman" w:cs="Times New Roman"/>
          <w:sz w:val="24"/>
          <w:szCs w:val="24"/>
        </w:rPr>
        <w:t xml:space="preserve"> 2</w:t>
      </w:r>
      <w:r w:rsidRPr="0053449C">
        <w:rPr>
          <w:rFonts w:ascii="Times New Roman" w:hAnsi="Times New Roman" w:cs="Times New Roman"/>
          <w:sz w:val="24"/>
          <w:szCs w:val="24"/>
        </w:rPr>
        <w:t>).</w:t>
      </w:r>
      <w:r>
        <w:rPr>
          <w:rFonts w:ascii="Times New Roman" w:hAnsi="Times New Roman" w:cs="Times New Roman"/>
          <w:sz w:val="24"/>
          <w:szCs w:val="24"/>
        </w:rPr>
        <w:t xml:space="preserve"> Après la com</w:t>
      </w:r>
      <w:r w:rsidRPr="00EB0638">
        <w:rPr>
          <w:rFonts w:ascii="Times New Roman" w:hAnsi="Times New Roman" w:cs="Times New Roman"/>
          <w:sz w:val="24"/>
          <w:szCs w:val="24"/>
        </w:rPr>
        <w:t>paraison des moyennes a mise en évidence divers groupe ; le groupe A qui est représenté par la population P4, le groupe C qui est représenté par les populations P5 et P6 ; les populations P1, P2 et P3 sont représentées respectivement par les groupes chevauchants ABC, AB et BC (Fig. 30).</w:t>
      </w:r>
    </w:p>
    <w:p w:rsidR="004A2A5D" w:rsidRPr="00EB0638"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ramifications secondaires (NR2)</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moyenne générale des popul</w:t>
      </w:r>
      <w:r w:rsidR="00D95ED0">
        <w:rPr>
          <w:rFonts w:ascii="Times New Roman" w:hAnsi="Times New Roman" w:cs="Times New Roman"/>
          <w:sz w:val="24"/>
          <w:szCs w:val="24"/>
        </w:rPr>
        <w:t>ations de ce caractère est de 0,</w:t>
      </w:r>
      <w:r w:rsidRPr="00EB0638">
        <w:rPr>
          <w:rFonts w:ascii="Times New Roman" w:hAnsi="Times New Roman" w:cs="Times New Roman"/>
          <w:sz w:val="24"/>
          <w:szCs w:val="24"/>
        </w:rPr>
        <w:t>2</w:t>
      </w:r>
      <w:r w:rsidR="00432E76">
        <w:rPr>
          <w:rFonts w:ascii="Times New Roman" w:hAnsi="Times New Roman" w:cs="Times New Roman"/>
          <w:sz w:val="24"/>
          <w:szCs w:val="24"/>
        </w:rPr>
        <w:t xml:space="preserve"> ramifications</w:t>
      </w:r>
      <w:r w:rsidRPr="00EB0638">
        <w:rPr>
          <w:rFonts w:ascii="Times New Roman" w:hAnsi="Times New Roman" w:cs="Times New Roman"/>
          <w:sz w:val="24"/>
          <w:szCs w:val="24"/>
        </w:rPr>
        <w:t>. L’analyse de variance décèle une différence significative entre les populations (Fig. 30 ; Annexe 2).</w:t>
      </w:r>
    </w:p>
    <w:p w:rsidR="004A2A5D" w:rsidRPr="00EB0638"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total de ramifications (NTR)</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nombre moyen total de ramification le plus élevé est obser</w:t>
      </w:r>
      <w:r w:rsidR="00D95ED0">
        <w:rPr>
          <w:rFonts w:ascii="Times New Roman" w:hAnsi="Times New Roman" w:cs="Times New Roman"/>
          <w:sz w:val="24"/>
          <w:szCs w:val="24"/>
        </w:rPr>
        <w:t>vé chez la population P4 avec 3,</w:t>
      </w:r>
      <w:r w:rsidRPr="00EB0638">
        <w:rPr>
          <w:rFonts w:ascii="Times New Roman" w:hAnsi="Times New Roman" w:cs="Times New Roman"/>
          <w:sz w:val="24"/>
          <w:szCs w:val="24"/>
        </w:rPr>
        <w:t>93</w:t>
      </w:r>
      <w:r w:rsidR="00432E76">
        <w:rPr>
          <w:rFonts w:ascii="Times New Roman" w:hAnsi="Times New Roman" w:cs="Times New Roman"/>
          <w:sz w:val="24"/>
          <w:szCs w:val="24"/>
        </w:rPr>
        <w:t xml:space="preserve"> ramifications</w:t>
      </w:r>
      <w:r w:rsidRPr="00EB0638">
        <w:rPr>
          <w:rFonts w:ascii="Times New Roman" w:hAnsi="Times New Roman" w:cs="Times New Roman"/>
          <w:sz w:val="24"/>
          <w:szCs w:val="24"/>
        </w:rPr>
        <w:t>. La moyenne la plus faible est représen</w:t>
      </w:r>
      <w:r w:rsidR="00D95ED0">
        <w:rPr>
          <w:rFonts w:ascii="Times New Roman" w:hAnsi="Times New Roman" w:cs="Times New Roman"/>
          <w:sz w:val="24"/>
          <w:szCs w:val="24"/>
        </w:rPr>
        <w:t>tée par la population P5 avec 1,</w:t>
      </w:r>
      <w:r w:rsidRPr="00EB0638">
        <w:rPr>
          <w:rFonts w:ascii="Times New Roman" w:hAnsi="Times New Roman" w:cs="Times New Roman"/>
          <w:sz w:val="24"/>
          <w:szCs w:val="24"/>
        </w:rPr>
        <w:t xml:space="preserve">95 </w:t>
      </w:r>
      <w:r w:rsidR="00D95ED0">
        <w:rPr>
          <w:rFonts w:ascii="Times New Roman" w:hAnsi="Times New Roman" w:cs="Times New Roman"/>
          <w:sz w:val="24"/>
          <w:szCs w:val="24"/>
        </w:rPr>
        <w:t>ramification</w:t>
      </w:r>
      <w:r w:rsidR="00432E76">
        <w:rPr>
          <w:rFonts w:ascii="Times New Roman" w:hAnsi="Times New Roman" w:cs="Times New Roman"/>
          <w:sz w:val="24"/>
          <w:szCs w:val="24"/>
        </w:rPr>
        <w:t xml:space="preserve"> </w:t>
      </w:r>
      <w:r w:rsidRPr="00EB0638">
        <w:rPr>
          <w:rFonts w:ascii="Times New Roman" w:hAnsi="Times New Roman" w:cs="Times New Roman"/>
          <w:sz w:val="24"/>
          <w:szCs w:val="24"/>
        </w:rPr>
        <w:t>(Fig. 30).</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w:t>
      </w:r>
      <w:r w:rsidR="008F5138">
        <w:rPr>
          <w:rFonts w:ascii="Times New Roman" w:hAnsi="Times New Roman" w:cs="Times New Roman"/>
          <w:sz w:val="24"/>
          <w:szCs w:val="24"/>
        </w:rPr>
        <w:t xml:space="preserve"> la </w:t>
      </w:r>
      <w:r w:rsidRPr="00EB0638">
        <w:rPr>
          <w:rFonts w:ascii="Times New Roman" w:hAnsi="Times New Roman" w:cs="Times New Roman"/>
          <w:sz w:val="24"/>
          <w:szCs w:val="24"/>
        </w:rPr>
        <w:t xml:space="preserve"> variance indique une différence très hautement significative entre les populations avec l’apparition de trois groupes homogènes qui se chevauchent. Le groupe A représente la population P4, le groupe C représente la population P5. Les groupes chevauchants AB et ABC représentent les populations P2 et P1 ; le groupe BC représente les populati</w:t>
      </w:r>
      <w:r w:rsidR="00C94CAD">
        <w:rPr>
          <w:rFonts w:ascii="Times New Roman" w:hAnsi="Times New Roman" w:cs="Times New Roman"/>
          <w:sz w:val="24"/>
          <w:szCs w:val="24"/>
        </w:rPr>
        <w:t>ons P3 et P6 (Fig. 30 ; Annexe 2</w:t>
      </w:r>
      <w:r w:rsidRPr="00EB0638">
        <w:rPr>
          <w:rFonts w:ascii="Times New Roman" w:hAnsi="Times New Roman" w:cs="Times New Roman"/>
          <w:sz w:val="24"/>
          <w:szCs w:val="24"/>
        </w:rPr>
        <w:t xml:space="preserve">). </w:t>
      </w:r>
    </w:p>
    <w:p w:rsidR="00F956A6" w:rsidRPr="00EB0638" w:rsidRDefault="004A2A5D" w:rsidP="00F956A6">
      <w:pPr>
        <w:keepNext/>
        <w:spacing w:after="80" w:line="360" w:lineRule="auto"/>
        <w:jc w:val="center"/>
      </w:pPr>
      <w:r w:rsidRPr="00EB0638">
        <w:rPr>
          <w:rFonts w:ascii="Times New Roman" w:hAnsi="Times New Roman" w:cs="Times New Roman"/>
          <w:b/>
          <w:bCs/>
          <w:noProof/>
          <w:sz w:val="24"/>
          <w:szCs w:val="24"/>
        </w:rPr>
        <w:lastRenderedPageBreak/>
        <w:drawing>
          <wp:inline distT="0" distB="0" distL="0" distR="0">
            <wp:extent cx="5397699" cy="5897841"/>
            <wp:effectExtent l="18297" t="12195" r="13254" b="4989"/>
            <wp:docPr id="86"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A2A5D" w:rsidRPr="00EB0638" w:rsidRDefault="009A264F" w:rsidP="00463B12">
      <w:pPr>
        <w:pStyle w:val="Lgende"/>
        <w:spacing w:before="240"/>
        <w:jc w:val="center"/>
        <w:rPr>
          <w:rFonts w:asciiTheme="majorBidi" w:hAnsiTheme="majorBidi" w:cstheme="majorBidi"/>
          <w:color w:val="auto"/>
          <w:sz w:val="24"/>
          <w:szCs w:val="24"/>
        </w:rPr>
      </w:pPr>
      <w:bookmarkStart w:id="1467" w:name="_Toc252194967"/>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30</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:Nombre moyen de ramifications primaires, secondaires et totales.</w:t>
      </w:r>
      <w:bookmarkEnd w:id="1467"/>
    </w:p>
    <w:p w:rsidR="004A2A5D" w:rsidRPr="00EB0638" w:rsidRDefault="004A2A5D" w:rsidP="004A2A5D">
      <w:pPr>
        <w:spacing w:line="360" w:lineRule="auto"/>
        <w:jc w:val="center"/>
        <w:rPr>
          <w:rFonts w:ascii="Times New Roman" w:hAnsi="Times New Roman" w:cs="Times New Roman"/>
          <w:b/>
          <w:bCs/>
          <w:sz w:val="24"/>
          <w:szCs w:val="24"/>
        </w:rPr>
      </w:pPr>
    </w:p>
    <w:p w:rsidR="004A2A5D" w:rsidRPr="00EB0638" w:rsidRDefault="004A2A5D" w:rsidP="004A2A5D">
      <w:pPr>
        <w:spacing w:line="360" w:lineRule="auto"/>
        <w:jc w:val="center"/>
        <w:rPr>
          <w:rFonts w:ascii="Times New Roman" w:hAnsi="Times New Roman" w:cs="Times New Roman"/>
          <w:b/>
          <w:bCs/>
          <w:sz w:val="24"/>
          <w:szCs w:val="24"/>
        </w:rPr>
      </w:pPr>
    </w:p>
    <w:p w:rsidR="004A2A5D" w:rsidRPr="00EB0638" w:rsidRDefault="004A2A5D" w:rsidP="004A2A5D">
      <w:pPr>
        <w:spacing w:line="360" w:lineRule="auto"/>
        <w:jc w:val="center"/>
        <w:rPr>
          <w:rFonts w:ascii="Times New Roman" w:hAnsi="Times New Roman" w:cs="Times New Roman"/>
          <w:b/>
          <w:bCs/>
          <w:sz w:val="24"/>
          <w:szCs w:val="24"/>
        </w:rPr>
      </w:pPr>
    </w:p>
    <w:p w:rsidR="004A2A5D" w:rsidRPr="00EB0638" w:rsidRDefault="004A2A5D" w:rsidP="004A2A5D">
      <w:pPr>
        <w:spacing w:line="360" w:lineRule="auto"/>
        <w:jc w:val="center"/>
        <w:rPr>
          <w:rFonts w:ascii="Times New Roman" w:hAnsi="Times New Roman" w:cs="Times New Roman"/>
          <w:b/>
          <w:bCs/>
          <w:sz w:val="24"/>
          <w:szCs w:val="24"/>
        </w:rPr>
      </w:pPr>
    </w:p>
    <w:p w:rsidR="004A2A5D" w:rsidRPr="00EB0638" w:rsidRDefault="004A2A5D" w:rsidP="004A2A5D">
      <w:pPr>
        <w:spacing w:line="360" w:lineRule="auto"/>
        <w:jc w:val="center"/>
        <w:rPr>
          <w:rFonts w:ascii="Times New Roman" w:hAnsi="Times New Roman" w:cs="Times New Roman"/>
          <w:b/>
          <w:bCs/>
          <w:sz w:val="24"/>
          <w:szCs w:val="24"/>
        </w:rPr>
      </w:pPr>
    </w:p>
    <w:p w:rsidR="004A2A5D" w:rsidRPr="00EB0638" w:rsidRDefault="004A2A5D" w:rsidP="004A2A5D">
      <w:pPr>
        <w:spacing w:line="360" w:lineRule="auto"/>
        <w:jc w:val="center"/>
        <w:rPr>
          <w:rFonts w:ascii="Times New Roman" w:hAnsi="Times New Roman" w:cs="Times New Roman"/>
          <w:b/>
          <w:bCs/>
          <w:sz w:val="24"/>
          <w:szCs w:val="24"/>
        </w:rPr>
      </w:pPr>
    </w:p>
    <w:p w:rsidR="004A2A5D" w:rsidRPr="00EB0638" w:rsidRDefault="004A2A5D" w:rsidP="004A2A5D">
      <w:pPr>
        <w:spacing w:line="360" w:lineRule="auto"/>
        <w:jc w:val="center"/>
        <w:rPr>
          <w:rFonts w:ascii="Times New Roman" w:hAnsi="Times New Roman" w:cs="Times New Roman"/>
          <w:b/>
          <w:bCs/>
          <w:sz w:val="24"/>
          <w:szCs w:val="24"/>
        </w:rPr>
      </w:pPr>
    </w:p>
    <w:p w:rsidR="004A2A5D" w:rsidRPr="00D92207"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D92207">
        <w:rPr>
          <w:rFonts w:ascii="Times New Roman" w:hAnsi="Times New Roman" w:cs="Times New Roman"/>
          <w:b/>
          <w:bCs/>
          <w:sz w:val="24"/>
          <w:szCs w:val="24"/>
        </w:rPr>
        <w:lastRenderedPageBreak/>
        <w:t>Nombre moyen de gousse sur l’axe principal (NGAP)</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valeur moyenne la plus élevée du nombre de gousse sur l’axe principal est notée chez les populations P5,</w:t>
      </w:r>
      <w:r w:rsidR="00D95ED0">
        <w:rPr>
          <w:rFonts w:ascii="Times New Roman" w:hAnsi="Times New Roman" w:cs="Times New Roman"/>
          <w:sz w:val="24"/>
          <w:szCs w:val="24"/>
        </w:rPr>
        <w:t xml:space="preserve"> P2 et P1 avec respectivement 8,6. 8,4 et 8,</w:t>
      </w:r>
      <w:r w:rsidRPr="00EB0638">
        <w:rPr>
          <w:rFonts w:ascii="Times New Roman" w:hAnsi="Times New Roman" w:cs="Times New Roman"/>
          <w:sz w:val="24"/>
          <w:szCs w:val="24"/>
        </w:rPr>
        <w:t>35. Par contre, la valeur la plus faible est rencontrée chez la population P4,</w:t>
      </w:r>
      <w:r w:rsidR="00D95ED0">
        <w:rPr>
          <w:rFonts w:ascii="Times New Roman" w:hAnsi="Times New Roman" w:cs="Times New Roman"/>
          <w:sz w:val="24"/>
          <w:szCs w:val="24"/>
        </w:rPr>
        <w:t xml:space="preserve"> P6 et P3 avec respectivement 6,82. 7,7 et 7,</w:t>
      </w:r>
      <w:r w:rsidRPr="00EB0638">
        <w:rPr>
          <w:rFonts w:ascii="Times New Roman" w:hAnsi="Times New Roman" w:cs="Times New Roman"/>
          <w:sz w:val="24"/>
          <w:szCs w:val="24"/>
        </w:rPr>
        <w:t>78 (Fig. 31).</w:t>
      </w:r>
    </w:p>
    <w:p w:rsidR="004A2A5D" w:rsidRPr="00EB0638" w:rsidRDefault="004A2A5D" w:rsidP="00657782">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L’analyse de variance indique une différence hautement significative entre les populations (Annexe 2). La comparaison </w:t>
      </w:r>
      <w:r w:rsidR="008F5138">
        <w:rPr>
          <w:rFonts w:ascii="Times New Roman" w:hAnsi="Times New Roman" w:cs="Times New Roman"/>
          <w:sz w:val="24"/>
          <w:szCs w:val="24"/>
        </w:rPr>
        <w:t>des moyennes a permi</w:t>
      </w:r>
      <w:r w:rsidRPr="00EB0638">
        <w:rPr>
          <w:rFonts w:ascii="Times New Roman" w:hAnsi="Times New Roman" w:cs="Times New Roman"/>
          <w:sz w:val="24"/>
          <w:szCs w:val="24"/>
        </w:rPr>
        <w:t xml:space="preserve"> de distinguer deux groupes homogènes. Le groupe A qui représente les populations P5, P2 et P1. Le groupe B qui est constitué par la population P4 et le groupe chevauchant AB qui représente les populations P3 et P6.</w:t>
      </w:r>
    </w:p>
    <w:p w:rsidR="004A2A5D" w:rsidRPr="00EB0638"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gousses sur les ramifications primaires (NGR1)</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moyenne générale du nombre de gousses sur les ramifications primaires chez les six p</w:t>
      </w:r>
      <w:r w:rsidR="00D95ED0">
        <w:rPr>
          <w:rFonts w:ascii="Times New Roman" w:hAnsi="Times New Roman" w:cs="Times New Roman"/>
          <w:sz w:val="24"/>
          <w:szCs w:val="24"/>
        </w:rPr>
        <w:t>opulations est de 6,</w:t>
      </w:r>
      <w:r w:rsidRPr="00EB0638">
        <w:rPr>
          <w:rFonts w:ascii="Times New Roman" w:hAnsi="Times New Roman" w:cs="Times New Roman"/>
          <w:sz w:val="24"/>
          <w:szCs w:val="24"/>
        </w:rPr>
        <w:t>39. L’analyse de variance ne décèle aucune différence significative entre les populations (Fig. 31 ; Annexe 2).</w:t>
      </w:r>
    </w:p>
    <w:p w:rsidR="004A2A5D" w:rsidRPr="00EB0638"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w:t>
      </w:r>
      <w:r w:rsidR="00754023">
        <w:rPr>
          <w:rFonts w:ascii="Times New Roman" w:hAnsi="Times New Roman" w:cs="Times New Roman"/>
          <w:b/>
          <w:bCs/>
          <w:sz w:val="24"/>
          <w:szCs w:val="24"/>
        </w:rPr>
        <w:t xml:space="preserve"> moyen</w:t>
      </w:r>
      <w:r w:rsidRPr="00EB0638">
        <w:rPr>
          <w:rFonts w:ascii="Times New Roman" w:hAnsi="Times New Roman" w:cs="Times New Roman"/>
          <w:b/>
          <w:bCs/>
          <w:sz w:val="24"/>
          <w:szCs w:val="24"/>
        </w:rPr>
        <w:t xml:space="preserve"> de gousses sur les ramifications secondaires (NGR2)</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moyenne gé</w:t>
      </w:r>
      <w:r w:rsidR="00D95ED0">
        <w:rPr>
          <w:rFonts w:ascii="Times New Roman" w:hAnsi="Times New Roman" w:cs="Times New Roman"/>
          <w:sz w:val="24"/>
          <w:szCs w:val="24"/>
        </w:rPr>
        <w:t>nérale de ce caractère est de 0,</w:t>
      </w:r>
      <w:r w:rsidRPr="00EB0638">
        <w:rPr>
          <w:rFonts w:ascii="Times New Roman" w:hAnsi="Times New Roman" w:cs="Times New Roman"/>
          <w:sz w:val="24"/>
          <w:szCs w:val="24"/>
        </w:rPr>
        <w:t>92. L’analyse de variance n’a indiqué aucune différence significative entre les populations (Fig. 31 ; Annexe 2).</w:t>
      </w:r>
    </w:p>
    <w:p w:rsidR="004A2A5D" w:rsidRPr="00EB0638"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total de gousses (NTG)</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nombre moyen total de gousses le plus élevée est rencontré chez la popu</w:t>
      </w:r>
      <w:r w:rsidR="00D95ED0">
        <w:rPr>
          <w:rFonts w:ascii="Times New Roman" w:hAnsi="Times New Roman" w:cs="Times New Roman"/>
          <w:sz w:val="24"/>
          <w:szCs w:val="24"/>
        </w:rPr>
        <w:t>lation P5 avec une valeur de 16,</w:t>
      </w:r>
      <w:r w:rsidRPr="00EB0638">
        <w:rPr>
          <w:rFonts w:ascii="Times New Roman" w:hAnsi="Times New Roman" w:cs="Times New Roman"/>
          <w:sz w:val="24"/>
          <w:szCs w:val="24"/>
        </w:rPr>
        <w:t>47, et la valeur la plus faible est rencontrée chez la popu</w:t>
      </w:r>
      <w:r w:rsidR="00D95ED0">
        <w:rPr>
          <w:rFonts w:ascii="Times New Roman" w:hAnsi="Times New Roman" w:cs="Times New Roman"/>
          <w:sz w:val="24"/>
          <w:szCs w:val="24"/>
        </w:rPr>
        <w:t>lation P6 avec une valeur de 12,</w:t>
      </w:r>
      <w:r w:rsidRPr="00EB0638">
        <w:rPr>
          <w:rFonts w:ascii="Times New Roman" w:hAnsi="Times New Roman" w:cs="Times New Roman"/>
          <w:sz w:val="24"/>
          <w:szCs w:val="24"/>
        </w:rPr>
        <w:t>75 (Fig. 31). L’analyse de variance n’a révélé aucune différence significative entre les populations (Fig. 31 ; Annexe 2).</w:t>
      </w:r>
    </w:p>
    <w:p w:rsidR="004A2A5D" w:rsidRPr="00EB0638"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Poids moyen de gousses par plants (PGP)</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Nous observons que le meilleur poids est enregist</w:t>
      </w:r>
      <w:r w:rsidR="00D95ED0">
        <w:rPr>
          <w:rFonts w:ascii="Times New Roman" w:hAnsi="Times New Roman" w:cs="Times New Roman"/>
          <w:sz w:val="24"/>
          <w:szCs w:val="24"/>
        </w:rPr>
        <w:t>ré chez la population P1 avec 5,</w:t>
      </w:r>
      <w:r w:rsidR="00D92207">
        <w:rPr>
          <w:rFonts w:ascii="Times New Roman" w:hAnsi="Times New Roman" w:cs="Times New Roman"/>
          <w:sz w:val="24"/>
          <w:szCs w:val="24"/>
        </w:rPr>
        <w:t xml:space="preserve">36 </w:t>
      </w:r>
      <w:r w:rsidRPr="00EB0638">
        <w:rPr>
          <w:rFonts w:ascii="Times New Roman" w:hAnsi="Times New Roman" w:cs="Times New Roman"/>
          <w:sz w:val="24"/>
          <w:szCs w:val="24"/>
        </w:rPr>
        <w:t>g. Alors que le plus faible poids représente la population P3</w:t>
      </w:r>
      <w:r w:rsidR="00D95ED0">
        <w:rPr>
          <w:rFonts w:ascii="Times New Roman" w:hAnsi="Times New Roman" w:cs="Times New Roman"/>
          <w:sz w:val="24"/>
          <w:szCs w:val="24"/>
        </w:rPr>
        <w:t xml:space="preserve"> avec 3,</w:t>
      </w:r>
      <w:r w:rsidR="00D92207">
        <w:rPr>
          <w:rFonts w:ascii="Times New Roman" w:hAnsi="Times New Roman" w:cs="Times New Roman"/>
          <w:sz w:val="24"/>
          <w:szCs w:val="24"/>
        </w:rPr>
        <w:t xml:space="preserve">75 </w:t>
      </w:r>
      <w:r w:rsidR="00631238">
        <w:rPr>
          <w:rFonts w:ascii="Times New Roman" w:hAnsi="Times New Roman" w:cs="Times New Roman"/>
          <w:sz w:val="24"/>
          <w:szCs w:val="24"/>
        </w:rPr>
        <w:t>g</w:t>
      </w:r>
      <w:r w:rsidRPr="00EB0638">
        <w:rPr>
          <w:rFonts w:ascii="Times New Roman" w:hAnsi="Times New Roman" w:cs="Times New Roman"/>
          <w:sz w:val="24"/>
          <w:szCs w:val="24"/>
        </w:rPr>
        <w:t xml:space="preserve"> (Fig. 32).</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Concernant ce caractère, l’analyse de variance n’a montré aucune différence significative entre les populations (Annexe 2). </w:t>
      </w:r>
      <w:r w:rsidRPr="00EB0638">
        <w:rPr>
          <w:rFonts w:ascii="Times New Roman" w:hAnsi="Times New Roman" w:cs="Times New Roman"/>
          <w:b/>
          <w:bCs/>
          <w:sz w:val="24"/>
          <w:szCs w:val="24"/>
        </w:rPr>
        <w:t xml:space="preserve"> </w:t>
      </w:r>
    </w:p>
    <w:p w:rsidR="00F956A6" w:rsidRDefault="004A2A5D" w:rsidP="00F956A6">
      <w:pPr>
        <w:keepNext/>
        <w:spacing w:after="120" w:line="360" w:lineRule="auto"/>
        <w:jc w:val="center"/>
      </w:pPr>
      <w:r w:rsidRPr="00EB0638">
        <w:rPr>
          <w:rFonts w:ascii="Times New Roman" w:hAnsi="Times New Roman" w:cs="Times New Roman"/>
          <w:b/>
          <w:bCs/>
          <w:noProof/>
          <w:sz w:val="24"/>
          <w:szCs w:val="24"/>
        </w:rPr>
        <w:lastRenderedPageBreak/>
        <w:drawing>
          <wp:inline distT="0" distB="0" distL="0" distR="0">
            <wp:extent cx="5487741" cy="3255504"/>
            <wp:effectExtent l="19050" t="0" r="17709" b="2046"/>
            <wp:docPr id="87"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120BA" w:rsidRPr="00EB0638" w:rsidRDefault="007120BA" w:rsidP="00F956A6">
      <w:pPr>
        <w:keepNext/>
        <w:spacing w:after="120" w:line="360" w:lineRule="auto"/>
        <w:jc w:val="center"/>
      </w:pPr>
    </w:p>
    <w:p w:rsidR="007120BA" w:rsidRPr="007120BA" w:rsidRDefault="00EF60A8" w:rsidP="007120BA">
      <w:pPr>
        <w:pStyle w:val="Lgende"/>
        <w:spacing w:before="240"/>
        <w:jc w:val="center"/>
        <w:rPr>
          <w:rFonts w:asciiTheme="majorBidi" w:hAnsiTheme="majorBidi" w:cstheme="majorBidi"/>
          <w:color w:val="auto"/>
          <w:sz w:val="24"/>
          <w:szCs w:val="24"/>
        </w:rPr>
      </w:pPr>
      <w:bookmarkStart w:id="1468" w:name="_Toc252194968"/>
      <w:r w:rsidRPr="00EB0638">
        <w:rPr>
          <w:rFonts w:asciiTheme="majorBidi" w:hAnsiTheme="majorBidi" w:cstheme="majorBidi"/>
          <w:noProof/>
          <w:color w:val="auto"/>
          <w:sz w:val="24"/>
          <w:szCs w:val="24"/>
        </w:rPr>
        <w:drawing>
          <wp:anchor distT="0" distB="0" distL="114300" distR="114300" simplePos="0" relativeHeight="251683840" behindDoc="0" locked="0" layoutInCell="1" allowOverlap="1">
            <wp:simplePos x="0" y="0"/>
            <wp:positionH relativeFrom="column">
              <wp:posOffset>314960</wp:posOffset>
            </wp:positionH>
            <wp:positionV relativeFrom="paragraph">
              <wp:posOffset>858520</wp:posOffset>
            </wp:positionV>
            <wp:extent cx="5657850" cy="2821940"/>
            <wp:effectExtent l="19050" t="0" r="19050" b="0"/>
            <wp:wrapSquare wrapText="bothSides"/>
            <wp:docPr id="90"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009A264F"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009A264F"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31</w:t>
      </w:r>
      <w:r w:rsidR="00811D6A" w:rsidRPr="00EB0638">
        <w:rPr>
          <w:rFonts w:asciiTheme="majorBidi" w:hAnsiTheme="majorBidi" w:cstheme="majorBidi"/>
          <w:color w:val="auto"/>
          <w:sz w:val="24"/>
          <w:szCs w:val="24"/>
        </w:rPr>
        <w:fldChar w:fldCharType="end"/>
      </w:r>
      <w:r w:rsidR="009A264F" w:rsidRPr="00EB0638">
        <w:rPr>
          <w:rFonts w:asciiTheme="majorBidi" w:hAnsiTheme="majorBidi" w:cstheme="majorBidi"/>
          <w:color w:val="auto"/>
          <w:sz w:val="24"/>
          <w:szCs w:val="24"/>
        </w:rPr>
        <w:t>:Nombre moyen total des gousses sur l’axe principale (NGAP), les ramifications primaires  (NGR1), les ramifications secondaires (NGR2) et le nombre total par plant (NGT).</w:t>
      </w:r>
      <w:bookmarkEnd w:id="1468"/>
    </w:p>
    <w:p w:rsidR="007120BA" w:rsidRPr="00EB0638" w:rsidRDefault="007120BA" w:rsidP="00F956A6">
      <w:pPr>
        <w:spacing w:after="120" w:line="240" w:lineRule="auto"/>
        <w:rPr>
          <w:rFonts w:ascii="Times New Roman" w:hAnsi="Times New Roman" w:cs="Times New Roman"/>
          <w:b/>
          <w:bCs/>
          <w:sz w:val="24"/>
          <w:szCs w:val="24"/>
        </w:rPr>
      </w:pPr>
    </w:p>
    <w:p w:rsidR="004A2A5D" w:rsidRPr="00EB0638" w:rsidRDefault="004A2A5D" w:rsidP="004A2A5D">
      <w:pPr>
        <w:spacing w:after="120" w:line="240" w:lineRule="auto"/>
        <w:jc w:val="center"/>
        <w:rPr>
          <w:rFonts w:ascii="Times New Roman" w:hAnsi="Times New Roman" w:cs="Times New Roman"/>
          <w:b/>
          <w:bCs/>
          <w:sz w:val="24"/>
          <w:szCs w:val="24"/>
        </w:rPr>
      </w:pPr>
    </w:p>
    <w:p w:rsidR="0090469B" w:rsidRDefault="00EF60A8" w:rsidP="00EF60A8">
      <w:pPr>
        <w:pStyle w:val="Lgende"/>
        <w:spacing w:before="240"/>
        <w:jc w:val="center"/>
        <w:rPr>
          <w:rFonts w:asciiTheme="majorBidi" w:hAnsiTheme="majorBidi" w:cstheme="majorBidi"/>
          <w:color w:val="auto"/>
          <w:sz w:val="24"/>
          <w:szCs w:val="24"/>
        </w:rPr>
      </w:pPr>
      <w:bookmarkStart w:id="1469" w:name="_Toc252194969"/>
      <w:r w:rsidRPr="00EB0638">
        <w:rPr>
          <w:rFonts w:asciiTheme="majorBidi" w:hAnsiTheme="majorBidi" w:cstheme="majorBidi"/>
          <w:color w:val="auto"/>
          <w:sz w:val="24"/>
          <w:szCs w:val="24"/>
        </w:rPr>
        <w:t xml:space="preserve">                         </w:t>
      </w:r>
    </w:p>
    <w:p w:rsidR="00F956A6" w:rsidRPr="00EB0638" w:rsidRDefault="00EF60A8" w:rsidP="00185127">
      <w:pPr>
        <w:pStyle w:val="Lgende"/>
        <w:spacing w:before="240"/>
        <w:jc w:val="center"/>
        <w:rPr>
          <w:rFonts w:asciiTheme="majorBidi" w:hAnsiTheme="majorBidi" w:cstheme="majorBidi"/>
          <w:color w:val="auto"/>
          <w:sz w:val="24"/>
          <w:szCs w:val="24"/>
        </w:rPr>
      </w:pPr>
      <w:r w:rsidRPr="00EB0638">
        <w:rPr>
          <w:rFonts w:asciiTheme="majorBidi" w:hAnsiTheme="majorBidi" w:cstheme="majorBidi"/>
          <w:color w:val="auto"/>
          <w:sz w:val="24"/>
          <w:szCs w:val="24"/>
        </w:rPr>
        <w:t xml:space="preserve">    </w:t>
      </w:r>
      <w:r w:rsidR="009A264F" w:rsidRPr="00D92207">
        <w:rPr>
          <w:rFonts w:asciiTheme="majorBidi" w:hAnsiTheme="majorBidi" w:cstheme="majorBidi"/>
          <w:color w:val="auto"/>
          <w:sz w:val="24"/>
          <w:szCs w:val="24"/>
        </w:rPr>
        <w:t xml:space="preserve">Fig. </w:t>
      </w:r>
      <w:r w:rsidR="00811D6A" w:rsidRPr="00D92207">
        <w:rPr>
          <w:rFonts w:asciiTheme="majorBidi" w:hAnsiTheme="majorBidi" w:cstheme="majorBidi"/>
          <w:color w:val="auto"/>
          <w:sz w:val="24"/>
          <w:szCs w:val="24"/>
        </w:rPr>
        <w:fldChar w:fldCharType="begin"/>
      </w:r>
      <w:r w:rsidR="009A264F" w:rsidRPr="00D92207">
        <w:rPr>
          <w:rFonts w:asciiTheme="majorBidi" w:hAnsiTheme="majorBidi" w:cstheme="majorBidi"/>
          <w:color w:val="auto"/>
          <w:sz w:val="24"/>
          <w:szCs w:val="24"/>
        </w:rPr>
        <w:instrText xml:space="preserve"> SEQ Figure \* ARABIC </w:instrText>
      </w:r>
      <w:r w:rsidR="00811D6A" w:rsidRPr="00D92207">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32</w:t>
      </w:r>
      <w:r w:rsidR="00811D6A" w:rsidRPr="00D92207">
        <w:rPr>
          <w:rFonts w:asciiTheme="majorBidi" w:hAnsiTheme="majorBidi" w:cstheme="majorBidi"/>
          <w:color w:val="auto"/>
          <w:sz w:val="24"/>
          <w:szCs w:val="24"/>
        </w:rPr>
        <w:fldChar w:fldCharType="end"/>
      </w:r>
      <w:r w:rsidR="009A264F" w:rsidRPr="00D92207">
        <w:rPr>
          <w:rFonts w:asciiTheme="majorBidi" w:hAnsiTheme="majorBidi" w:cstheme="majorBidi"/>
          <w:color w:val="auto"/>
          <w:sz w:val="24"/>
          <w:szCs w:val="24"/>
        </w:rPr>
        <w:t>:Poids</w:t>
      </w:r>
      <w:r w:rsidR="00185127">
        <w:rPr>
          <w:rFonts w:asciiTheme="majorBidi" w:hAnsiTheme="majorBidi" w:cstheme="majorBidi"/>
          <w:color w:val="auto"/>
          <w:sz w:val="24"/>
          <w:szCs w:val="24"/>
        </w:rPr>
        <w:t xml:space="preserve"> m</w:t>
      </w:r>
      <w:r w:rsidR="00EB09D5" w:rsidRPr="00D92207">
        <w:rPr>
          <w:rFonts w:asciiTheme="majorBidi" w:hAnsiTheme="majorBidi" w:cstheme="majorBidi"/>
          <w:color w:val="auto"/>
          <w:sz w:val="24"/>
          <w:szCs w:val="24"/>
        </w:rPr>
        <w:t>oyen de gousses par plant en (</w:t>
      </w:r>
      <w:r w:rsidR="009A264F" w:rsidRPr="00D92207">
        <w:rPr>
          <w:rFonts w:asciiTheme="majorBidi" w:hAnsiTheme="majorBidi" w:cstheme="majorBidi"/>
          <w:color w:val="auto"/>
          <w:sz w:val="24"/>
          <w:szCs w:val="24"/>
        </w:rPr>
        <w:t>g).</w:t>
      </w:r>
      <w:bookmarkEnd w:id="1469"/>
    </w:p>
    <w:p w:rsidR="004A2A5D" w:rsidRPr="00EB0638" w:rsidRDefault="00F956A6" w:rsidP="00F956A6">
      <w:pPr>
        <w:tabs>
          <w:tab w:val="left" w:pos="2009"/>
          <w:tab w:val="center" w:pos="4961"/>
        </w:tabs>
        <w:spacing w:line="360" w:lineRule="auto"/>
        <w:rPr>
          <w:rFonts w:ascii="Times New Roman" w:hAnsi="Times New Roman" w:cs="Times New Roman"/>
          <w:b/>
          <w:bCs/>
          <w:sz w:val="24"/>
          <w:szCs w:val="24"/>
        </w:rPr>
      </w:pPr>
      <w:r w:rsidRPr="00EB0638">
        <w:rPr>
          <w:rFonts w:ascii="Times New Roman" w:hAnsi="Times New Roman" w:cs="Times New Roman"/>
          <w:b/>
          <w:bCs/>
          <w:sz w:val="24"/>
          <w:szCs w:val="24"/>
        </w:rPr>
        <w:tab/>
      </w:r>
    </w:p>
    <w:p w:rsidR="004A2A5D" w:rsidRPr="00EB0638" w:rsidRDefault="004A2A5D" w:rsidP="004A2A5D">
      <w:pPr>
        <w:spacing w:line="360" w:lineRule="auto"/>
        <w:jc w:val="center"/>
        <w:rPr>
          <w:rFonts w:ascii="Times New Roman" w:hAnsi="Times New Roman" w:cs="Times New Roman"/>
          <w:b/>
          <w:bCs/>
          <w:sz w:val="24"/>
          <w:szCs w:val="24"/>
        </w:rPr>
      </w:pPr>
    </w:p>
    <w:p w:rsidR="004A2A5D" w:rsidRPr="00EB0638" w:rsidRDefault="004A2A5D" w:rsidP="004A2A5D">
      <w:pPr>
        <w:spacing w:line="360" w:lineRule="auto"/>
        <w:rPr>
          <w:rFonts w:ascii="Times New Roman" w:hAnsi="Times New Roman" w:cs="Times New Roman"/>
          <w:b/>
          <w:bCs/>
          <w:sz w:val="24"/>
          <w:szCs w:val="24"/>
        </w:rPr>
      </w:pPr>
    </w:p>
    <w:p w:rsidR="004A2A5D" w:rsidRPr="00D92207"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D92207">
        <w:rPr>
          <w:rFonts w:ascii="Times New Roman" w:hAnsi="Times New Roman" w:cs="Times New Roman"/>
          <w:b/>
          <w:bCs/>
          <w:sz w:val="24"/>
          <w:szCs w:val="24"/>
        </w:rPr>
        <w:t>Poids moyen d’une gousse (PG)</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permet de déceler une différence très hautement significative entre les populations et permet de dégager deux groupes homogènes. Le groupe A est constitué par les populations</w:t>
      </w:r>
      <w:r w:rsidR="00D95ED0">
        <w:rPr>
          <w:rFonts w:ascii="Times New Roman" w:hAnsi="Times New Roman" w:cs="Times New Roman"/>
          <w:sz w:val="24"/>
          <w:szCs w:val="24"/>
        </w:rPr>
        <w:t xml:space="preserve"> P6 et P2 avec respectivement 0,46 et 0,</w:t>
      </w:r>
      <w:r w:rsidR="000073AD">
        <w:rPr>
          <w:rFonts w:ascii="Times New Roman" w:hAnsi="Times New Roman" w:cs="Times New Roman"/>
          <w:sz w:val="24"/>
          <w:szCs w:val="24"/>
        </w:rPr>
        <w:t xml:space="preserve">42 </w:t>
      </w:r>
      <w:r w:rsidRPr="00EB0638">
        <w:rPr>
          <w:rFonts w:ascii="Times New Roman" w:hAnsi="Times New Roman" w:cs="Times New Roman"/>
          <w:sz w:val="24"/>
          <w:szCs w:val="24"/>
        </w:rPr>
        <w:t>g. Le groupe B est représenté par les populations P1, P3,</w:t>
      </w:r>
      <w:r w:rsidR="00D95ED0">
        <w:rPr>
          <w:rFonts w:ascii="Times New Roman" w:hAnsi="Times New Roman" w:cs="Times New Roman"/>
          <w:sz w:val="24"/>
          <w:szCs w:val="24"/>
        </w:rPr>
        <w:t xml:space="preserve"> P4 et P5 avec respectivement 0,36. 0,36. 0,37 et 0,</w:t>
      </w:r>
      <w:r w:rsidR="000073AD">
        <w:rPr>
          <w:rFonts w:ascii="Times New Roman" w:hAnsi="Times New Roman" w:cs="Times New Roman"/>
          <w:sz w:val="24"/>
          <w:szCs w:val="24"/>
        </w:rPr>
        <w:t xml:space="preserve">33 </w:t>
      </w:r>
      <w:r w:rsidRPr="00EB0638">
        <w:rPr>
          <w:rFonts w:ascii="Times New Roman" w:hAnsi="Times New Roman" w:cs="Times New Roman"/>
          <w:sz w:val="24"/>
          <w:szCs w:val="24"/>
        </w:rPr>
        <w:t>g (Fig. 33; Annexe 2).</w:t>
      </w:r>
    </w:p>
    <w:p w:rsidR="004A2A5D" w:rsidRPr="00EB0638"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Poids moyen des graines saines par gousse (PGRSG)</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valeur la plus importante de ce caractère est enregistrée par la population P6 a</w:t>
      </w:r>
      <w:r w:rsidR="00D92207">
        <w:rPr>
          <w:rFonts w:ascii="Times New Roman" w:hAnsi="Times New Roman" w:cs="Times New Roman"/>
          <w:sz w:val="24"/>
          <w:szCs w:val="24"/>
        </w:rPr>
        <w:t xml:space="preserve">vec 0.3 </w:t>
      </w:r>
      <w:r w:rsidRPr="00EB0638">
        <w:rPr>
          <w:rFonts w:ascii="Times New Roman" w:hAnsi="Times New Roman" w:cs="Times New Roman"/>
          <w:sz w:val="24"/>
          <w:szCs w:val="24"/>
        </w:rPr>
        <w:t>g et la valeur la plus faible est c</w:t>
      </w:r>
      <w:r w:rsidR="00D95ED0">
        <w:rPr>
          <w:rFonts w:ascii="Times New Roman" w:hAnsi="Times New Roman" w:cs="Times New Roman"/>
          <w:sz w:val="24"/>
          <w:szCs w:val="24"/>
        </w:rPr>
        <w:t>elle de la population P5 avec 0,</w:t>
      </w:r>
      <w:r w:rsidR="00952481">
        <w:rPr>
          <w:rFonts w:ascii="Times New Roman" w:hAnsi="Times New Roman" w:cs="Times New Roman"/>
          <w:sz w:val="24"/>
          <w:szCs w:val="24"/>
        </w:rPr>
        <w:t xml:space="preserve">17 </w:t>
      </w:r>
      <w:r w:rsidRPr="00EB0638">
        <w:rPr>
          <w:rFonts w:ascii="Times New Roman" w:hAnsi="Times New Roman" w:cs="Times New Roman"/>
          <w:sz w:val="24"/>
          <w:szCs w:val="24"/>
        </w:rPr>
        <w:t>g (Fig. 33).</w:t>
      </w:r>
    </w:p>
    <w:p w:rsidR="004A2A5D" w:rsidRPr="00EB0638" w:rsidRDefault="004A2A5D" w:rsidP="00235969">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L’analyse de variance permet de déceler une différence très hautement significative. La comparaison des moyennes a fait apparaître </w:t>
      </w:r>
      <w:r w:rsidR="00235969">
        <w:rPr>
          <w:rFonts w:ascii="Times New Roman" w:hAnsi="Times New Roman" w:cs="Times New Roman"/>
          <w:sz w:val="24"/>
          <w:szCs w:val="24"/>
        </w:rPr>
        <w:t>trois</w:t>
      </w:r>
      <w:r w:rsidRPr="00EB0638">
        <w:rPr>
          <w:rFonts w:ascii="Times New Roman" w:hAnsi="Times New Roman" w:cs="Times New Roman"/>
          <w:sz w:val="24"/>
          <w:szCs w:val="24"/>
        </w:rPr>
        <w:t xml:space="preserve"> groupes homogènes (Annexe 2).</w:t>
      </w:r>
    </w:p>
    <w:p w:rsidR="004A2A5D" w:rsidRPr="00EB0638"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Longueur moyenne de la gousse (LG)</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P6 présente la longueur moyenne de la go</w:t>
      </w:r>
      <w:r w:rsidR="00D95ED0">
        <w:rPr>
          <w:rFonts w:ascii="Times New Roman" w:hAnsi="Times New Roman" w:cs="Times New Roman"/>
          <w:sz w:val="24"/>
          <w:szCs w:val="24"/>
        </w:rPr>
        <w:t>usse la plus importante avec 10,</w:t>
      </w:r>
      <w:r w:rsidRPr="00EB0638">
        <w:rPr>
          <w:rFonts w:ascii="Times New Roman" w:hAnsi="Times New Roman" w:cs="Times New Roman"/>
          <w:sz w:val="24"/>
          <w:szCs w:val="24"/>
        </w:rPr>
        <w:t xml:space="preserve">85 cm ; par contre, la population P3 montre la valeur la plus faible de </w:t>
      </w:r>
      <w:r w:rsidR="00D95ED0">
        <w:rPr>
          <w:rFonts w:ascii="Times New Roman" w:hAnsi="Times New Roman" w:cs="Times New Roman"/>
          <w:sz w:val="24"/>
          <w:szCs w:val="24"/>
        </w:rPr>
        <w:t>la longueur de la gousse avec 9,</w:t>
      </w:r>
      <w:r w:rsidRPr="00EB0638">
        <w:rPr>
          <w:rFonts w:ascii="Times New Roman" w:hAnsi="Times New Roman" w:cs="Times New Roman"/>
          <w:sz w:val="24"/>
          <w:szCs w:val="24"/>
        </w:rPr>
        <w:t>08 cm (Fig. 34).</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montre qu’il y a une différence très hautement significative entre les populations. Aussi la comparaison des moyennes ré</w:t>
      </w:r>
      <w:r w:rsidR="000B05E5">
        <w:rPr>
          <w:rFonts w:ascii="Times New Roman" w:hAnsi="Times New Roman" w:cs="Times New Roman"/>
          <w:sz w:val="24"/>
          <w:szCs w:val="24"/>
        </w:rPr>
        <w:t>alisée permet de déterminer trois</w:t>
      </w:r>
      <w:r w:rsidRPr="00EB0638">
        <w:rPr>
          <w:rFonts w:ascii="Times New Roman" w:hAnsi="Times New Roman" w:cs="Times New Roman"/>
          <w:sz w:val="24"/>
          <w:szCs w:val="24"/>
        </w:rPr>
        <w:t xml:space="preserve"> groupes qui se chevauchent (Annexe 2).</w:t>
      </w:r>
    </w:p>
    <w:p w:rsidR="004A2A5D" w:rsidRPr="00EB0638" w:rsidRDefault="004A2A5D" w:rsidP="00AD6B8B">
      <w:pPr>
        <w:pStyle w:val="Paragraphedeliste"/>
        <w:numPr>
          <w:ilvl w:val="0"/>
          <w:numId w:val="3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Diamètre moyen de la gousse (DG)</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de ce caractère indique une différence significative entre les populations et permet de faire ressortir deux groupes homogènes. Le groupe A est constitué par les populations P6 et P2, et le groupe B est représenté par la population P3. Les populations P1, P4 et P5 sont regroupées dans le groupe chevauchant AB (Fig. 35 ; Annexe 2).</w:t>
      </w:r>
    </w:p>
    <w:p w:rsidR="00F956A6" w:rsidRPr="00EB0638" w:rsidRDefault="004A2A5D" w:rsidP="00F956A6">
      <w:pPr>
        <w:keepNext/>
      </w:pPr>
      <w:r w:rsidRPr="00EB0638">
        <w:rPr>
          <w:rFonts w:ascii="Times New Roman" w:hAnsi="Times New Roman" w:cs="Times New Roman"/>
          <w:sz w:val="24"/>
          <w:szCs w:val="24"/>
        </w:rPr>
        <w:lastRenderedPageBreak/>
        <w:t xml:space="preserve">         </w:t>
      </w:r>
      <w:r w:rsidR="00C84AB1">
        <w:rPr>
          <w:rFonts w:ascii="Times New Roman" w:hAnsi="Times New Roman" w:cs="Times New Roman"/>
          <w:sz w:val="24"/>
          <w:szCs w:val="24"/>
        </w:rPr>
        <w:t xml:space="preserve">  </w:t>
      </w:r>
      <w:r w:rsidRPr="00EB0638">
        <w:rPr>
          <w:rFonts w:ascii="Times New Roman" w:hAnsi="Times New Roman" w:cs="Times New Roman"/>
          <w:noProof/>
          <w:sz w:val="24"/>
          <w:szCs w:val="24"/>
        </w:rPr>
        <w:drawing>
          <wp:inline distT="0" distB="0" distL="0" distR="0">
            <wp:extent cx="5400000" cy="2336623"/>
            <wp:effectExtent l="19050" t="0" r="10200" b="6527"/>
            <wp:docPr id="9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A2A5D" w:rsidRPr="00EB0638" w:rsidRDefault="009A264F" w:rsidP="00463B12">
      <w:pPr>
        <w:pStyle w:val="Lgende"/>
        <w:spacing w:before="240"/>
        <w:jc w:val="center"/>
        <w:rPr>
          <w:rFonts w:asciiTheme="majorBidi" w:hAnsiTheme="majorBidi" w:cstheme="majorBidi"/>
          <w:color w:val="auto"/>
          <w:sz w:val="24"/>
          <w:szCs w:val="24"/>
        </w:rPr>
      </w:pPr>
      <w:bookmarkStart w:id="1470" w:name="_Toc252194970"/>
      <w:r w:rsidRPr="002F4810">
        <w:rPr>
          <w:rFonts w:asciiTheme="majorBidi" w:hAnsiTheme="majorBidi" w:cstheme="majorBidi"/>
          <w:color w:val="auto"/>
          <w:sz w:val="24"/>
          <w:szCs w:val="24"/>
        </w:rPr>
        <w:t xml:space="preserve">Fig. </w:t>
      </w:r>
      <w:r w:rsidR="00811D6A" w:rsidRPr="002F4810">
        <w:rPr>
          <w:rFonts w:asciiTheme="majorBidi" w:hAnsiTheme="majorBidi" w:cstheme="majorBidi"/>
          <w:color w:val="auto"/>
          <w:sz w:val="24"/>
          <w:szCs w:val="24"/>
        </w:rPr>
        <w:fldChar w:fldCharType="begin"/>
      </w:r>
      <w:r w:rsidRPr="002F4810">
        <w:rPr>
          <w:rFonts w:asciiTheme="majorBidi" w:hAnsiTheme="majorBidi" w:cstheme="majorBidi"/>
          <w:color w:val="auto"/>
          <w:sz w:val="24"/>
          <w:szCs w:val="24"/>
        </w:rPr>
        <w:instrText xml:space="preserve"> SEQ Figure \* ARABIC </w:instrText>
      </w:r>
      <w:r w:rsidR="00811D6A" w:rsidRPr="002F4810">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33</w:t>
      </w:r>
      <w:r w:rsidR="00811D6A" w:rsidRPr="002F4810">
        <w:rPr>
          <w:rFonts w:asciiTheme="majorBidi" w:hAnsiTheme="majorBidi" w:cstheme="majorBidi"/>
          <w:color w:val="auto"/>
          <w:sz w:val="24"/>
          <w:szCs w:val="24"/>
        </w:rPr>
        <w:fldChar w:fldCharType="end"/>
      </w:r>
      <w:r w:rsidRPr="002F4810">
        <w:rPr>
          <w:rFonts w:asciiTheme="majorBidi" w:hAnsiTheme="majorBidi" w:cstheme="majorBidi"/>
          <w:color w:val="auto"/>
          <w:sz w:val="24"/>
          <w:szCs w:val="24"/>
        </w:rPr>
        <w:t>:Poids moyen d’une gousse (PG) et de graines</w:t>
      </w:r>
      <w:r w:rsidR="000073AD" w:rsidRPr="002F4810">
        <w:rPr>
          <w:rFonts w:asciiTheme="majorBidi" w:hAnsiTheme="majorBidi" w:cstheme="majorBidi"/>
          <w:color w:val="auto"/>
          <w:sz w:val="24"/>
          <w:szCs w:val="24"/>
        </w:rPr>
        <w:t xml:space="preserve"> saines par gousse (PGRSG) en (</w:t>
      </w:r>
      <w:r w:rsidRPr="002F4810">
        <w:rPr>
          <w:rFonts w:asciiTheme="majorBidi" w:hAnsiTheme="majorBidi" w:cstheme="majorBidi"/>
          <w:color w:val="auto"/>
          <w:sz w:val="24"/>
          <w:szCs w:val="24"/>
        </w:rPr>
        <w:t>g).</w:t>
      </w:r>
      <w:bookmarkEnd w:id="1470"/>
    </w:p>
    <w:p w:rsidR="00F956A6" w:rsidRPr="00EB0638" w:rsidRDefault="004A2A5D" w:rsidP="00F956A6">
      <w:pPr>
        <w:keepNext/>
        <w:spacing w:after="120" w:line="360" w:lineRule="auto"/>
        <w:jc w:val="center"/>
      </w:pPr>
      <w:r w:rsidRPr="00EB0638">
        <w:rPr>
          <w:rFonts w:ascii="Times New Roman" w:hAnsi="Times New Roman" w:cs="Times New Roman"/>
          <w:noProof/>
          <w:sz w:val="24"/>
          <w:szCs w:val="24"/>
        </w:rPr>
        <w:drawing>
          <wp:inline distT="0" distB="0" distL="0" distR="0">
            <wp:extent cx="5397699" cy="2341937"/>
            <wp:effectExtent l="19050" t="0" r="12501" b="1213"/>
            <wp:docPr id="9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A2A5D" w:rsidRPr="00EB0638" w:rsidRDefault="009A264F" w:rsidP="00463B12">
      <w:pPr>
        <w:pStyle w:val="Lgende"/>
        <w:spacing w:before="240"/>
        <w:jc w:val="center"/>
        <w:rPr>
          <w:rFonts w:asciiTheme="majorBidi" w:hAnsiTheme="majorBidi" w:cstheme="majorBidi"/>
          <w:color w:val="auto"/>
          <w:sz w:val="24"/>
          <w:szCs w:val="24"/>
        </w:rPr>
      </w:pPr>
      <w:bookmarkStart w:id="1471" w:name="_Toc252194971"/>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34</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:Longueur moyenne de la gousse en cm.</w:t>
      </w:r>
      <w:bookmarkEnd w:id="1471"/>
    </w:p>
    <w:p w:rsidR="00F956A6" w:rsidRPr="00EB0638" w:rsidRDefault="004A2A5D" w:rsidP="00F956A6">
      <w:pPr>
        <w:keepNext/>
        <w:spacing w:after="120" w:line="360" w:lineRule="auto"/>
        <w:jc w:val="center"/>
      </w:pPr>
      <w:r w:rsidRPr="00EB0638">
        <w:rPr>
          <w:rFonts w:ascii="Times New Roman" w:hAnsi="Times New Roman" w:cs="Times New Roman"/>
          <w:noProof/>
          <w:sz w:val="24"/>
          <w:szCs w:val="24"/>
        </w:rPr>
        <w:drawing>
          <wp:inline distT="0" distB="0" distL="0" distR="0">
            <wp:extent cx="5397699" cy="2382465"/>
            <wp:effectExtent l="19050" t="0" r="12501" b="0"/>
            <wp:docPr id="93"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A2A5D" w:rsidRPr="00EB0638" w:rsidRDefault="009A264F" w:rsidP="00463B12">
      <w:pPr>
        <w:pStyle w:val="Lgende"/>
        <w:spacing w:before="240"/>
        <w:jc w:val="center"/>
        <w:rPr>
          <w:rFonts w:asciiTheme="majorBidi" w:hAnsiTheme="majorBidi" w:cstheme="majorBidi"/>
          <w:color w:val="auto"/>
          <w:sz w:val="24"/>
          <w:szCs w:val="24"/>
        </w:rPr>
      </w:pPr>
      <w:bookmarkStart w:id="1472" w:name="_Toc252194972"/>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35</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:Diamètre moyen de la gousse en (mm).</w:t>
      </w:r>
      <w:bookmarkEnd w:id="1472"/>
    </w:p>
    <w:p w:rsidR="004A2A5D" w:rsidRPr="00EB0638" w:rsidRDefault="004A2A5D" w:rsidP="004A2A5D">
      <w:pPr>
        <w:spacing w:line="360" w:lineRule="auto"/>
        <w:rPr>
          <w:rFonts w:ascii="Times New Roman" w:hAnsi="Times New Roman" w:cs="Times New Roman"/>
          <w:b/>
          <w:bCs/>
          <w:sz w:val="24"/>
          <w:szCs w:val="24"/>
        </w:rPr>
      </w:pPr>
    </w:p>
    <w:p w:rsidR="00C84AB1" w:rsidRPr="00EB0638" w:rsidRDefault="00C84AB1" w:rsidP="00C84AB1">
      <w:pPr>
        <w:spacing w:line="360" w:lineRule="auto"/>
        <w:jc w:val="both"/>
        <w:rPr>
          <w:rFonts w:ascii="Times New Roman" w:hAnsi="Times New Roman" w:cs="Times New Roman"/>
          <w:sz w:val="24"/>
          <w:szCs w:val="24"/>
        </w:rPr>
      </w:pPr>
    </w:p>
    <w:p w:rsidR="004A2A5D" w:rsidRPr="002F4810" w:rsidRDefault="004A2A5D" w:rsidP="00C84AB1">
      <w:pPr>
        <w:pStyle w:val="Paragraphedeliste"/>
        <w:numPr>
          <w:ilvl w:val="0"/>
          <w:numId w:val="37"/>
        </w:numPr>
        <w:spacing w:before="240" w:line="360" w:lineRule="auto"/>
        <w:jc w:val="both"/>
        <w:rPr>
          <w:rFonts w:ascii="Times New Roman" w:hAnsi="Times New Roman" w:cs="Times New Roman"/>
          <w:b/>
          <w:bCs/>
          <w:sz w:val="24"/>
          <w:szCs w:val="24"/>
        </w:rPr>
      </w:pPr>
      <w:r w:rsidRPr="002F4810">
        <w:rPr>
          <w:rFonts w:ascii="Times New Roman" w:hAnsi="Times New Roman" w:cs="Times New Roman"/>
          <w:b/>
          <w:bCs/>
          <w:sz w:val="24"/>
          <w:szCs w:val="24"/>
        </w:rPr>
        <w:t>Nombre</w:t>
      </w:r>
      <w:r w:rsidR="00642D70" w:rsidRPr="002F4810">
        <w:rPr>
          <w:rFonts w:ascii="Times New Roman" w:hAnsi="Times New Roman" w:cs="Times New Roman"/>
          <w:b/>
          <w:bCs/>
          <w:sz w:val="24"/>
          <w:szCs w:val="24"/>
        </w:rPr>
        <w:t xml:space="preserve"> moyen</w:t>
      </w:r>
      <w:r w:rsidRPr="002F4810">
        <w:rPr>
          <w:rFonts w:ascii="Times New Roman" w:hAnsi="Times New Roman" w:cs="Times New Roman"/>
          <w:b/>
          <w:bCs/>
          <w:sz w:val="24"/>
          <w:szCs w:val="24"/>
        </w:rPr>
        <w:t xml:space="preserve"> total de graines par gousse (NTGR)</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moyenne de ce caractère varie de</w:t>
      </w:r>
      <w:r w:rsidR="00D95ED0">
        <w:rPr>
          <w:rFonts w:ascii="Times New Roman" w:hAnsi="Times New Roman" w:cs="Times New Roman"/>
          <w:sz w:val="24"/>
          <w:szCs w:val="24"/>
        </w:rPr>
        <w:t xml:space="preserve"> 16,9 pour la population P2 à 13,</w:t>
      </w:r>
      <w:r w:rsidR="009829AA">
        <w:rPr>
          <w:rFonts w:ascii="Times New Roman" w:hAnsi="Times New Roman" w:cs="Times New Roman"/>
          <w:sz w:val="24"/>
          <w:szCs w:val="24"/>
        </w:rPr>
        <w:t>86</w:t>
      </w:r>
      <w:r w:rsidRPr="00EB0638">
        <w:rPr>
          <w:rFonts w:ascii="Times New Roman" w:hAnsi="Times New Roman" w:cs="Times New Roman"/>
          <w:sz w:val="24"/>
          <w:szCs w:val="24"/>
        </w:rPr>
        <w:t xml:space="preserve"> pour la popul</w:t>
      </w:r>
      <w:r w:rsidR="009829AA">
        <w:rPr>
          <w:rFonts w:ascii="Times New Roman" w:hAnsi="Times New Roman" w:cs="Times New Roman"/>
          <w:sz w:val="24"/>
          <w:szCs w:val="24"/>
        </w:rPr>
        <w:t>ation P5</w:t>
      </w:r>
      <w:r w:rsidRPr="00EB0638">
        <w:rPr>
          <w:rFonts w:ascii="Times New Roman" w:hAnsi="Times New Roman" w:cs="Times New Roman"/>
          <w:sz w:val="24"/>
          <w:szCs w:val="24"/>
        </w:rPr>
        <w:t>.</w:t>
      </w:r>
    </w:p>
    <w:p w:rsidR="004A2A5D"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montre une différence très hautement significative entre les populations (Annexe 2). La comparaison des moyennes permet de déterminer deux groupes homogènes. Le groupe A qui est représenté par la population P2 ; le groupe B qui est représenté par les populations P1, P3, P4, P5 et P6 (Fig. 36).</w:t>
      </w:r>
    </w:p>
    <w:p w:rsidR="00C84AB1" w:rsidRPr="00EB0638" w:rsidRDefault="00C84AB1" w:rsidP="00C84AB1">
      <w:pPr>
        <w:pStyle w:val="Paragraphedeliste"/>
        <w:numPr>
          <w:ilvl w:val="0"/>
          <w:numId w:val="37"/>
        </w:num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graines saines par gousse (NGRS)</w:t>
      </w:r>
    </w:p>
    <w:p w:rsidR="00C84AB1" w:rsidRDefault="00C84AB1" w:rsidP="00C84AB1">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résultats sont présentés dans la figure 36 ; l’analyse de variance montre une différence très hautement significative entre les populations étudiées (Annexe 2). Le test Newman et Keuls a décelé quatre groupes homogènes. Les groupes B et C se chevauchen</w:t>
      </w:r>
      <w:r>
        <w:rPr>
          <w:rFonts w:ascii="Times New Roman" w:hAnsi="Times New Roman" w:cs="Times New Roman"/>
          <w:sz w:val="24"/>
          <w:szCs w:val="24"/>
        </w:rPr>
        <w:t>t.</w:t>
      </w:r>
      <w:r w:rsidRPr="00EB0638">
        <w:rPr>
          <w:rFonts w:ascii="Times New Roman" w:hAnsi="Times New Roman" w:cs="Times New Roman"/>
          <w:sz w:val="24"/>
          <w:szCs w:val="24"/>
        </w:rPr>
        <w:t xml:space="preserve"> La population P2 est caractérisée par la valeur</w:t>
      </w:r>
      <w:r w:rsidR="00D95ED0">
        <w:rPr>
          <w:rFonts w:ascii="Times New Roman" w:hAnsi="Times New Roman" w:cs="Times New Roman"/>
          <w:sz w:val="24"/>
          <w:szCs w:val="24"/>
        </w:rPr>
        <w:t xml:space="preserve"> moyenne la plus élevée soit 15,</w:t>
      </w:r>
      <w:r w:rsidRPr="00EB0638">
        <w:rPr>
          <w:rFonts w:ascii="Times New Roman" w:hAnsi="Times New Roman" w:cs="Times New Roman"/>
          <w:sz w:val="24"/>
          <w:szCs w:val="24"/>
        </w:rPr>
        <w:t>57 graines. Par contre La population P5 est caractérisée par la valeu</w:t>
      </w:r>
      <w:r w:rsidR="00D95ED0">
        <w:rPr>
          <w:rFonts w:ascii="Times New Roman" w:hAnsi="Times New Roman" w:cs="Times New Roman"/>
          <w:sz w:val="24"/>
          <w:szCs w:val="24"/>
        </w:rPr>
        <w:t>r moyenne la plus faible soit 9,</w:t>
      </w:r>
      <w:r w:rsidRPr="00EB0638">
        <w:rPr>
          <w:rFonts w:ascii="Times New Roman" w:hAnsi="Times New Roman" w:cs="Times New Roman"/>
          <w:sz w:val="24"/>
          <w:szCs w:val="24"/>
        </w:rPr>
        <w:t xml:space="preserve">58 graines. </w:t>
      </w:r>
    </w:p>
    <w:p w:rsidR="00C84AB1" w:rsidRPr="00EB0638" w:rsidRDefault="00C84AB1" w:rsidP="00C84AB1">
      <w:pPr>
        <w:pStyle w:val="Paragraphedeliste"/>
        <w:numPr>
          <w:ilvl w:val="0"/>
          <w:numId w:val="37"/>
        </w:num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graines avortées et échaudées par gousse (NGRAE)</w:t>
      </w:r>
    </w:p>
    <w:p w:rsidR="00C84AB1" w:rsidRPr="00EB0638" w:rsidRDefault="00C84AB1" w:rsidP="00C84AB1">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permet de déceler une différence très hautement significative entre les populations et permet de dégager deux groupes homogènes. Le groupe A est consti</w:t>
      </w:r>
      <w:r w:rsidR="00D95ED0">
        <w:rPr>
          <w:rFonts w:ascii="Times New Roman" w:hAnsi="Times New Roman" w:cs="Times New Roman"/>
          <w:sz w:val="24"/>
          <w:szCs w:val="24"/>
        </w:rPr>
        <w:t>tué par la population P5 avec 4,</w:t>
      </w:r>
      <w:r w:rsidRPr="00EB0638">
        <w:rPr>
          <w:rFonts w:ascii="Times New Roman" w:hAnsi="Times New Roman" w:cs="Times New Roman"/>
          <w:sz w:val="24"/>
          <w:szCs w:val="24"/>
        </w:rPr>
        <w:t>1. Le groupe B est représenté par les populations P1, P2, P3,</w:t>
      </w:r>
      <w:r w:rsidR="00D95ED0">
        <w:rPr>
          <w:rFonts w:ascii="Times New Roman" w:hAnsi="Times New Roman" w:cs="Times New Roman"/>
          <w:sz w:val="24"/>
          <w:szCs w:val="24"/>
        </w:rPr>
        <w:t xml:space="preserve"> P4 et P6 avec respectivement 2,05. 1,33. 1,63. 2,4 et 1,</w:t>
      </w:r>
      <w:r w:rsidRPr="00EB0638">
        <w:rPr>
          <w:rFonts w:ascii="Times New Roman" w:hAnsi="Times New Roman" w:cs="Times New Roman"/>
          <w:sz w:val="24"/>
          <w:szCs w:val="24"/>
        </w:rPr>
        <w:t>13 graines avortées et échaudées (Fig. 36 ; Annexe 2).</w:t>
      </w:r>
    </w:p>
    <w:p w:rsidR="004A2A5D" w:rsidRPr="00EB0638" w:rsidRDefault="004A2A5D" w:rsidP="00C84AB1">
      <w:pPr>
        <w:pStyle w:val="Paragraphedeliste"/>
        <w:numPr>
          <w:ilvl w:val="0"/>
          <w:numId w:val="37"/>
        </w:num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t>Poids moyen de 1000 graines (P1000)</w:t>
      </w:r>
    </w:p>
    <w:p w:rsidR="004A2A5D" w:rsidRPr="00EB0638" w:rsidRDefault="004A2A5D" w:rsidP="00DE5010">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valeur moyenne générale d</w:t>
      </w:r>
      <w:r w:rsidR="00D95ED0">
        <w:rPr>
          <w:rFonts w:ascii="Times New Roman" w:hAnsi="Times New Roman" w:cs="Times New Roman"/>
          <w:sz w:val="24"/>
          <w:szCs w:val="24"/>
        </w:rPr>
        <w:t xml:space="preserve">u poids de mille graines est </w:t>
      </w:r>
      <w:r w:rsidR="008F5138">
        <w:rPr>
          <w:rFonts w:ascii="Times New Roman" w:hAnsi="Times New Roman" w:cs="Times New Roman"/>
          <w:sz w:val="24"/>
          <w:szCs w:val="24"/>
        </w:rPr>
        <w:t xml:space="preserve">de </w:t>
      </w:r>
      <w:r w:rsidR="00D95ED0">
        <w:rPr>
          <w:rFonts w:ascii="Times New Roman" w:hAnsi="Times New Roman" w:cs="Times New Roman"/>
          <w:sz w:val="24"/>
          <w:szCs w:val="24"/>
        </w:rPr>
        <w:t>18,</w:t>
      </w:r>
      <w:r w:rsidR="00952481">
        <w:rPr>
          <w:rFonts w:ascii="Times New Roman" w:hAnsi="Times New Roman" w:cs="Times New Roman"/>
          <w:sz w:val="24"/>
          <w:szCs w:val="24"/>
        </w:rPr>
        <w:t xml:space="preserve">25 </w:t>
      </w:r>
      <w:r w:rsidRPr="00EB0638">
        <w:rPr>
          <w:rFonts w:ascii="Times New Roman" w:hAnsi="Times New Roman" w:cs="Times New Roman"/>
          <w:sz w:val="24"/>
          <w:szCs w:val="24"/>
        </w:rPr>
        <w:t>g, avec la population P6 qui</w:t>
      </w:r>
      <w:r w:rsidR="00D95ED0">
        <w:rPr>
          <w:rFonts w:ascii="Times New Roman" w:hAnsi="Times New Roman" w:cs="Times New Roman"/>
          <w:sz w:val="24"/>
          <w:szCs w:val="24"/>
        </w:rPr>
        <w:t xml:space="preserve"> présente le meilleur poids (22,</w:t>
      </w:r>
      <w:r w:rsidR="00952481">
        <w:rPr>
          <w:rFonts w:ascii="Times New Roman" w:hAnsi="Times New Roman" w:cs="Times New Roman"/>
          <w:sz w:val="24"/>
          <w:szCs w:val="24"/>
        </w:rPr>
        <w:t xml:space="preserve">32 </w:t>
      </w:r>
      <w:r w:rsidRPr="00EB0638">
        <w:rPr>
          <w:rFonts w:ascii="Times New Roman" w:hAnsi="Times New Roman" w:cs="Times New Roman"/>
          <w:sz w:val="24"/>
          <w:szCs w:val="24"/>
        </w:rPr>
        <w:t>g). Par contre la population P3 a donné le</w:t>
      </w:r>
      <w:r w:rsidR="00D95ED0">
        <w:rPr>
          <w:rFonts w:ascii="Times New Roman" w:hAnsi="Times New Roman" w:cs="Times New Roman"/>
          <w:sz w:val="24"/>
          <w:szCs w:val="24"/>
        </w:rPr>
        <w:t xml:space="preserve"> poids moyen le plus faible (16,</w:t>
      </w:r>
      <w:r w:rsidR="00952481">
        <w:rPr>
          <w:rFonts w:ascii="Times New Roman" w:hAnsi="Times New Roman" w:cs="Times New Roman"/>
          <w:sz w:val="24"/>
          <w:szCs w:val="24"/>
        </w:rPr>
        <w:t xml:space="preserve">4 </w:t>
      </w:r>
      <w:r w:rsidRPr="00EB0638">
        <w:rPr>
          <w:rFonts w:ascii="Times New Roman" w:hAnsi="Times New Roman" w:cs="Times New Roman"/>
          <w:sz w:val="24"/>
          <w:szCs w:val="24"/>
        </w:rPr>
        <w:t>g) (Fig. 37).</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montre qu’il y a une différence très hautement significative entre les populations Aussi la comparaison des moyennes réalisée permet de déterminer trois groupes homogènes (Fig. 37 ; Annexe 2).</w:t>
      </w:r>
    </w:p>
    <w:p w:rsidR="004A2A5D" w:rsidRPr="00EB0638" w:rsidRDefault="004A2A5D" w:rsidP="00C84AB1">
      <w:pPr>
        <w:pStyle w:val="Paragraphedeliste"/>
        <w:numPr>
          <w:ilvl w:val="0"/>
          <w:numId w:val="37"/>
        </w:num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t>Rendement moyen en graines estimé par parcelle (RGP) </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rendent moyen en graines estimé par parcelle est un caractère non variable entre les populations étudiées.</w:t>
      </w:r>
    </w:p>
    <w:p w:rsidR="00FA1011" w:rsidRPr="00EB0638" w:rsidRDefault="004A2A5D" w:rsidP="00FA1011">
      <w:pPr>
        <w:keepNext/>
        <w:spacing w:after="120" w:line="360" w:lineRule="auto"/>
        <w:jc w:val="center"/>
      </w:pPr>
      <w:r w:rsidRPr="00EB0638">
        <w:rPr>
          <w:rFonts w:ascii="Times New Roman" w:hAnsi="Times New Roman" w:cs="Times New Roman"/>
          <w:noProof/>
          <w:sz w:val="24"/>
          <w:szCs w:val="24"/>
        </w:rPr>
        <w:lastRenderedPageBreak/>
        <w:drawing>
          <wp:inline distT="0" distB="0" distL="0" distR="0">
            <wp:extent cx="5328167" cy="2456121"/>
            <wp:effectExtent l="19050" t="0" r="24883" b="1329"/>
            <wp:docPr id="94"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A2A5D" w:rsidRPr="00EB0638" w:rsidRDefault="009A264F" w:rsidP="00463B12">
      <w:pPr>
        <w:pStyle w:val="Lgende"/>
        <w:spacing w:before="240"/>
        <w:jc w:val="center"/>
        <w:rPr>
          <w:rFonts w:asciiTheme="majorBidi" w:hAnsiTheme="majorBidi" w:cstheme="majorBidi"/>
          <w:color w:val="auto"/>
          <w:sz w:val="24"/>
          <w:szCs w:val="24"/>
        </w:rPr>
      </w:pPr>
      <w:bookmarkStart w:id="1473" w:name="_Toc252194973"/>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36</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:Nombre moyen de graines (total, saines, avortées et échaudées) par gousse.</w:t>
      </w:r>
      <w:bookmarkEnd w:id="1473"/>
    </w:p>
    <w:p w:rsidR="00FC605A" w:rsidRPr="00EB0638" w:rsidRDefault="004A2A5D" w:rsidP="00FC605A">
      <w:pPr>
        <w:keepNext/>
        <w:spacing w:after="120" w:line="360" w:lineRule="auto"/>
        <w:jc w:val="center"/>
      </w:pPr>
      <w:r w:rsidRPr="00EB0638">
        <w:rPr>
          <w:rFonts w:ascii="Times New Roman" w:hAnsi="Times New Roman" w:cs="Times New Roman"/>
          <w:noProof/>
          <w:sz w:val="24"/>
          <w:szCs w:val="24"/>
        </w:rPr>
        <w:drawing>
          <wp:inline distT="0" distB="0" distL="0" distR="0">
            <wp:extent cx="5397699" cy="2343207"/>
            <wp:effectExtent l="19050" t="0" r="12501" b="0"/>
            <wp:docPr id="95"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A2A5D" w:rsidRPr="00EB0638" w:rsidRDefault="009A264F" w:rsidP="00463B12">
      <w:pPr>
        <w:pStyle w:val="Lgende"/>
        <w:spacing w:before="240"/>
        <w:jc w:val="center"/>
        <w:rPr>
          <w:rFonts w:asciiTheme="majorBidi" w:hAnsiTheme="majorBidi" w:cstheme="majorBidi"/>
          <w:color w:val="auto"/>
          <w:sz w:val="24"/>
          <w:szCs w:val="24"/>
        </w:rPr>
      </w:pPr>
      <w:bookmarkStart w:id="1474" w:name="_Toc252194974"/>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37</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:Poids moyen d</w:t>
      </w:r>
      <w:r w:rsidR="00952481">
        <w:rPr>
          <w:rFonts w:asciiTheme="majorBidi" w:hAnsiTheme="majorBidi" w:cstheme="majorBidi"/>
          <w:color w:val="auto"/>
          <w:sz w:val="24"/>
          <w:szCs w:val="24"/>
        </w:rPr>
        <w:t>e 1000 graines en (</w:t>
      </w:r>
      <w:r w:rsidRPr="00EB0638">
        <w:rPr>
          <w:rFonts w:asciiTheme="majorBidi" w:hAnsiTheme="majorBidi" w:cstheme="majorBidi"/>
          <w:color w:val="auto"/>
          <w:sz w:val="24"/>
          <w:szCs w:val="24"/>
        </w:rPr>
        <w:t>g).</w:t>
      </w:r>
      <w:bookmarkEnd w:id="1474"/>
    </w:p>
    <w:p w:rsidR="00FC605A" w:rsidRPr="00EB0638" w:rsidRDefault="004A2A5D" w:rsidP="00FC605A">
      <w:pPr>
        <w:keepNext/>
        <w:spacing w:after="120" w:line="360" w:lineRule="auto"/>
        <w:jc w:val="center"/>
      </w:pPr>
      <w:r w:rsidRPr="00EB0638">
        <w:rPr>
          <w:rFonts w:ascii="Times New Roman" w:hAnsi="Times New Roman" w:cs="Times New Roman"/>
          <w:b/>
          <w:bCs/>
          <w:noProof/>
          <w:sz w:val="24"/>
          <w:szCs w:val="24"/>
        </w:rPr>
        <w:drawing>
          <wp:inline distT="0" distB="0" distL="0" distR="0">
            <wp:extent cx="5397699" cy="2229032"/>
            <wp:effectExtent l="19050" t="0" r="12501" b="0"/>
            <wp:docPr id="96"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A2A5D" w:rsidRPr="00EB0638" w:rsidRDefault="009A264F" w:rsidP="00463B12">
      <w:pPr>
        <w:pStyle w:val="Lgende"/>
        <w:spacing w:before="240"/>
        <w:jc w:val="center"/>
        <w:rPr>
          <w:rFonts w:asciiTheme="majorBidi" w:hAnsiTheme="majorBidi" w:cstheme="majorBidi"/>
          <w:color w:val="auto"/>
          <w:sz w:val="24"/>
          <w:szCs w:val="24"/>
        </w:rPr>
      </w:pPr>
      <w:bookmarkStart w:id="1475" w:name="_Toc252194975"/>
      <w:r w:rsidRPr="002F4810">
        <w:rPr>
          <w:rFonts w:asciiTheme="majorBidi" w:hAnsiTheme="majorBidi" w:cstheme="majorBidi"/>
          <w:color w:val="auto"/>
          <w:sz w:val="24"/>
          <w:szCs w:val="24"/>
        </w:rPr>
        <w:t xml:space="preserve">Fig. </w:t>
      </w:r>
      <w:r w:rsidR="00811D6A" w:rsidRPr="002F4810">
        <w:rPr>
          <w:rFonts w:asciiTheme="majorBidi" w:hAnsiTheme="majorBidi" w:cstheme="majorBidi"/>
          <w:color w:val="auto"/>
          <w:sz w:val="24"/>
          <w:szCs w:val="24"/>
        </w:rPr>
        <w:fldChar w:fldCharType="begin"/>
      </w:r>
      <w:r w:rsidRPr="002F4810">
        <w:rPr>
          <w:rFonts w:asciiTheme="majorBidi" w:hAnsiTheme="majorBidi" w:cstheme="majorBidi"/>
          <w:color w:val="auto"/>
          <w:sz w:val="24"/>
          <w:szCs w:val="24"/>
        </w:rPr>
        <w:instrText xml:space="preserve"> SEQ Figure \* ARABIC </w:instrText>
      </w:r>
      <w:r w:rsidR="00811D6A" w:rsidRPr="002F4810">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38</w:t>
      </w:r>
      <w:r w:rsidR="00811D6A" w:rsidRPr="002F4810">
        <w:rPr>
          <w:rFonts w:asciiTheme="majorBidi" w:hAnsiTheme="majorBidi" w:cstheme="majorBidi"/>
          <w:color w:val="auto"/>
          <w:sz w:val="24"/>
          <w:szCs w:val="24"/>
        </w:rPr>
        <w:fldChar w:fldCharType="end"/>
      </w:r>
      <w:r w:rsidRPr="002F4810">
        <w:rPr>
          <w:rFonts w:asciiTheme="majorBidi" w:hAnsiTheme="majorBidi" w:cstheme="majorBidi"/>
          <w:color w:val="auto"/>
          <w:sz w:val="24"/>
          <w:szCs w:val="24"/>
        </w:rPr>
        <w:t>:Rendement moyen en graines estimé par parcelle en (kg).</w:t>
      </w:r>
      <w:bookmarkEnd w:id="1475"/>
    </w:p>
    <w:p w:rsidR="009A264F" w:rsidRPr="00EB0638" w:rsidRDefault="009A264F" w:rsidP="009A264F"/>
    <w:p w:rsidR="004A2A5D" w:rsidRPr="00EB0638" w:rsidRDefault="004A2A5D" w:rsidP="004A2A5D">
      <w:pPr>
        <w:tabs>
          <w:tab w:val="center" w:pos="5102"/>
          <w:tab w:val="left" w:pos="8939"/>
        </w:tabs>
        <w:spacing w:line="360" w:lineRule="auto"/>
        <w:jc w:val="center"/>
        <w:rPr>
          <w:rFonts w:ascii="Times New Roman" w:hAnsi="Times New Roman" w:cs="Times New Roman"/>
          <w:b/>
          <w:bCs/>
          <w:sz w:val="24"/>
          <w:szCs w:val="24"/>
        </w:rPr>
      </w:pP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de ce caractère indique une différence non significative entre les populations (Fig. 38 ; Annexe 2).</w:t>
      </w:r>
    </w:p>
    <w:p w:rsidR="004A2A5D" w:rsidRPr="00EB0638" w:rsidRDefault="004A2A5D" w:rsidP="00AD6B8B">
      <w:pPr>
        <w:pStyle w:val="Titre1"/>
        <w:numPr>
          <w:ilvl w:val="0"/>
          <w:numId w:val="48"/>
        </w:numPr>
        <w:spacing w:after="240" w:line="360" w:lineRule="auto"/>
        <w:rPr>
          <w:rFonts w:ascii="Times New Roman" w:hAnsi="Times New Roman"/>
          <w:color w:val="auto"/>
        </w:rPr>
      </w:pPr>
      <w:bookmarkStart w:id="1476" w:name="_Toc126575301"/>
      <w:bookmarkStart w:id="1477" w:name="_Toc126575982"/>
      <w:bookmarkStart w:id="1478" w:name="_Toc126576857"/>
      <w:bookmarkStart w:id="1479" w:name="_Toc252094066"/>
      <w:bookmarkStart w:id="1480" w:name="_Toc252365455"/>
      <w:bookmarkStart w:id="1481" w:name="_Toc252365726"/>
      <w:bookmarkStart w:id="1482" w:name="_Toc252366271"/>
      <w:r w:rsidRPr="00EB0638">
        <w:rPr>
          <w:rFonts w:ascii="Times New Roman" w:hAnsi="Times New Roman"/>
          <w:color w:val="auto"/>
        </w:rPr>
        <w:t>Matrice des corrélations</w:t>
      </w:r>
      <w:bookmarkEnd w:id="1476"/>
      <w:bookmarkEnd w:id="1477"/>
      <w:bookmarkEnd w:id="1478"/>
      <w:bookmarkEnd w:id="1479"/>
      <w:bookmarkEnd w:id="1480"/>
      <w:bookmarkEnd w:id="1481"/>
      <w:bookmarkEnd w:id="1482"/>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D’après la matrice </w:t>
      </w:r>
      <w:r w:rsidR="008F5138">
        <w:rPr>
          <w:rFonts w:ascii="Times New Roman" w:hAnsi="Times New Roman" w:cs="Times New Roman"/>
          <w:sz w:val="24"/>
          <w:szCs w:val="24"/>
        </w:rPr>
        <w:t xml:space="preserve">de </w:t>
      </w:r>
      <w:r w:rsidRPr="00EB0638">
        <w:rPr>
          <w:rFonts w:ascii="Times New Roman" w:hAnsi="Times New Roman" w:cs="Times New Roman"/>
          <w:sz w:val="24"/>
          <w:szCs w:val="24"/>
        </w:rPr>
        <w:t xml:space="preserve">corrélation entre les variables (Annexe 3), on remarque : </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Des corrélations positives entre les caractères : vitesse moyenne de germination, capacité moyenne de germination, valeur germinative moyenne, pourcentage moyen de levée, mais ces caractères sont corrélés négativement au stade levé ;</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La valeur germinative moyenne est corrélée positivement avec le pourcentage moyen de levé, le stade fin floraison et négativement au nombre moyen de graines sur l’axe principal ;</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La capacité moyenne de germination est corrélée positivement avec le stade fin floraison, nombre moyen de gousses sur l’axe principal et de graines saines, et négativement au nombre moyen de ramifications secondaires et le nombre de gousses sur ces ramifications ;</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stade pleine levée est corrélé positivement avec le pourcentage moyen de levée, début floraison, nouaison, formation des gousses, nombre moyen de graines sur l’axe principal, rendement moyen estimé en graines et négativement au nombre moyen de ramifications primaires, secondaires et totales, avec le nombre moyen de graines sur les ramifications primaires ;</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 xml:space="preserve">Les populations tardives à la floraison, à la nouaison, à la formation de gousses, présentent un nombre moyen de gousses sur l’axe principale, des graines avortées et échaudées et le rendement moyen parcellaire estimé en graines élevés ; mais elles ont un nombre moyen de jours entre le stade semis et le stade maturité, une durée de floraison, un nombre moyen de ramifications primaires, secondaires, totales, le total de graines et de graines saines, un poids moyen de la gousse, de graines saines et de 1000 graines et la longueur d’une gousse faibles ;  </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pourcentage de levée est corrélé positivement avec le stade début floraison, nombre moyen de gousses sur l’axe principal et négativement au nombre de ramifications primaires, secondaires et totales et le nombre moyen de gousses sur les ramifications primaires ;</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lastRenderedPageBreak/>
        <w:t>Le stade fin floraison est corrélé positivement avec le stade formation de gousses et négativement à la vitesse moyenne de croissance en hauteur, nombre moyen de ramifications primaires, nombre moyen de gousses par plant et sur les ramifications primaires ; il est corrélé aussi avec le nombre de graines avortées et échaudées et le rendement moyen estimé en graines ;</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Des corrélations positives entre les caractères, nombre moyen de ramifications primaires, totales, de gousses sur les ramifications primaires et secondaires ; mais ces caractères sont corrélés négativement au nombre moyen de gousses sur l’axe principal ;</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 xml:space="preserve">Le poids moyen d’une gousse chez les populations étudiées est corrélé positivement avec le poids moyen des graines saines par gousse, longueur et diamètre moyens de la gousse, le nombre moyen totale de graines, le nombre moyen de graines saines, poids de 1000 graines et négativement au nombre de graines avortée et échaudées. </w:t>
      </w:r>
    </w:p>
    <w:p w:rsidR="004A2A5D" w:rsidRPr="00EB0638" w:rsidRDefault="004A2A5D" w:rsidP="004A2A5D">
      <w:pPr>
        <w:spacing w:before="240" w:line="360" w:lineRule="auto"/>
        <w:ind w:firstLine="567"/>
        <w:jc w:val="both"/>
        <w:rPr>
          <w:rFonts w:ascii="Times New Roman" w:hAnsi="Times New Roman" w:cs="Times New Roman"/>
          <w:b/>
          <w:bCs/>
          <w:sz w:val="24"/>
          <w:szCs w:val="24"/>
        </w:rPr>
      </w:pPr>
      <w:r w:rsidRPr="00EB0638">
        <w:rPr>
          <w:rFonts w:ascii="Times New Roman" w:hAnsi="Times New Roman" w:cs="Times New Roman"/>
          <w:b/>
          <w:bCs/>
          <w:sz w:val="24"/>
          <w:szCs w:val="24"/>
        </w:rPr>
        <w:t xml:space="preserve">Des corrélations significatives de signe négatif entre : </w:t>
      </w:r>
    </w:p>
    <w:p w:rsidR="004A2A5D" w:rsidRPr="00EB0638" w:rsidRDefault="004A2A5D" w:rsidP="00AD6B8B">
      <w:pPr>
        <w:pStyle w:val="Paragraphedeliste"/>
        <w:numPr>
          <w:ilvl w:val="0"/>
          <w:numId w:val="31"/>
        </w:numPr>
        <w:spacing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nouaison, formation des gousses et la vitesse de croissance en hauteur, nombre moyen de ramifications primaires, secondaires et totales, le nombre moyen de gousses sur les ramifications primaires ;</w:t>
      </w:r>
    </w:p>
    <w:p w:rsidR="004A2A5D" w:rsidRPr="00EB0638" w:rsidRDefault="004A2A5D" w:rsidP="00AD6B8B">
      <w:pPr>
        <w:pStyle w:val="Paragraphedeliste"/>
        <w:numPr>
          <w:ilvl w:val="0"/>
          <w:numId w:val="31"/>
        </w:numPr>
        <w:spacing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La durée de floraison, le nombre moyen de gousses sur l’axe principal et le nombre moyen total de gousses.</w:t>
      </w:r>
    </w:p>
    <w:p w:rsidR="004A2A5D" w:rsidRPr="00EB0638" w:rsidRDefault="004A2A5D" w:rsidP="004A2A5D">
      <w:pPr>
        <w:spacing w:before="240" w:line="360" w:lineRule="auto"/>
        <w:ind w:firstLine="567"/>
        <w:jc w:val="both"/>
        <w:rPr>
          <w:rFonts w:ascii="Times New Roman" w:hAnsi="Times New Roman" w:cs="Times New Roman"/>
          <w:b/>
          <w:bCs/>
          <w:sz w:val="24"/>
          <w:szCs w:val="24"/>
        </w:rPr>
      </w:pPr>
      <w:r w:rsidRPr="00EB0638">
        <w:rPr>
          <w:rFonts w:ascii="Times New Roman" w:hAnsi="Times New Roman" w:cs="Times New Roman"/>
          <w:b/>
          <w:bCs/>
          <w:sz w:val="24"/>
          <w:szCs w:val="24"/>
        </w:rPr>
        <w:t xml:space="preserve">Des corrélations significatives de signe positif entre : </w:t>
      </w:r>
    </w:p>
    <w:p w:rsidR="004A2A5D" w:rsidRPr="00EB0638" w:rsidRDefault="004A2A5D" w:rsidP="00AD6B8B">
      <w:pPr>
        <w:pStyle w:val="Paragraphedeliste"/>
        <w:numPr>
          <w:ilvl w:val="0"/>
          <w:numId w:val="32"/>
        </w:numPr>
        <w:spacing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pleine floraison et le stade formation de gousses, maturité, longueur de la gousse, rendement moyen estimé en graines ;</w:t>
      </w:r>
    </w:p>
    <w:p w:rsidR="004A2A5D" w:rsidRPr="00EB0638" w:rsidRDefault="004A2A5D" w:rsidP="00AD6B8B">
      <w:pPr>
        <w:pStyle w:val="Paragraphedeliste"/>
        <w:numPr>
          <w:ilvl w:val="0"/>
          <w:numId w:val="32"/>
        </w:numPr>
        <w:spacing w:line="360" w:lineRule="auto"/>
        <w:contextualSpacing w:val="0"/>
        <w:rPr>
          <w:rFonts w:ascii="Times New Roman" w:hAnsi="Times New Roman" w:cs="Times New Roman"/>
          <w:sz w:val="24"/>
          <w:szCs w:val="24"/>
        </w:rPr>
      </w:pPr>
      <w:r w:rsidRPr="00EB0638">
        <w:rPr>
          <w:rFonts w:ascii="Times New Roman" w:hAnsi="Times New Roman" w:cs="Times New Roman"/>
          <w:sz w:val="24"/>
          <w:szCs w:val="24"/>
        </w:rPr>
        <w:t>Le nombre moyen de graines avortées et échaudées et le rendement parcellaire moyen estimé en graines ;</w:t>
      </w:r>
    </w:p>
    <w:p w:rsidR="004A2A5D" w:rsidRPr="00EB0638" w:rsidRDefault="004A2A5D" w:rsidP="00AD6B8B">
      <w:pPr>
        <w:pStyle w:val="Paragraphedeliste"/>
        <w:numPr>
          <w:ilvl w:val="0"/>
          <w:numId w:val="32"/>
        </w:numPr>
        <w:spacing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maturité, la durée de floraison et le nombre moyen de graines sur les ramifications secondaires ;</w:t>
      </w:r>
    </w:p>
    <w:p w:rsidR="004A2A5D" w:rsidRPr="00EB0638" w:rsidRDefault="004A2A5D" w:rsidP="00AD6B8B">
      <w:pPr>
        <w:pStyle w:val="Paragraphedeliste"/>
        <w:numPr>
          <w:ilvl w:val="0"/>
          <w:numId w:val="30"/>
        </w:numPr>
        <w:spacing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La vitesse de croissance en hauteur et le nombre moyen de ramifications primaires, secondaires, totales, nombre moyen de graines sur les ramifications secondaires et nombre moyen total de graines ;</w:t>
      </w:r>
    </w:p>
    <w:p w:rsidR="00DE5010" w:rsidRPr="00CF30F0" w:rsidRDefault="004A2A5D" w:rsidP="00CF30F0">
      <w:pPr>
        <w:pStyle w:val="Paragraphedeliste"/>
        <w:numPr>
          <w:ilvl w:val="0"/>
          <w:numId w:val="30"/>
        </w:numPr>
        <w:spacing w:line="360" w:lineRule="auto"/>
        <w:contextualSpacing w:val="0"/>
        <w:rPr>
          <w:rFonts w:ascii="Times New Roman" w:hAnsi="Times New Roman" w:cs="Times New Roman"/>
          <w:sz w:val="24"/>
          <w:szCs w:val="24"/>
        </w:rPr>
      </w:pPr>
      <w:r w:rsidRPr="00EB0638">
        <w:rPr>
          <w:rFonts w:ascii="Times New Roman" w:hAnsi="Times New Roman" w:cs="Times New Roman"/>
          <w:sz w:val="24"/>
          <w:szCs w:val="24"/>
        </w:rPr>
        <w:t>Le rendement moyen parcellaire estimé en graines et le poids moyen de 1000 graines.</w:t>
      </w:r>
    </w:p>
    <w:p w:rsidR="004A2A5D" w:rsidRPr="00EB0638" w:rsidRDefault="004A2A5D" w:rsidP="00AD6B8B">
      <w:pPr>
        <w:pStyle w:val="Titre1"/>
        <w:numPr>
          <w:ilvl w:val="0"/>
          <w:numId w:val="48"/>
        </w:numPr>
        <w:spacing w:after="240" w:line="360" w:lineRule="auto"/>
        <w:rPr>
          <w:rFonts w:ascii="Times New Roman" w:hAnsi="Times New Roman"/>
          <w:color w:val="auto"/>
        </w:rPr>
      </w:pPr>
      <w:bookmarkStart w:id="1483" w:name="_Toc126575302"/>
      <w:bookmarkStart w:id="1484" w:name="_Toc126575983"/>
      <w:bookmarkStart w:id="1485" w:name="_Toc126576858"/>
      <w:bookmarkStart w:id="1486" w:name="_Toc252094067"/>
      <w:bookmarkStart w:id="1487" w:name="_Toc252365456"/>
      <w:bookmarkStart w:id="1488" w:name="_Toc252365727"/>
      <w:bookmarkStart w:id="1489" w:name="_Toc252366272"/>
      <w:r w:rsidRPr="00EB0638">
        <w:rPr>
          <w:rFonts w:ascii="Times New Roman" w:hAnsi="Times New Roman"/>
          <w:color w:val="auto"/>
        </w:rPr>
        <w:lastRenderedPageBreak/>
        <w:t>Analyse en composantes principales</w:t>
      </w:r>
      <w:bookmarkEnd w:id="1483"/>
      <w:bookmarkEnd w:id="1484"/>
      <w:bookmarkEnd w:id="1485"/>
      <w:bookmarkEnd w:id="1486"/>
      <w:bookmarkEnd w:id="1487"/>
      <w:bookmarkEnd w:id="1488"/>
      <w:bookmarkEnd w:id="1489"/>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Les variations </w:t>
      </w:r>
      <w:r w:rsidR="008D54CC" w:rsidRPr="00EB0638">
        <w:rPr>
          <w:rFonts w:ascii="Times New Roman" w:hAnsi="Times New Roman" w:cs="Times New Roman"/>
          <w:sz w:val="24"/>
          <w:szCs w:val="24"/>
        </w:rPr>
        <w:t>expliquées</w:t>
      </w:r>
      <w:r w:rsidRPr="00EB0638">
        <w:rPr>
          <w:rFonts w:ascii="Times New Roman" w:hAnsi="Times New Roman" w:cs="Times New Roman"/>
          <w:sz w:val="24"/>
          <w:szCs w:val="24"/>
        </w:rPr>
        <w:t xml:space="preserve"> par les axes principaux sont </w:t>
      </w:r>
      <w:r w:rsidR="00645DDB">
        <w:rPr>
          <w:rFonts w:ascii="Times New Roman" w:hAnsi="Times New Roman" w:cs="Times New Roman"/>
          <w:sz w:val="24"/>
          <w:szCs w:val="24"/>
        </w:rPr>
        <w:t>respectivement de 30,</w:t>
      </w:r>
      <w:r w:rsidRPr="00EB0638">
        <w:rPr>
          <w:rFonts w:ascii="Times New Roman" w:hAnsi="Times New Roman" w:cs="Times New Roman"/>
          <w:sz w:val="24"/>
          <w:szCs w:val="24"/>
        </w:rPr>
        <w:t>69% de l’inf</w:t>
      </w:r>
      <w:r w:rsidR="00645DDB">
        <w:rPr>
          <w:rFonts w:ascii="Times New Roman" w:hAnsi="Times New Roman" w:cs="Times New Roman"/>
          <w:sz w:val="24"/>
          <w:szCs w:val="24"/>
        </w:rPr>
        <w:t>ormation par le premier axe, 28,68% par le deuxième axe, 18,09% par le troisième, 15,15% par le quatrième et enfin 7,</w:t>
      </w:r>
      <w:r w:rsidRPr="00EB0638">
        <w:rPr>
          <w:rFonts w:ascii="Times New Roman" w:hAnsi="Times New Roman" w:cs="Times New Roman"/>
          <w:sz w:val="24"/>
          <w:szCs w:val="24"/>
        </w:rPr>
        <w:t>12% par le cinquième axe. Le plant 1-2 fourn</w:t>
      </w:r>
      <w:r w:rsidR="00645DDB">
        <w:rPr>
          <w:rFonts w:ascii="Times New Roman" w:hAnsi="Times New Roman" w:cs="Times New Roman"/>
          <w:sz w:val="24"/>
          <w:szCs w:val="24"/>
        </w:rPr>
        <w:t>it le maximum d’information (30,69% plus 28,</w:t>
      </w:r>
      <w:r w:rsidRPr="00EB0638">
        <w:rPr>
          <w:rFonts w:ascii="Times New Roman" w:hAnsi="Times New Roman" w:cs="Times New Roman"/>
          <w:sz w:val="24"/>
          <w:szCs w:val="24"/>
        </w:rPr>
        <w:t>68</w:t>
      </w:r>
      <w:r w:rsidR="00A66AA7">
        <w:rPr>
          <w:rFonts w:ascii="Times New Roman" w:eastAsia="Times New Roman" w:hAnsi="Times New Roman" w:cs="Times New Roman"/>
          <w:sz w:val="24"/>
          <w:szCs w:val="24"/>
        </w:rPr>
        <w:t>%) environ 6</w:t>
      </w:r>
      <w:r w:rsidRPr="00EB0638">
        <w:rPr>
          <w:rFonts w:ascii="Times New Roman" w:eastAsia="Times New Roman" w:hAnsi="Times New Roman" w:cs="Times New Roman"/>
          <w:sz w:val="24"/>
          <w:szCs w:val="24"/>
        </w:rPr>
        <w:t>0%.</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L’observation de la figure 39, nous fait remarquer que l’axe 1 est déterminé positivement par un ensemble de variables qui sont respectivement :</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Début floraison ;</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Pourcentage de levée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pleine levée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nouaison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formation des gousses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Nombre de gousses sur l’axe principal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rendement parcellaire estimé en graines.</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Et négativement par les variables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Nombre moyen total de ramifications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Nombre moyen de ramifications secondaires et primaires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maturité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 xml:space="preserve"> Etalement de la floraison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Poids moyen de graines saines par gousse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Nombre moyen de graines sur les ramifications secondaires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Diamètre moyen de la gousse et le poids moyen d’une gousse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Nombre moyen de graines saines et le nombre moyen total de graines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lastRenderedPageBreak/>
        <w:t>La longueur moyenne d’une gousse.</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L’axe 2 est déterminé positivement par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Nombre moyen de graines sur les ramifications primaires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Nombre moyen de graines avortées et échaudées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Nombre moyen total des gousses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Vitesse moyenne de croissance en hauteur et le nombre moyen de ramifications primaires.</w:t>
      </w:r>
    </w:p>
    <w:p w:rsidR="004A2A5D" w:rsidRPr="00EB0638" w:rsidRDefault="004A2A5D" w:rsidP="004A2A5D">
      <w:pPr>
        <w:pStyle w:val="Paragraphedeliste"/>
        <w:spacing w:before="240" w:line="360" w:lineRule="auto"/>
        <w:ind w:left="0" w:firstLine="284"/>
        <w:jc w:val="both"/>
        <w:rPr>
          <w:rFonts w:ascii="Times New Roman" w:hAnsi="Times New Roman" w:cs="Times New Roman"/>
          <w:sz w:val="24"/>
          <w:szCs w:val="24"/>
        </w:rPr>
      </w:pPr>
      <w:r w:rsidRPr="00EB0638">
        <w:rPr>
          <w:rFonts w:ascii="Times New Roman" w:hAnsi="Times New Roman" w:cs="Times New Roman"/>
          <w:sz w:val="24"/>
          <w:szCs w:val="24"/>
        </w:rPr>
        <w:t>Et négativement par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La capacité de germination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poids moyen de graines saines par gousse et le poids d’une gousse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fin floraison et étalement de floraison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Longueur moyenne de la gousse, valeur germinative, et le pourcentage de levée ;</w:t>
      </w:r>
    </w:p>
    <w:p w:rsidR="004A2A5D" w:rsidRPr="00EB0638" w:rsidRDefault="004A2A5D" w:rsidP="00E84D30">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Poids moyen de 1000 graines.</w:t>
      </w:r>
    </w:p>
    <w:p w:rsidR="004A2A5D" w:rsidRPr="00EB0638" w:rsidRDefault="004A2A5D" w:rsidP="004A2A5D">
      <w:pPr>
        <w:pStyle w:val="Paragraphedeliste"/>
        <w:spacing w:after="0" w:line="240" w:lineRule="auto"/>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Selon le nuage des individus projetés le plan formé par l’axe 1 et l’axe 2, nous remarquons la dispersion des six populations selon quatre groupes (Fig. 40). </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 groupe 1, formé par la population P5, s’étire vers le coté positive de l’axe 1 et de l’axe 2, s’oppose à la population P4 (groupe 2) qui développe un nombre moyen important de ramifications primaires, secondaires et totales ; mais P5 est plus précoce à la floraison, elle est plus sensible à l’avortement et l’échaudage et donne un rendement moyen parcellaire plus élevé que la population P4. </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population P6 est caractérisée </w:t>
      </w:r>
      <w:r w:rsidR="008F5138">
        <w:rPr>
          <w:rFonts w:ascii="Times New Roman" w:hAnsi="Times New Roman" w:cs="Times New Roman"/>
          <w:sz w:val="24"/>
          <w:szCs w:val="24"/>
        </w:rPr>
        <w:t xml:space="preserve">par </w:t>
      </w:r>
      <w:r w:rsidRPr="00EB0638">
        <w:rPr>
          <w:rFonts w:ascii="Times New Roman" w:hAnsi="Times New Roman" w:cs="Times New Roman"/>
          <w:sz w:val="24"/>
          <w:szCs w:val="24"/>
        </w:rPr>
        <w:t>des valeurs élevées de durée de floraison, de poids moyen des gousses par plant et de graines saines, du nombre moyen de graines saines, de la longueur d’une gousse ; mais elle se caractérise par un nombre moyen faible de ramifications primaires, secondaires et totales plus faibles que la population P4.</w:t>
      </w:r>
    </w:p>
    <w:p w:rsidR="004A2A5D" w:rsidRPr="00EB0638" w:rsidRDefault="00003092" w:rsidP="004A2A5D">
      <w:pPr>
        <w:spacing w:before="240" w:line="360" w:lineRule="auto"/>
        <w:ind w:firstLine="284"/>
        <w:jc w:val="both"/>
        <w:rPr>
          <w:rFonts w:ascii="Times New Roman" w:hAnsi="Times New Roman" w:cs="Times New Roman"/>
          <w:sz w:val="24"/>
          <w:szCs w:val="24"/>
        </w:rPr>
      </w:pPr>
      <w:r>
        <w:rPr>
          <w:rFonts w:ascii="Times New Roman" w:hAnsi="Times New Roman" w:cs="Times New Roman"/>
          <w:sz w:val="24"/>
          <w:szCs w:val="24"/>
        </w:rPr>
        <w:t>Le groupe 4</w:t>
      </w:r>
      <w:r w:rsidR="004A2A5D" w:rsidRPr="00EB0638">
        <w:rPr>
          <w:rFonts w:ascii="Times New Roman" w:hAnsi="Times New Roman" w:cs="Times New Roman"/>
          <w:sz w:val="24"/>
          <w:szCs w:val="24"/>
        </w:rPr>
        <w:t xml:space="preserve"> qui est formé par les populations P1, P2 et P3 prend une position centrale et peut être considéré comme représentatif des populations intermédiaires.</w:t>
      </w:r>
    </w:p>
    <w:p w:rsidR="004A2A5D" w:rsidRPr="00EB0638" w:rsidRDefault="004A2A5D" w:rsidP="004A2A5D">
      <w:pPr>
        <w:pStyle w:val="Paragraphedeliste"/>
        <w:spacing w:before="240" w:line="360" w:lineRule="auto"/>
        <w:ind w:left="0" w:firstLine="284"/>
        <w:jc w:val="both"/>
        <w:rPr>
          <w:rFonts w:ascii="Times New Roman" w:hAnsi="Times New Roman" w:cs="Times New Roman"/>
          <w:sz w:val="24"/>
          <w:szCs w:val="24"/>
        </w:rPr>
      </w:pPr>
      <w:r w:rsidRPr="00EB0638">
        <w:rPr>
          <w:rFonts w:ascii="Times New Roman" w:hAnsi="Times New Roman" w:cs="Times New Roman"/>
          <w:sz w:val="24"/>
          <w:szCs w:val="24"/>
        </w:rPr>
        <w:lastRenderedPageBreak/>
        <w:t>Ces résultats confirment ceux obtenus par l’analyse de variance.</w:t>
      </w:r>
    </w:p>
    <w:p w:rsidR="0017794D" w:rsidRPr="00EB0638" w:rsidRDefault="0017794D" w:rsidP="0017794D">
      <w:pPr>
        <w:keepNext/>
      </w:pPr>
      <w:r w:rsidRPr="00EB0638">
        <w:rPr>
          <w:rFonts w:ascii="Times New Roman" w:hAnsi="Times New Roman" w:cs="Times New Roman"/>
          <w:noProof/>
          <w:sz w:val="24"/>
          <w:szCs w:val="24"/>
        </w:rPr>
        <w:drawing>
          <wp:inline distT="0" distB="0" distL="0" distR="0">
            <wp:extent cx="6219825" cy="6762750"/>
            <wp:effectExtent l="38100" t="57150" r="123825" b="95250"/>
            <wp:docPr id="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srcRect/>
                    <a:stretch>
                      <a:fillRect/>
                    </a:stretch>
                  </pic:blipFill>
                  <pic:spPr bwMode="auto">
                    <a:xfrm>
                      <a:off x="0" y="0"/>
                      <a:ext cx="6219825" cy="676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794D" w:rsidRPr="00EB0638" w:rsidRDefault="009A264F" w:rsidP="00463B12">
      <w:pPr>
        <w:pStyle w:val="Lgende"/>
        <w:spacing w:before="240"/>
        <w:jc w:val="center"/>
        <w:rPr>
          <w:rFonts w:asciiTheme="majorBidi" w:hAnsiTheme="majorBidi" w:cstheme="majorBidi"/>
          <w:color w:val="auto"/>
          <w:sz w:val="24"/>
          <w:szCs w:val="24"/>
        </w:rPr>
      </w:pPr>
      <w:bookmarkStart w:id="1490" w:name="_Toc252194976"/>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39</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:Analyse en composante principale : projection des variables sur le plan factoriel (1*2) (</w:t>
      </w:r>
      <w:r w:rsidRPr="00EB0638">
        <w:rPr>
          <w:rFonts w:asciiTheme="majorBidi" w:hAnsiTheme="majorBidi" w:cstheme="majorBidi"/>
          <w:i/>
          <w:iCs/>
          <w:color w:val="auto"/>
          <w:sz w:val="24"/>
          <w:szCs w:val="24"/>
        </w:rPr>
        <w:t>Trigonella foenum graecum</w:t>
      </w:r>
      <w:r w:rsidRPr="00EB0638">
        <w:rPr>
          <w:rFonts w:asciiTheme="majorBidi" w:hAnsiTheme="majorBidi" w:cstheme="majorBidi"/>
          <w:color w:val="auto"/>
          <w:sz w:val="24"/>
          <w:szCs w:val="24"/>
        </w:rPr>
        <w:t xml:space="preserve"> L.).</w:t>
      </w:r>
      <w:bookmarkEnd w:id="1490"/>
    </w:p>
    <w:p w:rsidR="004A2A5D" w:rsidRPr="00EB0638" w:rsidRDefault="004A2A5D" w:rsidP="0017794D">
      <w:pPr>
        <w:rPr>
          <w:rFonts w:ascii="Times New Roman" w:hAnsi="Times New Roman" w:cs="Times New Roman"/>
          <w:sz w:val="24"/>
          <w:szCs w:val="24"/>
        </w:rPr>
      </w:pPr>
    </w:p>
    <w:p w:rsidR="004A2A5D" w:rsidRPr="00EB0638" w:rsidRDefault="004A2A5D" w:rsidP="004A2A5D">
      <w:pPr>
        <w:spacing w:line="360" w:lineRule="auto"/>
        <w:rPr>
          <w:rFonts w:ascii="Times New Roman" w:hAnsi="Times New Roman" w:cs="Times New Roman"/>
          <w:b/>
          <w:bCs/>
          <w:sz w:val="24"/>
          <w:szCs w:val="24"/>
        </w:rPr>
      </w:pPr>
      <w:r w:rsidRPr="00EB0638">
        <w:rPr>
          <w:rFonts w:ascii="Times New Roman" w:hAnsi="Times New Roman" w:cs="Times New Roman"/>
          <w:b/>
          <w:bCs/>
          <w:sz w:val="24"/>
          <w:szCs w:val="24"/>
        </w:rPr>
        <w:br w:type="page"/>
      </w:r>
    </w:p>
    <w:p w:rsidR="009A264F" w:rsidRPr="00EB0638" w:rsidRDefault="004A2A5D" w:rsidP="009A264F">
      <w:pPr>
        <w:keepNext/>
        <w:spacing w:line="360" w:lineRule="auto"/>
        <w:jc w:val="center"/>
      </w:pPr>
      <w:r w:rsidRPr="00EB0638">
        <w:rPr>
          <w:rFonts w:ascii="Times New Roman" w:hAnsi="Times New Roman" w:cs="Times New Roman"/>
          <w:noProof/>
          <w:sz w:val="24"/>
          <w:szCs w:val="24"/>
        </w:rPr>
        <w:lastRenderedPageBreak/>
        <w:drawing>
          <wp:inline distT="0" distB="0" distL="0" distR="0">
            <wp:extent cx="6181725" cy="6772275"/>
            <wp:effectExtent l="38100" t="57150" r="123825" b="104775"/>
            <wp:docPr id="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8"/>
                    <a:srcRect/>
                    <a:stretch>
                      <a:fillRect/>
                    </a:stretch>
                  </pic:blipFill>
                  <pic:spPr bwMode="auto">
                    <a:xfrm>
                      <a:off x="0" y="0"/>
                      <a:ext cx="6181725" cy="677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794D" w:rsidRPr="00EB0638" w:rsidRDefault="009A264F" w:rsidP="00463B12">
      <w:pPr>
        <w:pStyle w:val="Lgende"/>
        <w:spacing w:before="240"/>
        <w:jc w:val="center"/>
        <w:rPr>
          <w:rFonts w:asciiTheme="majorBidi" w:hAnsiTheme="majorBidi" w:cstheme="majorBidi"/>
          <w:color w:val="auto"/>
          <w:sz w:val="24"/>
          <w:szCs w:val="24"/>
        </w:rPr>
      </w:pPr>
      <w:bookmarkStart w:id="1491" w:name="_Toc252194977"/>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40</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:Analyse en composante principale : projection des variables sur le plan factoriel (1*2) (</w:t>
      </w:r>
      <w:r w:rsidRPr="00EB0638">
        <w:rPr>
          <w:rFonts w:asciiTheme="majorBidi" w:hAnsiTheme="majorBidi" w:cstheme="majorBidi"/>
          <w:i/>
          <w:iCs/>
          <w:color w:val="auto"/>
          <w:sz w:val="24"/>
          <w:szCs w:val="24"/>
        </w:rPr>
        <w:t>Trigonella foenum graecum</w:t>
      </w:r>
      <w:r w:rsidRPr="00EB0638">
        <w:rPr>
          <w:rFonts w:asciiTheme="majorBidi" w:hAnsiTheme="majorBidi" w:cstheme="majorBidi"/>
          <w:color w:val="auto"/>
          <w:sz w:val="24"/>
          <w:szCs w:val="24"/>
        </w:rPr>
        <w:t xml:space="preserve"> L.).</w:t>
      </w:r>
      <w:bookmarkEnd w:id="1491"/>
    </w:p>
    <w:p w:rsidR="004A2A5D" w:rsidRPr="00EB0638" w:rsidRDefault="004A2A5D" w:rsidP="004A2A5D">
      <w:pPr>
        <w:spacing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br w:type="page"/>
      </w:r>
    </w:p>
    <w:p w:rsidR="004A2A5D" w:rsidRPr="00EB0638" w:rsidRDefault="004A2A5D" w:rsidP="004A2A5D">
      <w:pPr>
        <w:pStyle w:val="Titre"/>
        <w:rPr>
          <w:rFonts w:ascii="Times New Roman" w:hAnsi="Times New Roman"/>
          <w:sz w:val="28"/>
          <w:szCs w:val="28"/>
        </w:rPr>
      </w:pPr>
      <w:bookmarkStart w:id="1492" w:name="_Toc251855074"/>
      <w:bookmarkStart w:id="1493" w:name="_Toc251855484"/>
      <w:bookmarkStart w:id="1494" w:name="_Toc126492644"/>
      <w:bookmarkStart w:id="1495" w:name="_Toc126493059"/>
      <w:bookmarkStart w:id="1496" w:name="_Toc126570571"/>
      <w:bookmarkStart w:id="1497" w:name="_Toc126571885"/>
      <w:bookmarkStart w:id="1498" w:name="_Toc126572666"/>
      <w:bookmarkStart w:id="1499" w:name="_Toc126575303"/>
      <w:bookmarkStart w:id="1500" w:name="_Toc126575984"/>
      <w:bookmarkStart w:id="1501" w:name="_Toc126576859"/>
      <w:bookmarkStart w:id="1502" w:name="_Toc252094068"/>
      <w:bookmarkStart w:id="1503" w:name="_Toc252365457"/>
      <w:bookmarkStart w:id="1504" w:name="_Toc252365728"/>
      <w:bookmarkStart w:id="1505" w:name="_Toc252366273"/>
      <w:r w:rsidRPr="00EB0638">
        <w:rPr>
          <w:rFonts w:ascii="Times New Roman" w:hAnsi="Times New Roman"/>
          <w:sz w:val="28"/>
          <w:szCs w:val="28"/>
        </w:rPr>
        <w:lastRenderedPageBreak/>
        <w:t>CARTHAME (</w:t>
      </w:r>
      <w:r w:rsidRPr="00EB0638">
        <w:rPr>
          <w:rFonts w:ascii="Times New Roman" w:hAnsi="Times New Roman"/>
          <w:i/>
          <w:iCs/>
          <w:sz w:val="28"/>
          <w:szCs w:val="28"/>
        </w:rPr>
        <w:t>Carthamus tinctorius</w:t>
      </w:r>
      <w:r w:rsidRPr="00EB0638">
        <w:rPr>
          <w:rFonts w:ascii="Times New Roman" w:hAnsi="Times New Roman"/>
          <w:sz w:val="28"/>
          <w:szCs w:val="28"/>
        </w:rPr>
        <w:t xml:space="preserve"> L.)</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rsidR="004A2A5D" w:rsidRPr="00EB0638" w:rsidRDefault="004A2A5D" w:rsidP="001C0F94">
      <w:pPr>
        <w:pStyle w:val="Titre1"/>
        <w:numPr>
          <w:ilvl w:val="0"/>
          <w:numId w:val="50"/>
        </w:numPr>
        <w:spacing w:after="240"/>
        <w:rPr>
          <w:rFonts w:ascii="Times New Roman" w:hAnsi="Times New Roman"/>
          <w:color w:val="auto"/>
        </w:rPr>
      </w:pPr>
      <w:bookmarkStart w:id="1506" w:name="_Toc251855075"/>
      <w:bookmarkStart w:id="1507" w:name="_Toc251855485"/>
      <w:bookmarkStart w:id="1508" w:name="_Toc126492645"/>
      <w:bookmarkStart w:id="1509" w:name="_Toc126493060"/>
      <w:bookmarkStart w:id="1510" w:name="_Toc126570572"/>
      <w:bookmarkStart w:id="1511" w:name="_Toc126571886"/>
      <w:bookmarkStart w:id="1512" w:name="_Toc126572667"/>
      <w:bookmarkStart w:id="1513" w:name="_Toc126575304"/>
      <w:bookmarkStart w:id="1514" w:name="_Toc126575985"/>
      <w:bookmarkStart w:id="1515" w:name="_Toc126576860"/>
      <w:bookmarkStart w:id="1516" w:name="_Toc252094069"/>
      <w:bookmarkStart w:id="1517" w:name="_Toc252365458"/>
      <w:bookmarkStart w:id="1518" w:name="_Toc252365729"/>
      <w:bookmarkStart w:id="1519" w:name="_Toc252366274"/>
      <w:r w:rsidRPr="00EB0638">
        <w:rPr>
          <w:rFonts w:ascii="Times New Roman" w:hAnsi="Times New Roman"/>
          <w:color w:val="auto"/>
        </w:rPr>
        <w:t>Germination</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rsidR="004A2A5D" w:rsidRPr="00EB0638" w:rsidRDefault="004A2A5D" w:rsidP="00AD6B8B">
      <w:pPr>
        <w:pStyle w:val="Paragraphedeliste"/>
        <w:numPr>
          <w:ilvl w:val="0"/>
          <w:numId w:val="23"/>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Vitesse moyenne de germination journalière (VGJ)</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germination des graines a duré 5 jours chez toutes les populations</w:t>
      </w:r>
      <w:r w:rsidR="009D4E54">
        <w:rPr>
          <w:rFonts w:ascii="Times New Roman" w:hAnsi="Times New Roman" w:cs="Times New Roman"/>
          <w:sz w:val="24"/>
          <w:szCs w:val="24"/>
        </w:rPr>
        <w:t xml:space="preserve"> (Annexe 5)</w:t>
      </w:r>
      <w:r w:rsidRPr="00EB0638">
        <w:rPr>
          <w:rFonts w:ascii="Times New Roman" w:hAnsi="Times New Roman" w:cs="Times New Roman"/>
          <w:sz w:val="24"/>
          <w:szCs w:val="24"/>
        </w:rPr>
        <w:t>. La population P'3 présente une vitesse moyenne de germination pl</w:t>
      </w:r>
      <w:r w:rsidR="00D95ED0">
        <w:rPr>
          <w:rFonts w:ascii="Times New Roman" w:hAnsi="Times New Roman" w:cs="Times New Roman"/>
          <w:sz w:val="24"/>
          <w:szCs w:val="24"/>
        </w:rPr>
        <w:t>us élevée avec 18,</w:t>
      </w:r>
      <w:r w:rsidRPr="00EB0638">
        <w:rPr>
          <w:rFonts w:ascii="Times New Roman" w:hAnsi="Times New Roman" w:cs="Times New Roman"/>
          <w:sz w:val="24"/>
          <w:szCs w:val="24"/>
        </w:rPr>
        <w:t>14 graines/jour</w:t>
      </w:r>
      <w:r w:rsidR="00CA4D82">
        <w:rPr>
          <w:rFonts w:ascii="Times New Roman" w:hAnsi="Times New Roman" w:cs="Times New Roman"/>
          <w:sz w:val="24"/>
          <w:szCs w:val="24"/>
        </w:rPr>
        <w:t>s. Par contre, la population P'4</w:t>
      </w:r>
      <w:r w:rsidRPr="00EB0638">
        <w:rPr>
          <w:rFonts w:ascii="Times New Roman" w:hAnsi="Times New Roman" w:cs="Times New Roman"/>
          <w:sz w:val="24"/>
          <w:szCs w:val="24"/>
        </w:rPr>
        <w:t xml:space="preserve"> a enregistré une vit</w:t>
      </w:r>
      <w:r w:rsidR="00CA4D82">
        <w:rPr>
          <w:rFonts w:ascii="Times New Roman" w:hAnsi="Times New Roman" w:cs="Times New Roman"/>
          <w:sz w:val="24"/>
          <w:szCs w:val="24"/>
        </w:rPr>
        <w:t>esse moyenne très réduite avec 4</w:t>
      </w:r>
      <w:r w:rsidR="00D95ED0">
        <w:rPr>
          <w:rFonts w:ascii="Times New Roman" w:hAnsi="Times New Roman" w:cs="Times New Roman"/>
          <w:sz w:val="24"/>
          <w:szCs w:val="24"/>
        </w:rPr>
        <w:t>,</w:t>
      </w:r>
      <w:r w:rsidRPr="00EB0638">
        <w:rPr>
          <w:rFonts w:ascii="Times New Roman" w:hAnsi="Times New Roman" w:cs="Times New Roman"/>
          <w:sz w:val="24"/>
          <w:szCs w:val="24"/>
        </w:rPr>
        <w:t>6 graines/jours (Fig. 41).</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indique une différence très hautement significative entre les populations. La comparaison des moyennes permet de déterminer deux groupes distincts ; le groupe A qui renferme la population P'3 et le groupe B qui représente les popul</w:t>
      </w:r>
      <w:r w:rsidR="00F10894">
        <w:rPr>
          <w:rFonts w:ascii="Times New Roman" w:hAnsi="Times New Roman" w:cs="Times New Roman"/>
          <w:sz w:val="24"/>
          <w:szCs w:val="24"/>
        </w:rPr>
        <w:t>ations P'1, P'2 et P'4 (Annexe 6</w:t>
      </w:r>
      <w:r w:rsidRPr="00EB0638">
        <w:rPr>
          <w:rFonts w:ascii="Times New Roman" w:hAnsi="Times New Roman" w:cs="Times New Roman"/>
          <w:sz w:val="24"/>
          <w:szCs w:val="24"/>
        </w:rPr>
        <w:t>).</w:t>
      </w:r>
    </w:p>
    <w:p w:rsidR="004A2A5D" w:rsidRPr="00EB0638" w:rsidRDefault="004A2A5D" w:rsidP="00AD6B8B">
      <w:pPr>
        <w:pStyle w:val="Paragraphedeliste"/>
        <w:numPr>
          <w:ilvl w:val="0"/>
          <w:numId w:val="23"/>
        </w:numPr>
        <w:spacing w:before="240" w:line="360" w:lineRule="auto"/>
        <w:contextualSpacing w:val="0"/>
        <w:jc w:val="both"/>
        <w:rPr>
          <w:rFonts w:ascii="Times New Roman" w:hAnsi="Times New Roman" w:cs="Times New Roman"/>
          <w:b/>
          <w:bCs/>
          <w:sz w:val="28"/>
          <w:szCs w:val="28"/>
        </w:rPr>
      </w:pPr>
      <w:r w:rsidRPr="00EB0638">
        <w:rPr>
          <w:rFonts w:ascii="Times New Roman" w:hAnsi="Times New Roman" w:cs="Times New Roman"/>
          <w:b/>
          <w:bCs/>
          <w:sz w:val="24"/>
          <w:szCs w:val="24"/>
        </w:rPr>
        <w:t>Capacité moyenne de germination en (%) (CG)</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capacité moyenne de germination la plus élevée est enregistrée par la population P'3 avec 92%. Par contre, la population P</w:t>
      </w:r>
      <w:r w:rsidR="00D9708C">
        <w:rPr>
          <w:rFonts w:ascii="Times New Roman" w:hAnsi="Times New Roman" w:cs="Times New Roman"/>
          <w:sz w:val="24"/>
          <w:szCs w:val="24"/>
        </w:rPr>
        <w:t>'4</w:t>
      </w:r>
      <w:r w:rsidRPr="00EB0638">
        <w:rPr>
          <w:rFonts w:ascii="Times New Roman" w:hAnsi="Times New Roman" w:cs="Times New Roman"/>
          <w:sz w:val="24"/>
          <w:szCs w:val="24"/>
        </w:rPr>
        <w:t xml:space="preserve"> présente la capacité moyenne la plus faible </w:t>
      </w:r>
      <w:r w:rsidR="00D9708C">
        <w:rPr>
          <w:rFonts w:ascii="Times New Roman" w:hAnsi="Times New Roman" w:cs="Times New Roman"/>
          <w:sz w:val="24"/>
          <w:szCs w:val="24"/>
        </w:rPr>
        <w:t xml:space="preserve"> (46%) </w:t>
      </w:r>
      <w:r w:rsidRPr="00EB0638">
        <w:rPr>
          <w:rFonts w:ascii="Times New Roman" w:hAnsi="Times New Roman" w:cs="Times New Roman"/>
          <w:sz w:val="24"/>
          <w:szCs w:val="24"/>
        </w:rPr>
        <w:t xml:space="preserve">(Fig. 42).   </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L’analyse de variance confirme l’existence d’un effet inter populations hautement significatif. La comparaison des moyennes permet de déterminer deux groupes distincts ; le groupe A qui renferme </w:t>
      </w:r>
      <w:r w:rsidR="00E547FB">
        <w:rPr>
          <w:rFonts w:ascii="Times New Roman" w:hAnsi="Times New Roman" w:cs="Times New Roman"/>
          <w:sz w:val="24"/>
          <w:szCs w:val="24"/>
        </w:rPr>
        <w:t xml:space="preserve">les </w:t>
      </w:r>
      <w:r w:rsidRPr="00EB0638">
        <w:rPr>
          <w:rFonts w:ascii="Times New Roman" w:hAnsi="Times New Roman" w:cs="Times New Roman"/>
          <w:sz w:val="24"/>
          <w:szCs w:val="24"/>
        </w:rPr>
        <w:t>population</w:t>
      </w:r>
      <w:r w:rsidR="00E547FB">
        <w:rPr>
          <w:rFonts w:ascii="Times New Roman" w:hAnsi="Times New Roman" w:cs="Times New Roman"/>
          <w:sz w:val="24"/>
          <w:szCs w:val="24"/>
        </w:rPr>
        <w:t>s</w:t>
      </w:r>
      <w:r w:rsidRPr="00EB0638">
        <w:rPr>
          <w:rFonts w:ascii="Times New Roman" w:hAnsi="Times New Roman" w:cs="Times New Roman"/>
          <w:sz w:val="24"/>
          <w:szCs w:val="24"/>
        </w:rPr>
        <w:t xml:space="preserve"> P'3</w:t>
      </w:r>
      <w:r w:rsidR="00E547FB">
        <w:rPr>
          <w:rFonts w:ascii="Times New Roman" w:hAnsi="Times New Roman" w:cs="Times New Roman"/>
          <w:sz w:val="24"/>
          <w:szCs w:val="24"/>
        </w:rPr>
        <w:t xml:space="preserve"> et P'1</w:t>
      </w:r>
      <w:r w:rsidRPr="00EB0638">
        <w:rPr>
          <w:rFonts w:ascii="Times New Roman" w:hAnsi="Times New Roman" w:cs="Times New Roman"/>
          <w:sz w:val="24"/>
          <w:szCs w:val="24"/>
        </w:rPr>
        <w:t xml:space="preserve"> et le groupe B qui représente les popul</w:t>
      </w:r>
      <w:r w:rsidR="00E547FB">
        <w:rPr>
          <w:rFonts w:ascii="Times New Roman" w:hAnsi="Times New Roman" w:cs="Times New Roman"/>
          <w:sz w:val="24"/>
          <w:szCs w:val="24"/>
        </w:rPr>
        <w:t xml:space="preserve">ations </w:t>
      </w:r>
      <w:r w:rsidR="00F10894">
        <w:rPr>
          <w:rFonts w:ascii="Times New Roman" w:hAnsi="Times New Roman" w:cs="Times New Roman"/>
          <w:sz w:val="24"/>
          <w:szCs w:val="24"/>
        </w:rPr>
        <w:t xml:space="preserve"> P'2 et P'4 (Annexe 6</w:t>
      </w:r>
      <w:r w:rsidRPr="00EB0638">
        <w:rPr>
          <w:rFonts w:ascii="Times New Roman" w:hAnsi="Times New Roman" w:cs="Times New Roman"/>
          <w:sz w:val="24"/>
          <w:szCs w:val="24"/>
        </w:rPr>
        <w:t>).</w:t>
      </w:r>
    </w:p>
    <w:p w:rsidR="004A2A5D" w:rsidRPr="00EB0638" w:rsidRDefault="004A2A5D" w:rsidP="00AD6B8B">
      <w:pPr>
        <w:pStyle w:val="Paragraphedeliste"/>
        <w:numPr>
          <w:ilvl w:val="0"/>
          <w:numId w:val="23"/>
        </w:numPr>
        <w:spacing w:before="240" w:line="360" w:lineRule="auto"/>
        <w:contextualSpacing w:val="0"/>
        <w:jc w:val="both"/>
        <w:rPr>
          <w:rFonts w:ascii="Times New Roman" w:hAnsi="Times New Roman" w:cs="Times New Roman"/>
          <w:b/>
          <w:bCs/>
          <w:sz w:val="28"/>
          <w:szCs w:val="28"/>
        </w:rPr>
      </w:pPr>
      <w:r w:rsidRPr="00EB0638">
        <w:rPr>
          <w:rFonts w:ascii="Times New Roman" w:hAnsi="Times New Roman" w:cs="Times New Roman"/>
          <w:b/>
          <w:bCs/>
          <w:sz w:val="24"/>
          <w:szCs w:val="24"/>
        </w:rPr>
        <w:t>Valeur germinative moyenne (VG)</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P'3 possède la valeur germinative moyenne la plus</w:t>
      </w:r>
      <w:r w:rsidR="00D95ED0">
        <w:rPr>
          <w:rFonts w:ascii="Times New Roman" w:hAnsi="Times New Roman" w:cs="Times New Roman"/>
          <w:sz w:val="24"/>
          <w:szCs w:val="24"/>
        </w:rPr>
        <w:t xml:space="preserve"> élevée avec une moyenne de 536,</w:t>
      </w:r>
      <w:r w:rsidRPr="00EB0638">
        <w:rPr>
          <w:rFonts w:ascii="Times New Roman" w:hAnsi="Times New Roman" w:cs="Times New Roman"/>
          <w:sz w:val="24"/>
          <w:szCs w:val="24"/>
        </w:rPr>
        <w:t xml:space="preserve">29. Alors que celle ayant la plus faible valeur germinative correspond </w:t>
      </w:r>
      <w:r w:rsidR="00D95ED0">
        <w:rPr>
          <w:rFonts w:ascii="Times New Roman" w:hAnsi="Times New Roman" w:cs="Times New Roman"/>
          <w:sz w:val="24"/>
          <w:szCs w:val="24"/>
        </w:rPr>
        <w:t>à la P'4 avec une moyenne de 84,</w:t>
      </w:r>
      <w:r w:rsidRPr="00EB0638">
        <w:rPr>
          <w:rFonts w:ascii="Times New Roman" w:hAnsi="Times New Roman" w:cs="Times New Roman"/>
          <w:sz w:val="24"/>
          <w:szCs w:val="24"/>
        </w:rPr>
        <w:t>37 (Fig. 43).</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montre une différence hautement significative entre les populations étudiées. La comparaison des moyennes permet de donner deux groupes homogènes. Le groupe A représente la population P'3 et le groupe B regroupe les popul</w:t>
      </w:r>
      <w:r w:rsidR="00F10894">
        <w:rPr>
          <w:rFonts w:ascii="Times New Roman" w:hAnsi="Times New Roman" w:cs="Times New Roman"/>
          <w:sz w:val="24"/>
          <w:szCs w:val="24"/>
        </w:rPr>
        <w:t>ations P'1, P'2 et P'4 (Annexe 6</w:t>
      </w:r>
      <w:r w:rsidRPr="00EB0638">
        <w:rPr>
          <w:rFonts w:ascii="Times New Roman" w:hAnsi="Times New Roman" w:cs="Times New Roman"/>
          <w:sz w:val="24"/>
          <w:szCs w:val="24"/>
        </w:rPr>
        <w:t xml:space="preserve">).  </w:t>
      </w:r>
    </w:p>
    <w:p w:rsidR="004A2A5D" w:rsidRPr="00EB0638" w:rsidRDefault="004A2A5D" w:rsidP="004A2A5D">
      <w:pPr>
        <w:spacing w:line="360" w:lineRule="auto"/>
        <w:jc w:val="both"/>
        <w:rPr>
          <w:rFonts w:ascii="Times New Roman" w:hAnsi="Times New Roman" w:cs="Times New Roman"/>
          <w:b/>
          <w:bCs/>
          <w:sz w:val="24"/>
          <w:szCs w:val="24"/>
        </w:rPr>
      </w:pPr>
    </w:p>
    <w:p w:rsidR="004A2A5D" w:rsidRPr="00EB0638" w:rsidRDefault="004A2A5D" w:rsidP="004A2A5D">
      <w:pPr>
        <w:spacing w:line="360" w:lineRule="auto"/>
        <w:jc w:val="both"/>
        <w:rPr>
          <w:rFonts w:ascii="Times New Roman" w:hAnsi="Times New Roman" w:cs="Times New Roman"/>
          <w:b/>
          <w:bCs/>
          <w:sz w:val="24"/>
          <w:szCs w:val="24"/>
        </w:rPr>
      </w:pPr>
    </w:p>
    <w:p w:rsidR="009A264F" w:rsidRPr="00EB0638" w:rsidRDefault="004A2A5D" w:rsidP="009A264F">
      <w:pPr>
        <w:keepNext/>
        <w:spacing w:line="360" w:lineRule="auto"/>
        <w:jc w:val="center"/>
      </w:pPr>
      <w:r w:rsidRPr="00EB0638">
        <w:rPr>
          <w:rFonts w:ascii="Times New Roman" w:hAnsi="Times New Roman" w:cs="Times New Roman"/>
          <w:b/>
          <w:bCs/>
          <w:noProof/>
          <w:sz w:val="24"/>
          <w:szCs w:val="24"/>
        </w:rPr>
        <w:lastRenderedPageBreak/>
        <w:drawing>
          <wp:inline distT="0" distB="0" distL="0" distR="0">
            <wp:extent cx="5397699" cy="2336509"/>
            <wp:effectExtent l="19050" t="0" r="12501" b="6641"/>
            <wp:docPr id="97"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7794D" w:rsidRPr="00EB0638" w:rsidRDefault="009A264F" w:rsidP="00463B12">
      <w:pPr>
        <w:pStyle w:val="Lgende"/>
        <w:spacing w:before="240"/>
        <w:jc w:val="center"/>
        <w:rPr>
          <w:rFonts w:asciiTheme="majorBidi" w:hAnsiTheme="majorBidi" w:cstheme="majorBidi"/>
          <w:color w:val="auto"/>
          <w:sz w:val="24"/>
          <w:szCs w:val="24"/>
        </w:rPr>
      </w:pPr>
      <w:bookmarkStart w:id="1520" w:name="_Toc252194978"/>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41</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:Vitesse moyenne de germination journalière (Nombre de graines germées/jours).</w:t>
      </w:r>
      <w:bookmarkEnd w:id="1520"/>
    </w:p>
    <w:p w:rsidR="0017794D" w:rsidRPr="00EB0638" w:rsidRDefault="004A2A5D" w:rsidP="0017794D">
      <w:pPr>
        <w:keepNext/>
        <w:spacing w:line="360" w:lineRule="auto"/>
        <w:jc w:val="center"/>
      </w:pPr>
      <w:r w:rsidRPr="00EB0638">
        <w:rPr>
          <w:rFonts w:ascii="Times New Roman" w:hAnsi="Times New Roman" w:cs="Times New Roman"/>
          <w:b/>
          <w:bCs/>
          <w:noProof/>
          <w:sz w:val="24"/>
          <w:szCs w:val="24"/>
        </w:rPr>
        <w:drawing>
          <wp:inline distT="0" distB="0" distL="0" distR="0">
            <wp:extent cx="5397699" cy="2336509"/>
            <wp:effectExtent l="19050" t="0" r="12501" b="6641"/>
            <wp:docPr id="98"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A2A5D" w:rsidRPr="00EB0638" w:rsidRDefault="009A264F" w:rsidP="00463B12">
      <w:pPr>
        <w:pStyle w:val="Lgende"/>
        <w:spacing w:before="240"/>
        <w:jc w:val="center"/>
        <w:rPr>
          <w:rFonts w:asciiTheme="majorBidi" w:hAnsiTheme="majorBidi" w:cstheme="majorBidi"/>
          <w:color w:val="auto"/>
          <w:sz w:val="24"/>
          <w:szCs w:val="24"/>
        </w:rPr>
      </w:pPr>
      <w:bookmarkStart w:id="1521" w:name="_Toc252194979"/>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42</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:Capacité moyenne de germination en (%).</w:t>
      </w:r>
      <w:bookmarkEnd w:id="1521"/>
    </w:p>
    <w:p w:rsidR="0017794D" w:rsidRPr="00EB0638" w:rsidRDefault="004A2A5D" w:rsidP="0017794D">
      <w:pPr>
        <w:pStyle w:val="Lgende"/>
        <w:jc w:val="center"/>
        <w:rPr>
          <w:rFonts w:asciiTheme="majorBidi" w:hAnsiTheme="majorBidi" w:cstheme="majorBidi"/>
          <w:color w:val="auto"/>
          <w:sz w:val="24"/>
          <w:szCs w:val="24"/>
        </w:rPr>
      </w:pPr>
      <w:r w:rsidRPr="00EB0638">
        <w:rPr>
          <w:rFonts w:asciiTheme="majorBidi" w:hAnsiTheme="majorBidi" w:cstheme="majorBidi"/>
          <w:noProof/>
          <w:color w:val="auto"/>
          <w:sz w:val="24"/>
          <w:szCs w:val="24"/>
        </w:rPr>
        <w:drawing>
          <wp:inline distT="0" distB="0" distL="0" distR="0">
            <wp:extent cx="5397699" cy="2336509"/>
            <wp:effectExtent l="18297" t="12199" r="13254" b="3967"/>
            <wp:docPr id="9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A2A5D" w:rsidRPr="00EB0638" w:rsidRDefault="009A264F" w:rsidP="00BE4E74">
      <w:pPr>
        <w:pStyle w:val="Lgende"/>
        <w:tabs>
          <w:tab w:val="left" w:pos="5103"/>
        </w:tabs>
        <w:spacing w:before="240"/>
        <w:jc w:val="center"/>
        <w:rPr>
          <w:rFonts w:asciiTheme="majorBidi" w:hAnsiTheme="majorBidi" w:cstheme="majorBidi"/>
          <w:color w:val="auto"/>
          <w:sz w:val="24"/>
          <w:szCs w:val="24"/>
        </w:rPr>
      </w:pPr>
      <w:bookmarkStart w:id="1522" w:name="_Toc252194980"/>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43</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:Valeur germinative moyenne.</w:t>
      </w:r>
      <w:bookmarkEnd w:id="1522"/>
    </w:p>
    <w:p w:rsidR="0017794D" w:rsidRPr="00EB0638" w:rsidRDefault="0017794D" w:rsidP="0017794D"/>
    <w:p w:rsidR="004A2A5D" w:rsidRPr="00EB0638" w:rsidRDefault="004A2A5D" w:rsidP="009D6520">
      <w:pPr>
        <w:pStyle w:val="Titre1"/>
        <w:numPr>
          <w:ilvl w:val="0"/>
          <w:numId w:val="50"/>
        </w:numPr>
        <w:spacing w:after="240" w:line="360" w:lineRule="auto"/>
        <w:rPr>
          <w:rFonts w:ascii="Times New Roman" w:hAnsi="Times New Roman"/>
          <w:color w:val="auto"/>
        </w:rPr>
      </w:pPr>
      <w:bookmarkStart w:id="1523" w:name="_Toc251855076"/>
      <w:bookmarkStart w:id="1524" w:name="_Toc251855486"/>
      <w:bookmarkStart w:id="1525" w:name="_Toc126492646"/>
      <w:bookmarkStart w:id="1526" w:name="_Toc126493061"/>
      <w:bookmarkStart w:id="1527" w:name="_Toc126570573"/>
      <w:bookmarkStart w:id="1528" w:name="_Toc126571887"/>
      <w:bookmarkStart w:id="1529" w:name="_Toc126572668"/>
      <w:bookmarkStart w:id="1530" w:name="_Toc126575305"/>
      <w:bookmarkStart w:id="1531" w:name="_Toc126575986"/>
      <w:bookmarkStart w:id="1532" w:name="_Toc126576861"/>
      <w:bookmarkStart w:id="1533" w:name="_Toc252094070"/>
      <w:bookmarkStart w:id="1534" w:name="_Toc252365459"/>
      <w:bookmarkStart w:id="1535" w:name="_Toc252365730"/>
      <w:bookmarkStart w:id="1536" w:name="_Toc252366275"/>
      <w:r w:rsidRPr="00EB0638">
        <w:rPr>
          <w:rFonts w:ascii="Times New Roman" w:hAnsi="Times New Roman"/>
          <w:color w:val="auto"/>
        </w:rPr>
        <w:lastRenderedPageBreak/>
        <w:t>Caract</w:t>
      </w:r>
      <w:r w:rsidR="009D6520">
        <w:rPr>
          <w:rFonts w:ascii="Times New Roman" w:hAnsi="Times New Roman"/>
          <w:color w:val="auto"/>
        </w:rPr>
        <w:t>ère</w:t>
      </w:r>
      <w:r w:rsidRPr="00EB0638">
        <w:rPr>
          <w:rFonts w:ascii="Times New Roman" w:hAnsi="Times New Roman"/>
          <w:color w:val="auto"/>
        </w:rPr>
        <w:t>s phénologiques</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rsidR="004A2A5D" w:rsidRPr="00EB0638" w:rsidRDefault="004A2A5D" w:rsidP="00AD6B8B">
      <w:pPr>
        <w:pStyle w:val="Paragraphedeliste"/>
        <w:numPr>
          <w:ilvl w:val="0"/>
          <w:numId w:val="24"/>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Levée (L, PL)</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 nombre moyen de jours entre le semis et la levée chez le carthame varie de </w:t>
      </w:r>
      <w:r w:rsidR="00D95ED0">
        <w:rPr>
          <w:rFonts w:ascii="Times New Roman" w:hAnsi="Times New Roman" w:cs="Times New Roman"/>
          <w:sz w:val="24"/>
          <w:szCs w:val="24"/>
        </w:rPr>
        <w:t>11,</w:t>
      </w:r>
      <w:r w:rsidR="00F97C3A">
        <w:rPr>
          <w:rFonts w:ascii="Times New Roman" w:hAnsi="Times New Roman" w:cs="Times New Roman"/>
          <w:sz w:val="24"/>
          <w:szCs w:val="24"/>
        </w:rPr>
        <w:t xml:space="preserve">75 jours à 17 </w:t>
      </w:r>
      <w:r w:rsidRPr="00EB0638">
        <w:rPr>
          <w:rFonts w:ascii="Times New Roman" w:hAnsi="Times New Roman" w:cs="Times New Roman"/>
          <w:sz w:val="24"/>
          <w:szCs w:val="24"/>
        </w:rPr>
        <w:t>jours ; la population P'4 présente le nombr</w:t>
      </w:r>
      <w:r w:rsidR="00F97C3A">
        <w:rPr>
          <w:rFonts w:ascii="Times New Roman" w:hAnsi="Times New Roman" w:cs="Times New Roman"/>
          <w:sz w:val="24"/>
          <w:szCs w:val="24"/>
        </w:rPr>
        <w:t>e de jours le plus élevé avec 17</w:t>
      </w:r>
      <w:r w:rsidRPr="00EB0638">
        <w:rPr>
          <w:rFonts w:ascii="Times New Roman" w:hAnsi="Times New Roman" w:cs="Times New Roman"/>
          <w:sz w:val="24"/>
          <w:szCs w:val="24"/>
        </w:rPr>
        <w:t xml:space="preserve"> jou</w:t>
      </w:r>
      <w:r w:rsidR="007B74A2">
        <w:rPr>
          <w:rFonts w:ascii="Times New Roman" w:hAnsi="Times New Roman" w:cs="Times New Roman"/>
          <w:sz w:val="24"/>
          <w:szCs w:val="24"/>
        </w:rPr>
        <w:t>rs, suivie par la population P'1 avec 1</w:t>
      </w:r>
      <w:r w:rsidR="00D95ED0">
        <w:rPr>
          <w:rFonts w:ascii="Times New Roman" w:hAnsi="Times New Roman" w:cs="Times New Roman"/>
          <w:sz w:val="24"/>
          <w:szCs w:val="24"/>
        </w:rPr>
        <w:t>3,</w:t>
      </w:r>
      <w:r w:rsidR="007B74A2">
        <w:rPr>
          <w:rFonts w:ascii="Times New Roman" w:hAnsi="Times New Roman" w:cs="Times New Roman"/>
          <w:sz w:val="24"/>
          <w:szCs w:val="24"/>
        </w:rPr>
        <w:t>7</w:t>
      </w:r>
      <w:r w:rsidRPr="00EB0638">
        <w:rPr>
          <w:rFonts w:ascii="Times New Roman" w:hAnsi="Times New Roman" w:cs="Times New Roman"/>
          <w:sz w:val="24"/>
          <w:szCs w:val="24"/>
        </w:rPr>
        <w:t>5</w:t>
      </w:r>
      <w:r w:rsidR="007B74A2">
        <w:rPr>
          <w:rFonts w:ascii="Times New Roman" w:hAnsi="Times New Roman" w:cs="Times New Roman"/>
          <w:sz w:val="24"/>
          <w:szCs w:val="24"/>
        </w:rPr>
        <w:t xml:space="preserve"> jours, puis les populations P'3</w:t>
      </w:r>
      <w:r w:rsidRPr="00EB0638">
        <w:rPr>
          <w:rFonts w:ascii="Times New Roman" w:hAnsi="Times New Roman" w:cs="Times New Roman"/>
          <w:sz w:val="24"/>
          <w:szCs w:val="24"/>
        </w:rPr>
        <w:t xml:space="preserve"> et P'2 avec respe</w:t>
      </w:r>
      <w:r w:rsidR="007B74A2">
        <w:rPr>
          <w:rFonts w:ascii="Times New Roman" w:hAnsi="Times New Roman" w:cs="Times New Roman"/>
          <w:sz w:val="24"/>
          <w:szCs w:val="24"/>
        </w:rPr>
        <w:t>ctivement (12</w:t>
      </w:r>
      <w:r w:rsidR="00D95ED0">
        <w:rPr>
          <w:rFonts w:ascii="Times New Roman" w:hAnsi="Times New Roman" w:cs="Times New Roman"/>
          <w:sz w:val="24"/>
          <w:szCs w:val="24"/>
        </w:rPr>
        <w:t>,75 et 11,</w:t>
      </w:r>
      <w:r w:rsidRPr="00EB0638">
        <w:rPr>
          <w:rFonts w:ascii="Times New Roman" w:hAnsi="Times New Roman" w:cs="Times New Roman"/>
          <w:sz w:val="24"/>
          <w:szCs w:val="24"/>
        </w:rPr>
        <w:t>75 jours) (Fig. 44).</w:t>
      </w:r>
    </w:p>
    <w:p w:rsidR="004A2A5D" w:rsidRPr="00EB0638" w:rsidRDefault="004A2A5D" w:rsidP="00C714F2">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Concernant le caractère pleine levée, la population P'4 présente le nombre </w:t>
      </w:r>
      <w:r w:rsidR="007B74A2">
        <w:rPr>
          <w:rFonts w:ascii="Times New Roman" w:hAnsi="Times New Roman" w:cs="Times New Roman"/>
          <w:sz w:val="24"/>
          <w:szCs w:val="24"/>
        </w:rPr>
        <w:t xml:space="preserve">moyen </w:t>
      </w:r>
      <w:r w:rsidRPr="00EB0638">
        <w:rPr>
          <w:rFonts w:ascii="Times New Roman" w:hAnsi="Times New Roman" w:cs="Times New Roman"/>
          <w:sz w:val="24"/>
          <w:szCs w:val="24"/>
        </w:rPr>
        <w:t>de jours le plus élevé entre le semis et la pleine levé</w:t>
      </w:r>
      <w:r w:rsidR="00D95ED0">
        <w:rPr>
          <w:rFonts w:ascii="Times New Roman" w:hAnsi="Times New Roman" w:cs="Times New Roman"/>
          <w:sz w:val="24"/>
          <w:szCs w:val="24"/>
        </w:rPr>
        <w:t>e avec 22,</w:t>
      </w:r>
      <w:r w:rsidR="00B42721">
        <w:rPr>
          <w:rFonts w:ascii="Times New Roman" w:hAnsi="Times New Roman" w:cs="Times New Roman"/>
          <w:sz w:val="24"/>
          <w:szCs w:val="24"/>
        </w:rPr>
        <w:t>5 jours ; alors que les</w:t>
      </w:r>
      <w:r w:rsidRPr="00EB0638">
        <w:rPr>
          <w:rFonts w:ascii="Times New Roman" w:hAnsi="Times New Roman" w:cs="Times New Roman"/>
          <w:sz w:val="24"/>
          <w:szCs w:val="24"/>
        </w:rPr>
        <w:t xml:space="preserve"> population</w:t>
      </w:r>
      <w:r w:rsidR="00B42721">
        <w:rPr>
          <w:rFonts w:ascii="Times New Roman" w:hAnsi="Times New Roman" w:cs="Times New Roman"/>
          <w:sz w:val="24"/>
          <w:szCs w:val="24"/>
        </w:rPr>
        <w:t>s</w:t>
      </w:r>
      <w:r w:rsidRPr="00EB0638">
        <w:rPr>
          <w:rFonts w:ascii="Times New Roman" w:hAnsi="Times New Roman" w:cs="Times New Roman"/>
          <w:sz w:val="24"/>
          <w:szCs w:val="24"/>
        </w:rPr>
        <w:t xml:space="preserve"> P'3</w:t>
      </w:r>
      <w:r w:rsidR="00B42721">
        <w:rPr>
          <w:rFonts w:ascii="Times New Roman" w:hAnsi="Times New Roman" w:cs="Times New Roman"/>
          <w:sz w:val="24"/>
          <w:szCs w:val="24"/>
        </w:rPr>
        <w:t>e</w:t>
      </w:r>
      <w:r w:rsidRPr="00EB0638">
        <w:rPr>
          <w:rFonts w:ascii="Times New Roman" w:hAnsi="Times New Roman" w:cs="Times New Roman"/>
          <w:sz w:val="24"/>
          <w:szCs w:val="24"/>
        </w:rPr>
        <w:t xml:space="preserve"> présente le nombre </w:t>
      </w:r>
      <w:r w:rsidR="007B74A2">
        <w:rPr>
          <w:rFonts w:ascii="Times New Roman" w:hAnsi="Times New Roman" w:cs="Times New Roman"/>
          <w:sz w:val="24"/>
          <w:szCs w:val="24"/>
        </w:rPr>
        <w:t xml:space="preserve">moyen </w:t>
      </w:r>
      <w:r w:rsidRPr="00EB0638">
        <w:rPr>
          <w:rFonts w:ascii="Times New Roman" w:hAnsi="Times New Roman" w:cs="Times New Roman"/>
          <w:sz w:val="24"/>
          <w:szCs w:val="24"/>
        </w:rPr>
        <w:t xml:space="preserve">de jours le plus faible entre le </w:t>
      </w:r>
      <w:r w:rsidR="00B42721">
        <w:rPr>
          <w:rFonts w:ascii="Times New Roman" w:hAnsi="Times New Roman" w:cs="Times New Roman"/>
          <w:sz w:val="24"/>
          <w:szCs w:val="24"/>
        </w:rPr>
        <w:t>semis et la pleine levée avec 14</w:t>
      </w:r>
      <w:r w:rsidR="00D95ED0">
        <w:rPr>
          <w:rFonts w:ascii="Times New Roman" w:hAnsi="Times New Roman" w:cs="Times New Roman"/>
          <w:sz w:val="24"/>
          <w:szCs w:val="24"/>
        </w:rPr>
        <w:t>,</w:t>
      </w:r>
      <w:r w:rsidR="00C714F2">
        <w:rPr>
          <w:rFonts w:ascii="Times New Roman" w:hAnsi="Times New Roman" w:cs="Times New Roman"/>
          <w:sz w:val="24"/>
          <w:szCs w:val="24"/>
        </w:rPr>
        <w:t>2</w:t>
      </w:r>
      <w:r w:rsidRPr="00EB0638">
        <w:rPr>
          <w:rFonts w:ascii="Times New Roman" w:hAnsi="Times New Roman" w:cs="Times New Roman"/>
          <w:sz w:val="24"/>
          <w:szCs w:val="24"/>
        </w:rPr>
        <w:t>5 jours. Par contre la population P'2 n’atteint pas le stade pleine levée (Fig. 44).</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du caractère levée et pleine levée n’a indiqué aucune différence significative</w:t>
      </w:r>
      <w:r w:rsidR="00F10894">
        <w:rPr>
          <w:rFonts w:ascii="Times New Roman" w:hAnsi="Times New Roman" w:cs="Times New Roman"/>
          <w:sz w:val="24"/>
          <w:szCs w:val="24"/>
        </w:rPr>
        <w:t xml:space="preserve"> entre les populations (Annexe 6</w:t>
      </w:r>
      <w:r w:rsidRPr="00EB0638">
        <w:rPr>
          <w:rFonts w:ascii="Times New Roman" w:hAnsi="Times New Roman" w:cs="Times New Roman"/>
          <w:sz w:val="24"/>
          <w:szCs w:val="24"/>
        </w:rPr>
        <w:t xml:space="preserve">). </w:t>
      </w:r>
    </w:p>
    <w:p w:rsidR="004A2A5D" w:rsidRPr="00EB0638" w:rsidRDefault="004A2A5D" w:rsidP="00AD6B8B">
      <w:pPr>
        <w:pStyle w:val="Paragraphedeliste"/>
        <w:numPr>
          <w:ilvl w:val="0"/>
          <w:numId w:val="24"/>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Pourcentage moyen de levée (PGL)</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de caractère n’a montré aucune différence significative entre les</w:t>
      </w:r>
      <w:r w:rsidR="00F10894">
        <w:rPr>
          <w:rFonts w:ascii="Times New Roman" w:hAnsi="Times New Roman" w:cs="Times New Roman"/>
          <w:sz w:val="24"/>
          <w:szCs w:val="24"/>
        </w:rPr>
        <w:t xml:space="preserve"> populations (Fig. 45 ; Annexe 6</w:t>
      </w:r>
      <w:r w:rsidRPr="00EB0638">
        <w:rPr>
          <w:rFonts w:ascii="Times New Roman" w:hAnsi="Times New Roman" w:cs="Times New Roman"/>
          <w:sz w:val="24"/>
          <w:szCs w:val="24"/>
        </w:rPr>
        <w:t>).</w:t>
      </w:r>
    </w:p>
    <w:p w:rsidR="004A2A5D" w:rsidRPr="00EB0638" w:rsidRDefault="004A2A5D" w:rsidP="00AD6B8B">
      <w:pPr>
        <w:pStyle w:val="Paragraphedeliste"/>
        <w:numPr>
          <w:ilvl w:val="0"/>
          <w:numId w:val="24"/>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Rosette (R)</w:t>
      </w:r>
    </w:p>
    <w:p w:rsidR="004A2A5D" w:rsidRPr="00EB0638" w:rsidRDefault="00D95ED0" w:rsidP="004A2A5D">
      <w:pPr>
        <w:spacing w:before="240" w:line="360" w:lineRule="auto"/>
        <w:ind w:firstLine="284"/>
        <w:jc w:val="both"/>
        <w:rPr>
          <w:rFonts w:ascii="Times New Roman" w:hAnsi="Times New Roman" w:cs="Times New Roman"/>
          <w:sz w:val="24"/>
          <w:szCs w:val="24"/>
        </w:rPr>
      </w:pPr>
      <w:r>
        <w:rPr>
          <w:rFonts w:ascii="Times New Roman" w:hAnsi="Times New Roman" w:cs="Times New Roman"/>
          <w:sz w:val="24"/>
          <w:szCs w:val="24"/>
        </w:rPr>
        <w:t>La moyenne générale est de 33,</w:t>
      </w:r>
      <w:r w:rsidR="004A2A5D" w:rsidRPr="00EB0638">
        <w:rPr>
          <w:rFonts w:ascii="Times New Roman" w:hAnsi="Times New Roman" w:cs="Times New Roman"/>
          <w:sz w:val="24"/>
          <w:szCs w:val="24"/>
        </w:rPr>
        <w:t>62 jours entre le semis et le stade rosette. L’analyse de variance n’indique aucune différence significative entre les</w:t>
      </w:r>
      <w:r w:rsidR="000D7F87">
        <w:rPr>
          <w:rFonts w:ascii="Times New Roman" w:hAnsi="Times New Roman" w:cs="Times New Roman"/>
          <w:sz w:val="24"/>
          <w:szCs w:val="24"/>
        </w:rPr>
        <w:t xml:space="preserve"> populations (Fig. 46</w:t>
      </w:r>
      <w:r w:rsidR="00F10894">
        <w:rPr>
          <w:rFonts w:ascii="Times New Roman" w:hAnsi="Times New Roman" w:cs="Times New Roman"/>
          <w:sz w:val="24"/>
          <w:szCs w:val="24"/>
        </w:rPr>
        <w:t> ; Annexe 6</w:t>
      </w:r>
      <w:r w:rsidR="004A2A5D" w:rsidRPr="00EB0638">
        <w:rPr>
          <w:rFonts w:ascii="Times New Roman" w:hAnsi="Times New Roman" w:cs="Times New Roman"/>
          <w:sz w:val="24"/>
          <w:szCs w:val="24"/>
        </w:rPr>
        <w:t>).</w:t>
      </w:r>
    </w:p>
    <w:p w:rsidR="004A2A5D" w:rsidRPr="00EB0638" w:rsidRDefault="004A2A5D" w:rsidP="00AD6B8B">
      <w:pPr>
        <w:pStyle w:val="Paragraphedeliste"/>
        <w:numPr>
          <w:ilvl w:val="0"/>
          <w:numId w:val="24"/>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Formation de branches (FB)</w:t>
      </w:r>
    </w:p>
    <w:p w:rsidR="004A2A5D" w:rsidRPr="00EB0638" w:rsidRDefault="00D95ED0" w:rsidP="004A2A5D">
      <w:pPr>
        <w:spacing w:before="240" w:line="360" w:lineRule="auto"/>
        <w:ind w:firstLine="284"/>
        <w:jc w:val="both"/>
        <w:rPr>
          <w:rFonts w:ascii="Times New Roman" w:hAnsi="Times New Roman" w:cs="Times New Roman"/>
          <w:sz w:val="24"/>
          <w:szCs w:val="24"/>
        </w:rPr>
      </w:pPr>
      <w:r>
        <w:rPr>
          <w:rFonts w:ascii="Times New Roman" w:hAnsi="Times New Roman" w:cs="Times New Roman"/>
          <w:sz w:val="24"/>
          <w:szCs w:val="24"/>
        </w:rPr>
        <w:t>La moyenne générale est de 58,</w:t>
      </w:r>
      <w:r w:rsidR="004A2A5D" w:rsidRPr="00EB0638">
        <w:rPr>
          <w:rFonts w:ascii="Times New Roman" w:hAnsi="Times New Roman" w:cs="Times New Roman"/>
          <w:sz w:val="24"/>
          <w:szCs w:val="24"/>
        </w:rPr>
        <w:t>87 jours entre le semis et le stade formation de branches. L’analyse de variance n’a révélé aucune différence significative entre les populations (Fi</w:t>
      </w:r>
      <w:r w:rsidR="000D7F87">
        <w:rPr>
          <w:rFonts w:ascii="Times New Roman" w:hAnsi="Times New Roman" w:cs="Times New Roman"/>
          <w:sz w:val="24"/>
          <w:szCs w:val="24"/>
        </w:rPr>
        <w:t>g. 46</w:t>
      </w:r>
      <w:r w:rsidR="00F10894">
        <w:rPr>
          <w:rFonts w:ascii="Times New Roman" w:hAnsi="Times New Roman" w:cs="Times New Roman"/>
          <w:sz w:val="24"/>
          <w:szCs w:val="24"/>
        </w:rPr>
        <w:t>; Annexe 6</w:t>
      </w:r>
      <w:r w:rsidR="004A2A5D" w:rsidRPr="00EB0638">
        <w:rPr>
          <w:rFonts w:ascii="Times New Roman" w:hAnsi="Times New Roman" w:cs="Times New Roman"/>
          <w:sz w:val="24"/>
          <w:szCs w:val="24"/>
        </w:rPr>
        <w:t>).</w:t>
      </w:r>
    </w:p>
    <w:p w:rsidR="004A2A5D" w:rsidRPr="00EB0638" w:rsidRDefault="004A2A5D" w:rsidP="004A2A5D">
      <w:pPr>
        <w:spacing w:before="240" w:line="360" w:lineRule="auto"/>
        <w:ind w:firstLine="284"/>
        <w:jc w:val="both"/>
        <w:rPr>
          <w:rFonts w:ascii="Times New Roman" w:hAnsi="Times New Roman" w:cs="Times New Roman"/>
          <w:b/>
          <w:bCs/>
          <w:sz w:val="24"/>
          <w:szCs w:val="24"/>
        </w:rPr>
      </w:pPr>
    </w:p>
    <w:p w:rsidR="009A264F" w:rsidRPr="00EB0638" w:rsidRDefault="007B74A2" w:rsidP="009A264F">
      <w:pPr>
        <w:keepNext/>
        <w:spacing w:after="0" w:line="360" w:lineRule="auto"/>
        <w:jc w:val="center"/>
      </w:pPr>
      <w:r w:rsidRPr="007B74A2">
        <w:rPr>
          <w:noProof/>
        </w:rPr>
        <w:lastRenderedPageBreak/>
        <w:drawing>
          <wp:inline distT="0" distB="0" distL="0" distR="0">
            <wp:extent cx="5400000" cy="2268187"/>
            <wp:effectExtent l="19050" t="0" r="10200" b="0"/>
            <wp:docPr id="2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7794D" w:rsidRPr="00EB0638" w:rsidRDefault="009A264F" w:rsidP="00463B12">
      <w:pPr>
        <w:pStyle w:val="Lgende"/>
        <w:spacing w:before="240"/>
        <w:jc w:val="center"/>
        <w:rPr>
          <w:rFonts w:asciiTheme="majorBidi" w:hAnsiTheme="majorBidi" w:cstheme="majorBidi"/>
          <w:color w:val="auto"/>
          <w:sz w:val="24"/>
          <w:szCs w:val="24"/>
        </w:rPr>
      </w:pPr>
      <w:bookmarkStart w:id="1537" w:name="_Toc252194981"/>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44</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:Nombre moyen de jours entre le semis et la levée (L) et la pleine levée (PL).</w:t>
      </w:r>
      <w:bookmarkEnd w:id="1537"/>
    </w:p>
    <w:p w:rsidR="0017794D" w:rsidRPr="00EB0638" w:rsidRDefault="004A2A5D" w:rsidP="0017794D">
      <w:pPr>
        <w:keepNext/>
        <w:spacing w:after="120" w:line="360" w:lineRule="auto"/>
        <w:jc w:val="center"/>
      </w:pPr>
      <w:r w:rsidRPr="00EB0638">
        <w:rPr>
          <w:rFonts w:ascii="Times New Roman" w:hAnsi="Times New Roman" w:cs="Times New Roman"/>
          <w:noProof/>
          <w:sz w:val="24"/>
          <w:szCs w:val="24"/>
        </w:rPr>
        <w:drawing>
          <wp:inline distT="0" distB="0" distL="0" distR="0">
            <wp:extent cx="5402758" cy="2268000"/>
            <wp:effectExtent l="19050" t="0" r="26492" b="0"/>
            <wp:docPr id="10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A2A5D" w:rsidRPr="00EB0638" w:rsidRDefault="009A264F" w:rsidP="00463B12">
      <w:pPr>
        <w:pStyle w:val="Lgende"/>
        <w:spacing w:before="240"/>
        <w:jc w:val="center"/>
        <w:rPr>
          <w:rFonts w:asciiTheme="majorBidi" w:hAnsiTheme="majorBidi" w:cstheme="majorBidi"/>
          <w:color w:val="auto"/>
          <w:sz w:val="24"/>
          <w:szCs w:val="24"/>
        </w:rPr>
      </w:pPr>
      <w:bookmarkStart w:id="1538" w:name="_Toc252194982"/>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45</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:Pourcentage moyen de levée en (%).</w:t>
      </w:r>
      <w:bookmarkEnd w:id="1538"/>
    </w:p>
    <w:p w:rsidR="0017794D" w:rsidRPr="00EB0638" w:rsidRDefault="004A2A5D" w:rsidP="0017794D">
      <w:pPr>
        <w:keepNext/>
        <w:tabs>
          <w:tab w:val="left" w:pos="426"/>
          <w:tab w:val="left" w:pos="5040"/>
        </w:tabs>
        <w:spacing w:after="120" w:line="360" w:lineRule="auto"/>
        <w:jc w:val="center"/>
      </w:pPr>
      <w:r w:rsidRPr="00EB0638">
        <w:rPr>
          <w:rFonts w:ascii="Times New Roman" w:hAnsi="Times New Roman" w:cs="Times New Roman"/>
          <w:b/>
          <w:bCs/>
          <w:noProof/>
          <w:sz w:val="24"/>
          <w:szCs w:val="24"/>
        </w:rPr>
        <w:drawing>
          <wp:inline distT="0" distB="0" distL="0" distR="0">
            <wp:extent cx="5402758" cy="2268000"/>
            <wp:effectExtent l="19050" t="0" r="26492" b="0"/>
            <wp:docPr id="10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A2A5D" w:rsidRPr="00EB0638" w:rsidRDefault="009A264F" w:rsidP="00463B12">
      <w:pPr>
        <w:pStyle w:val="Lgende"/>
        <w:spacing w:before="240"/>
        <w:jc w:val="center"/>
        <w:rPr>
          <w:rFonts w:asciiTheme="majorBidi" w:hAnsiTheme="majorBidi" w:cstheme="majorBidi"/>
          <w:color w:val="auto"/>
          <w:sz w:val="24"/>
          <w:szCs w:val="24"/>
        </w:rPr>
      </w:pPr>
      <w:bookmarkStart w:id="1539" w:name="_Toc252194983"/>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46</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:Nombre moyen de jours entre le semis, le stade rosette (R) et le stade formation de branches (FB).</w:t>
      </w:r>
      <w:bookmarkEnd w:id="1539"/>
    </w:p>
    <w:p w:rsidR="004A2A5D" w:rsidRPr="00EB0638" w:rsidRDefault="0017794D" w:rsidP="0017794D">
      <w:pPr>
        <w:tabs>
          <w:tab w:val="left" w:pos="1316"/>
          <w:tab w:val="left" w:pos="5040"/>
        </w:tabs>
        <w:spacing w:line="360" w:lineRule="auto"/>
        <w:rPr>
          <w:rFonts w:ascii="Times New Roman" w:hAnsi="Times New Roman" w:cs="Times New Roman"/>
          <w:b/>
          <w:bCs/>
          <w:sz w:val="24"/>
          <w:szCs w:val="24"/>
        </w:rPr>
      </w:pPr>
      <w:r w:rsidRPr="00EB0638">
        <w:rPr>
          <w:rFonts w:ascii="Times New Roman" w:hAnsi="Times New Roman" w:cs="Times New Roman"/>
          <w:b/>
          <w:bCs/>
          <w:sz w:val="24"/>
          <w:szCs w:val="24"/>
        </w:rPr>
        <w:tab/>
      </w:r>
    </w:p>
    <w:p w:rsidR="0017794D" w:rsidRPr="00EB0638" w:rsidRDefault="0017794D" w:rsidP="0017794D">
      <w:pPr>
        <w:tabs>
          <w:tab w:val="left" w:pos="1316"/>
          <w:tab w:val="left" w:pos="5040"/>
        </w:tabs>
        <w:spacing w:line="360" w:lineRule="auto"/>
        <w:rPr>
          <w:rFonts w:ascii="Times New Roman" w:hAnsi="Times New Roman" w:cs="Times New Roman"/>
          <w:b/>
          <w:bCs/>
          <w:sz w:val="24"/>
          <w:szCs w:val="24"/>
        </w:rPr>
      </w:pPr>
    </w:p>
    <w:p w:rsidR="004A2A5D" w:rsidRPr="00EB0638" w:rsidRDefault="004A2A5D" w:rsidP="00AD6B8B">
      <w:pPr>
        <w:pStyle w:val="Paragraphedeliste"/>
        <w:numPr>
          <w:ilvl w:val="0"/>
          <w:numId w:val="24"/>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Bouton floral (BF)</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ne montre aucune déférence significative entre les populations concernant ce caractère. Le moyen générale entre le semis et le stade bouton floral est de</w:t>
      </w:r>
      <w:r w:rsidR="00D95ED0">
        <w:rPr>
          <w:rFonts w:ascii="Times New Roman" w:hAnsi="Times New Roman" w:cs="Times New Roman"/>
          <w:sz w:val="24"/>
          <w:szCs w:val="24"/>
        </w:rPr>
        <w:t xml:space="preserve"> 76,</w:t>
      </w:r>
      <w:r w:rsidR="00F10894">
        <w:rPr>
          <w:rFonts w:ascii="Times New Roman" w:hAnsi="Times New Roman" w:cs="Times New Roman"/>
          <w:sz w:val="24"/>
          <w:szCs w:val="24"/>
        </w:rPr>
        <w:t>87 jours (Fig. 47 ; Annexe 6</w:t>
      </w:r>
      <w:r w:rsidRPr="00EB0638">
        <w:rPr>
          <w:rFonts w:ascii="Times New Roman" w:hAnsi="Times New Roman" w:cs="Times New Roman"/>
          <w:sz w:val="24"/>
          <w:szCs w:val="24"/>
        </w:rPr>
        <w:t>).</w:t>
      </w:r>
    </w:p>
    <w:p w:rsidR="004A2A5D" w:rsidRPr="00EB0638" w:rsidRDefault="004A2A5D" w:rsidP="00AD6B8B">
      <w:pPr>
        <w:pStyle w:val="Paragraphedeliste"/>
        <w:numPr>
          <w:ilvl w:val="0"/>
          <w:numId w:val="24"/>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Floraison : Début floraison (DF), Plein floraison (PF) et fin floraison (FF)</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nombre moyen de jours entre le semis et le stade début floraison varie d’un maximum de 94 jours pour les deux populations P'2 et P'4 à un minimum de 90 jours pour les populations P'1 et P'3.</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nombre moyen de jours entre le semis et le stade plein</w:t>
      </w:r>
      <w:r w:rsidR="00A17F4C">
        <w:rPr>
          <w:rFonts w:ascii="Times New Roman" w:hAnsi="Times New Roman" w:cs="Times New Roman"/>
          <w:sz w:val="24"/>
          <w:szCs w:val="24"/>
        </w:rPr>
        <w:t>e</w:t>
      </w:r>
      <w:r w:rsidRPr="00EB0638">
        <w:rPr>
          <w:rFonts w:ascii="Times New Roman" w:hAnsi="Times New Roman" w:cs="Times New Roman"/>
          <w:sz w:val="24"/>
          <w:szCs w:val="24"/>
        </w:rPr>
        <w:t xml:space="preserve"> floraison oscille de 101 jours pour les populations P'1, P'2 et P'4 et 98 jours pour la population P'3. </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nombre moyen de jours entre le semis et le stade fin floraison est assez homogène pour toutes les populations (Fig. 47).</w:t>
      </w:r>
    </w:p>
    <w:p w:rsidR="004A2A5D" w:rsidRPr="00EB0638" w:rsidRDefault="004A2A5D" w:rsidP="004A2A5D">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ne montre aucune déférence significative entre les populations pour les caractères, début floraison, pleine floraison et fin floraison</w:t>
      </w:r>
      <w:r w:rsidRPr="00EB0638">
        <w:rPr>
          <w:rFonts w:ascii="Times New Roman" w:hAnsi="Times New Roman" w:cs="Times New Roman"/>
          <w:b/>
          <w:bCs/>
          <w:sz w:val="24"/>
          <w:szCs w:val="24"/>
        </w:rPr>
        <w:t xml:space="preserve"> </w:t>
      </w:r>
      <w:r w:rsidR="00F10894">
        <w:rPr>
          <w:rFonts w:ascii="Times New Roman" w:hAnsi="Times New Roman" w:cs="Times New Roman"/>
          <w:sz w:val="24"/>
          <w:szCs w:val="24"/>
        </w:rPr>
        <w:t>(Annexe 6</w:t>
      </w:r>
      <w:r w:rsidRPr="00EB0638">
        <w:rPr>
          <w:rFonts w:ascii="Times New Roman" w:hAnsi="Times New Roman" w:cs="Times New Roman"/>
          <w:sz w:val="24"/>
          <w:szCs w:val="24"/>
        </w:rPr>
        <w:t>).</w:t>
      </w:r>
    </w:p>
    <w:p w:rsidR="004A2A5D" w:rsidRPr="00EB0638" w:rsidRDefault="004A2A5D" w:rsidP="00AD6B8B">
      <w:pPr>
        <w:pStyle w:val="Paragraphedeliste"/>
        <w:numPr>
          <w:ilvl w:val="0"/>
          <w:numId w:val="24"/>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Étalement de la floraison (ETF)</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décèle une déférence significative entre les populations. La comparaison des moyennes permet de déterminer deux grou</w:t>
      </w:r>
      <w:r w:rsidR="00F10894">
        <w:rPr>
          <w:rFonts w:ascii="Times New Roman" w:hAnsi="Times New Roman" w:cs="Times New Roman"/>
          <w:sz w:val="24"/>
          <w:szCs w:val="24"/>
        </w:rPr>
        <w:t>pes homogènes (Fig. 48 ; Annexe</w:t>
      </w:r>
      <w:r w:rsidR="00162058">
        <w:rPr>
          <w:rFonts w:ascii="Times New Roman" w:hAnsi="Times New Roman" w:cs="Times New Roman"/>
          <w:sz w:val="24"/>
          <w:szCs w:val="24"/>
        </w:rPr>
        <w:t xml:space="preserve"> </w:t>
      </w:r>
      <w:r w:rsidR="00F10894">
        <w:rPr>
          <w:rFonts w:ascii="Times New Roman" w:hAnsi="Times New Roman" w:cs="Times New Roman"/>
          <w:sz w:val="24"/>
          <w:szCs w:val="24"/>
        </w:rPr>
        <w:t>6</w:t>
      </w:r>
      <w:r w:rsidRPr="00EB0638">
        <w:rPr>
          <w:rFonts w:ascii="Times New Roman" w:hAnsi="Times New Roman" w:cs="Times New Roman"/>
          <w:sz w:val="24"/>
          <w:szCs w:val="24"/>
        </w:rPr>
        <w:t>).</w:t>
      </w:r>
    </w:p>
    <w:p w:rsidR="004A2A5D" w:rsidRPr="00EB0638" w:rsidRDefault="004A2A5D" w:rsidP="00AD6B8B">
      <w:pPr>
        <w:pStyle w:val="Paragraphedeliste"/>
        <w:numPr>
          <w:ilvl w:val="0"/>
          <w:numId w:val="24"/>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 xml:space="preserve">Maturité des capitules (M) </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ne décèle aucune déférence significative entre les populations concernant ce caractère ; ce qui suggère une égalité entre les moyen</w:t>
      </w:r>
      <w:r w:rsidR="00162058">
        <w:rPr>
          <w:rFonts w:ascii="Times New Roman" w:hAnsi="Times New Roman" w:cs="Times New Roman"/>
          <w:sz w:val="24"/>
          <w:szCs w:val="24"/>
        </w:rPr>
        <w:t>nes obtenues (Fig. 49 ; Annexe 6</w:t>
      </w:r>
      <w:r w:rsidRPr="00EB0638">
        <w:rPr>
          <w:rFonts w:ascii="Times New Roman" w:hAnsi="Times New Roman" w:cs="Times New Roman"/>
          <w:sz w:val="24"/>
          <w:szCs w:val="24"/>
        </w:rPr>
        <w:t>).</w:t>
      </w:r>
    </w:p>
    <w:p w:rsidR="004A2A5D" w:rsidRPr="00EB0638" w:rsidRDefault="004A2A5D" w:rsidP="004A2A5D">
      <w:pPr>
        <w:spacing w:before="240" w:line="360" w:lineRule="auto"/>
        <w:ind w:firstLine="284"/>
        <w:jc w:val="both"/>
        <w:rPr>
          <w:rFonts w:ascii="Times New Roman" w:hAnsi="Times New Roman" w:cs="Times New Roman"/>
          <w:b/>
          <w:bCs/>
          <w:sz w:val="24"/>
          <w:szCs w:val="24"/>
        </w:rPr>
      </w:pPr>
    </w:p>
    <w:p w:rsidR="0017794D" w:rsidRPr="00EB0638" w:rsidRDefault="004A2A5D" w:rsidP="0017794D">
      <w:pPr>
        <w:keepNext/>
        <w:spacing w:after="120" w:line="360" w:lineRule="auto"/>
        <w:jc w:val="center"/>
      </w:pPr>
      <w:r w:rsidRPr="00EB0638">
        <w:rPr>
          <w:rFonts w:ascii="Times New Roman" w:hAnsi="Times New Roman" w:cs="Times New Roman"/>
          <w:noProof/>
          <w:sz w:val="24"/>
          <w:szCs w:val="24"/>
        </w:rPr>
        <w:lastRenderedPageBreak/>
        <w:drawing>
          <wp:inline distT="0" distB="0" distL="0" distR="0">
            <wp:extent cx="5402123" cy="2268000"/>
            <wp:effectExtent l="19050" t="0" r="27127" b="0"/>
            <wp:docPr id="136"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A2A5D" w:rsidRPr="00EB0638" w:rsidRDefault="00B3221C" w:rsidP="00175953">
      <w:pPr>
        <w:pStyle w:val="Lgende"/>
        <w:spacing w:before="240"/>
        <w:jc w:val="center"/>
        <w:rPr>
          <w:rFonts w:asciiTheme="majorBidi" w:hAnsiTheme="majorBidi" w:cstheme="majorBidi"/>
          <w:color w:val="auto"/>
          <w:sz w:val="24"/>
          <w:szCs w:val="24"/>
        </w:rPr>
      </w:pPr>
      <w:bookmarkStart w:id="1540" w:name="_Toc252194984"/>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47</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:Nombre</w:t>
      </w:r>
      <w:r w:rsidR="00175953">
        <w:rPr>
          <w:rFonts w:asciiTheme="majorBidi" w:hAnsiTheme="majorBidi" w:cstheme="majorBidi"/>
          <w:color w:val="auto"/>
          <w:sz w:val="24"/>
          <w:szCs w:val="24"/>
        </w:rPr>
        <w:t xml:space="preserve"> moyen</w:t>
      </w:r>
      <w:r w:rsidRPr="00EB0638">
        <w:rPr>
          <w:rFonts w:asciiTheme="majorBidi" w:hAnsiTheme="majorBidi" w:cstheme="majorBidi"/>
          <w:color w:val="auto"/>
          <w:sz w:val="24"/>
          <w:szCs w:val="24"/>
        </w:rPr>
        <w:t xml:space="preserve"> de jours entre le semis et le stade bouton floral (BF), début floraison (DF), pleine floraison (PF) et fin floraison (FF).</w:t>
      </w:r>
      <w:bookmarkEnd w:id="1540"/>
    </w:p>
    <w:p w:rsidR="004A2A5D" w:rsidRPr="00EB0638" w:rsidRDefault="004A2A5D" w:rsidP="004A2A5D">
      <w:pPr>
        <w:spacing w:after="0" w:line="360" w:lineRule="auto"/>
        <w:jc w:val="center"/>
        <w:rPr>
          <w:rFonts w:ascii="Times New Roman" w:hAnsi="Times New Roman" w:cs="Times New Roman"/>
          <w:b/>
          <w:bCs/>
          <w:sz w:val="24"/>
          <w:szCs w:val="24"/>
        </w:rPr>
      </w:pPr>
    </w:p>
    <w:p w:rsidR="0017794D" w:rsidRPr="00EB0638" w:rsidRDefault="004A2A5D" w:rsidP="0017794D">
      <w:pPr>
        <w:keepNext/>
        <w:spacing w:after="120" w:line="360" w:lineRule="auto"/>
        <w:jc w:val="center"/>
      </w:pPr>
      <w:r w:rsidRPr="00EB0638">
        <w:rPr>
          <w:rFonts w:ascii="Times New Roman" w:hAnsi="Times New Roman" w:cs="Times New Roman"/>
          <w:b/>
          <w:bCs/>
          <w:noProof/>
          <w:sz w:val="24"/>
          <w:szCs w:val="24"/>
        </w:rPr>
        <w:drawing>
          <wp:inline distT="0" distB="0" distL="0" distR="0">
            <wp:extent cx="5402123" cy="2268000"/>
            <wp:effectExtent l="19050" t="0" r="27127" b="0"/>
            <wp:docPr id="104"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A2A5D" w:rsidRPr="00EB0638" w:rsidRDefault="00B3221C" w:rsidP="00463B12">
      <w:pPr>
        <w:pStyle w:val="Lgende"/>
        <w:spacing w:before="240"/>
        <w:jc w:val="center"/>
        <w:rPr>
          <w:rFonts w:asciiTheme="majorBidi" w:hAnsiTheme="majorBidi" w:cstheme="majorBidi"/>
          <w:color w:val="auto"/>
          <w:sz w:val="24"/>
          <w:szCs w:val="24"/>
        </w:rPr>
      </w:pPr>
      <w:bookmarkStart w:id="1541" w:name="_Toc252194985"/>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48</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:La durée moyenne de floraison (étalement).</w:t>
      </w:r>
      <w:bookmarkEnd w:id="1541"/>
    </w:p>
    <w:p w:rsidR="004A2A5D" w:rsidRPr="00EB0638" w:rsidRDefault="004A2A5D" w:rsidP="004A2A5D">
      <w:pPr>
        <w:spacing w:line="360" w:lineRule="auto"/>
        <w:jc w:val="center"/>
        <w:rPr>
          <w:rFonts w:ascii="Times New Roman" w:hAnsi="Times New Roman" w:cs="Times New Roman"/>
          <w:b/>
          <w:bCs/>
          <w:sz w:val="24"/>
          <w:szCs w:val="24"/>
        </w:rPr>
      </w:pPr>
      <w:r w:rsidRPr="00EB0638">
        <w:rPr>
          <w:rFonts w:ascii="Times New Roman" w:hAnsi="Times New Roman" w:cs="Times New Roman"/>
          <w:b/>
          <w:bCs/>
          <w:noProof/>
          <w:sz w:val="24"/>
          <w:szCs w:val="24"/>
        </w:rPr>
        <w:drawing>
          <wp:inline distT="0" distB="0" distL="0" distR="0">
            <wp:extent cx="5402580" cy="2152650"/>
            <wp:effectExtent l="19050" t="0" r="26670" b="0"/>
            <wp:docPr id="135"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A2A5D" w:rsidRPr="00EB0638" w:rsidRDefault="00B3221C" w:rsidP="00463B12">
      <w:pPr>
        <w:pStyle w:val="Lgende"/>
        <w:spacing w:before="240"/>
        <w:jc w:val="center"/>
        <w:rPr>
          <w:rFonts w:asciiTheme="majorBidi" w:hAnsiTheme="majorBidi" w:cstheme="majorBidi"/>
          <w:color w:val="auto"/>
          <w:sz w:val="24"/>
          <w:szCs w:val="24"/>
        </w:rPr>
      </w:pPr>
      <w:bookmarkStart w:id="1542" w:name="_Toc252194986"/>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49</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 xml:space="preserve">:Nombre </w:t>
      </w:r>
      <w:r w:rsidR="00175953">
        <w:rPr>
          <w:rFonts w:asciiTheme="majorBidi" w:hAnsiTheme="majorBidi" w:cstheme="majorBidi"/>
          <w:color w:val="auto"/>
          <w:sz w:val="24"/>
          <w:szCs w:val="24"/>
        </w:rPr>
        <w:t xml:space="preserve">moyen </w:t>
      </w:r>
      <w:r w:rsidRPr="00EB0638">
        <w:rPr>
          <w:rFonts w:asciiTheme="majorBidi" w:hAnsiTheme="majorBidi" w:cstheme="majorBidi"/>
          <w:color w:val="auto"/>
          <w:sz w:val="24"/>
          <w:szCs w:val="24"/>
        </w:rPr>
        <w:t>de jours entre le semis et le stade maturité des capitules.</w:t>
      </w:r>
      <w:bookmarkEnd w:id="1542"/>
    </w:p>
    <w:p w:rsidR="004A2A5D" w:rsidRPr="00EB0638" w:rsidRDefault="004A2A5D" w:rsidP="004A2A5D">
      <w:pPr>
        <w:spacing w:line="360" w:lineRule="auto"/>
        <w:jc w:val="both"/>
        <w:rPr>
          <w:rFonts w:ascii="Times New Roman" w:hAnsi="Times New Roman" w:cs="Times New Roman"/>
          <w:b/>
          <w:bCs/>
          <w:sz w:val="24"/>
          <w:szCs w:val="24"/>
        </w:rPr>
      </w:pPr>
    </w:p>
    <w:p w:rsidR="004A2A5D" w:rsidRPr="00EB0638" w:rsidRDefault="004A2A5D" w:rsidP="001C0F94">
      <w:pPr>
        <w:pStyle w:val="Titre1"/>
        <w:numPr>
          <w:ilvl w:val="0"/>
          <w:numId w:val="50"/>
        </w:numPr>
        <w:spacing w:after="240" w:line="360" w:lineRule="auto"/>
        <w:rPr>
          <w:rFonts w:ascii="Times New Roman" w:hAnsi="Times New Roman"/>
          <w:color w:val="auto"/>
        </w:rPr>
      </w:pPr>
      <w:r w:rsidRPr="00EB0638">
        <w:rPr>
          <w:rFonts w:ascii="Times New Roman" w:hAnsi="Times New Roman"/>
          <w:color w:val="auto"/>
        </w:rPr>
        <w:lastRenderedPageBreak/>
        <w:t xml:space="preserve"> </w:t>
      </w:r>
      <w:bookmarkStart w:id="1543" w:name="_Toc251855077"/>
      <w:bookmarkStart w:id="1544" w:name="_Toc251855487"/>
      <w:bookmarkStart w:id="1545" w:name="_Toc126492647"/>
      <w:bookmarkStart w:id="1546" w:name="_Toc126493062"/>
      <w:bookmarkStart w:id="1547" w:name="_Toc126570574"/>
      <w:bookmarkStart w:id="1548" w:name="_Toc126571888"/>
      <w:bookmarkStart w:id="1549" w:name="_Toc126572669"/>
      <w:bookmarkStart w:id="1550" w:name="_Toc126575306"/>
      <w:bookmarkStart w:id="1551" w:name="_Toc126575987"/>
      <w:bookmarkStart w:id="1552" w:name="_Toc126576862"/>
      <w:bookmarkStart w:id="1553" w:name="_Toc252094071"/>
      <w:bookmarkStart w:id="1554" w:name="_Toc252365460"/>
      <w:bookmarkStart w:id="1555" w:name="_Toc252365731"/>
      <w:bookmarkStart w:id="1556" w:name="_Toc252366276"/>
      <w:r w:rsidRPr="00EB0638">
        <w:rPr>
          <w:rFonts w:ascii="Times New Roman" w:hAnsi="Times New Roman"/>
          <w:color w:val="auto"/>
        </w:rPr>
        <w:t>Caractères de développement végétatif</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rsidR="004A2A5D" w:rsidRPr="00EB0638" w:rsidRDefault="004A2A5D" w:rsidP="00AD6B8B">
      <w:pPr>
        <w:pStyle w:val="Paragraphedeliste"/>
        <w:numPr>
          <w:ilvl w:val="0"/>
          <w:numId w:val="25"/>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dynamique de croissance en hauteur (DCH)</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A la première date de notation et jusqu’à la troisième date de notation, les populations P'3, P'4, P'1 et P'2 présentent un développement régulier. </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A partir de la quatrième date de notation et jusqu’à la dernière date de notation, les populations P'4, P'2 présentent les valeurs de croissance les plus importantes par rapport à celles des populations P'1 et P'3 (Fig. 50).</w:t>
      </w:r>
    </w:p>
    <w:p w:rsidR="004A2A5D" w:rsidRPr="00EB0638" w:rsidRDefault="004A2A5D" w:rsidP="00D15CEB">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L’analyse de variance a donné une différence très hautement significative entre les populations pour la première date de notation, </w:t>
      </w:r>
      <w:r w:rsidR="00835E56" w:rsidRPr="00EB0638">
        <w:rPr>
          <w:rFonts w:ascii="Times New Roman" w:hAnsi="Times New Roman" w:cs="Times New Roman"/>
          <w:sz w:val="24"/>
          <w:szCs w:val="24"/>
        </w:rPr>
        <w:t xml:space="preserve">hautement </w:t>
      </w:r>
      <w:r w:rsidRPr="00EB0638">
        <w:rPr>
          <w:rFonts w:ascii="Times New Roman" w:hAnsi="Times New Roman" w:cs="Times New Roman"/>
          <w:sz w:val="24"/>
          <w:szCs w:val="24"/>
        </w:rPr>
        <w:t>significative pour la deuxième date et non significative pour la quatrième et la cinq</w:t>
      </w:r>
      <w:r w:rsidR="00FC1D34">
        <w:rPr>
          <w:rFonts w:ascii="Times New Roman" w:hAnsi="Times New Roman" w:cs="Times New Roman"/>
          <w:sz w:val="24"/>
          <w:szCs w:val="24"/>
        </w:rPr>
        <w:t>uième date de notation (Annexe 6</w:t>
      </w:r>
      <w:r w:rsidRPr="00EB0638">
        <w:rPr>
          <w:rFonts w:ascii="Times New Roman" w:hAnsi="Times New Roman" w:cs="Times New Roman"/>
          <w:sz w:val="24"/>
          <w:szCs w:val="24"/>
        </w:rPr>
        <w:t xml:space="preserve">). La comparaison des moyennes permet d’y déceler deux groupes homogènes A et B qui se chevauchent pour la première et la deuxième date de notation </w:t>
      </w:r>
      <w:r w:rsidR="00162058">
        <w:rPr>
          <w:rFonts w:ascii="Times New Roman" w:hAnsi="Times New Roman" w:cs="Times New Roman"/>
          <w:sz w:val="24"/>
          <w:szCs w:val="24"/>
        </w:rPr>
        <w:t>(Fig. 50 ; Annexe 6</w:t>
      </w:r>
      <w:r w:rsidRPr="00EB0638">
        <w:rPr>
          <w:rFonts w:ascii="Times New Roman" w:hAnsi="Times New Roman" w:cs="Times New Roman"/>
          <w:sz w:val="24"/>
          <w:szCs w:val="24"/>
        </w:rPr>
        <w:t>).</w:t>
      </w:r>
    </w:p>
    <w:p w:rsidR="004A2A5D" w:rsidRPr="00EB0638" w:rsidRDefault="004A2A5D" w:rsidP="00AD6B8B">
      <w:pPr>
        <w:pStyle w:val="Paragraphedeliste"/>
        <w:numPr>
          <w:ilvl w:val="0"/>
          <w:numId w:val="25"/>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 xml:space="preserve">Vitesse moyenne de croissance </w:t>
      </w:r>
      <w:r w:rsidR="004B6D8C">
        <w:rPr>
          <w:rFonts w:ascii="Times New Roman" w:hAnsi="Times New Roman" w:cs="Times New Roman"/>
          <w:b/>
          <w:bCs/>
          <w:sz w:val="24"/>
          <w:szCs w:val="24"/>
        </w:rPr>
        <w:t>en hauteur</w:t>
      </w:r>
      <w:r w:rsidR="002630B7">
        <w:rPr>
          <w:rFonts w:ascii="Times New Roman" w:hAnsi="Times New Roman" w:cs="Times New Roman"/>
          <w:b/>
          <w:bCs/>
          <w:sz w:val="24"/>
          <w:szCs w:val="24"/>
        </w:rPr>
        <w:t xml:space="preserve"> </w:t>
      </w:r>
      <w:r w:rsidRPr="00EB0638">
        <w:rPr>
          <w:rFonts w:ascii="Times New Roman" w:hAnsi="Times New Roman" w:cs="Times New Roman"/>
          <w:b/>
          <w:bCs/>
          <w:sz w:val="24"/>
          <w:szCs w:val="24"/>
        </w:rPr>
        <w:t>(VCH)</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met en évidence des différences très hautement significative</w:t>
      </w:r>
      <w:r w:rsidR="00162058">
        <w:rPr>
          <w:rFonts w:ascii="Times New Roman" w:hAnsi="Times New Roman" w:cs="Times New Roman"/>
          <w:sz w:val="24"/>
          <w:szCs w:val="24"/>
        </w:rPr>
        <w:t>s entre les populations (Annexe 6</w:t>
      </w:r>
      <w:r w:rsidRPr="00EB0638">
        <w:rPr>
          <w:rFonts w:ascii="Times New Roman" w:hAnsi="Times New Roman" w:cs="Times New Roman"/>
          <w:sz w:val="24"/>
          <w:szCs w:val="24"/>
        </w:rPr>
        <w:t>). La comparaison des moyennes permet de décèle deux groupes homogènes. Le groupe A qui renferme les populations P'1, P'2, P'4 avec respectivement</w:t>
      </w:r>
      <w:r w:rsidR="00D95ED0">
        <w:rPr>
          <w:rFonts w:ascii="Times New Roman" w:hAnsi="Times New Roman" w:cs="Times New Roman"/>
          <w:sz w:val="24"/>
          <w:szCs w:val="24"/>
        </w:rPr>
        <w:t xml:space="preserve"> 2,49. 2,47 et 2,</w:t>
      </w:r>
      <w:r w:rsidRPr="00EB0638">
        <w:rPr>
          <w:rFonts w:ascii="Times New Roman" w:hAnsi="Times New Roman" w:cs="Times New Roman"/>
          <w:sz w:val="24"/>
          <w:szCs w:val="24"/>
        </w:rPr>
        <w:t>46 cm/j. Le groupe B qui re</w:t>
      </w:r>
      <w:r w:rsidR="00D95ED0">
        <w:rPr>
          <w:rFonts w:ascii="Times New Roman" w:hAnsi="Times New Roman" w:cs="Times New Roman"/>
          <w:sz w:val="24"/>
          <w:szCs w:val="24"/>
        </w:rPr>
        <w:t>nferme la population P'3 avec 2,</w:t>
      </w:r>
      <w:r w:rsidRPr="00EB0638">
        <w:rPr>
          <w:rFonts w:ascii="Times New Roman" w:hAnsi="Times New Roman" w:cs="Times New Roman"/>
          <w:sz w:val="24"/>
          <w:szCs w:val="24"/>
        </w:rPr>
        <w:t>22 cm/j (Fig. 51).</w:t>
      </w:r>
    </w:p>
    <w:p w:rsidR="004A2A5D" w:rsidRPr="00EB0638" w:rsidRDefault="004A2A5D" w:rsidP="001C0F94">
      <w:pPr>
        <w:pStyle w:val="Titre1"/>
        <w:numPr>
          <w:ilvl w:val="0"/>
          <w:numId w:val="50"/>
        </w:numPr>
        <w:spacing w:after="240"/>
        <w:rPr>
          <w:rFonts w:ascii="Times New Roman" w:hAnsi="Times New Roman"/>
          <w:color w:val="auto"/>
        </w:rPr>
      </w:pPr>
      <w:bookmarkStart w:id="1557" w:name="_Toc251855078"/>
      <w:bookmarkStart w:id="1558" w:name="_Toc251855488"/>
      <w:bookmarkStart w:id="1559" w:name="_Toc126492648"/>
      <w:bookmarkStart w:id="1560" w:name="_Toc126493063"/>
      <w:bookmarkStart w:id="1561" w:name="_Toc126570575"/>
      <w:bookmarkStart w:id="1562" w:name="_Toc126571889"/>
      <w:bookmarkStart w:id="1563" w:name="_Toc126572670"/>
      <w:bookmarkStart w:id="1564" w:name="_Toc126575307"/>
      <w:bookmarkStart w:id="1565" w:name="_Toc126575988"/>
      <w:bookmarkStart w:id="1566" w:name="_Toc126576863"/>
      <w:bookmarkStart w:id="1567" w:name="_Toc252094072"/>
      <w:bookmarkStart w:id="1568" w:name="_Toc252365461"/>
      <w:bookmarkStart w:id="1569" w:name="_Toc252365732"/>
      <w:bookmarkStart w:id="1570" w:name="_Toc252366277"/>
      <w:r w:rsidRPr="00EB0638">
        <w:rPr>
          <w:rFonts w:ascii="Times New Roman" w:hAnsi="Times New Roman"/>
          <w:color w:val="auto"/>
        </w:rPr>
        <w:t>Etude biométrique</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rsidR="004A2A5D" w:rsidRPr="00EB0638" w:rsidRDefault="004A2A5D" w:rsidP="004A2A5D">
      <w:pPr>
        <w:spacing w:after="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récolte a été effectuée le 1 juillet, après la maturation complète des plants. </w:t>
      </w:r>
    </w:p>
    <w:p w:rsidR="004A2A5D" w:rsidRPr="00EB0638" w:rsidRDefault="004A2A5D" w:rsidP="00AD6B8B">
      <w:pPr>
        <w:pStyle w:val="Paragraphedeliste"/>
        <w:numPr>
          <w:ilvl w:val="0"/>
          <w:numId w:val="38"/>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branches par plant (NBP)</w:t>
      </w:r>
    </w:p>
    <w:p w:rsidR="004A2A5D" w:rsidRPr="00EB0638" w:rsidRDefault="004A2A5D" w:rsidP="004C0CEA">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indique des différences hautement significatives</w:t>
      </w:r>
      <w:r w:rsidR="00162058">
        <w:rPr>
          <w:rFonts w:ascii="Times New Roman" w:hAnsi="Times New Roman" w:cs="Times New Roman"/>
          <w:sz w:val="24"/>
          <w:szCs w:val="24"/>
        </w:rPr>
        <w:t xml:space="preserve"> entre les populations (Annexe 6</w:t>
      </w:r>
      <w:r w:rsidRPr="00EB0638">
        <w:rPr>
          <w:rFonts w:ascii="Times New Roman" w:hAnsi="Times New Roman" w:cs="Times New Roman"/>
          <w:sz w:val="24"/>
          <w:szCs w:val="24"/>
        </w:rPr>
        <w:t>). La comparaison des moyennes à partir de test Newman et keuls permet de déceler deux groupes qui se chevauchent. Le groupe A qui renf</w:t>
      </w:r>
      <w:r w:rsidR="00D95ED0">
        <w:rPr>
          <w:rFonts w:ascii="Times New Roman" w:hAnsi="Times New Roman" w:cs="Times New Roman"/>
          <w:sz w:val="24"/>
          <w:szCs w:val="24"/>
        </w:rPr>
        <w:t>erme la population P'3, avec 19,</w:t>
      </w:r>
      <w:r w:rsidRPr="00EB0638">
        <w:rPr>
          <w:rFonts w:ascii="Times New Roman" w:hAnsi="Times New Roman" w:cs="Times New Roman"/>
          <w:sz w:val="24"/>
          <w:szCs w:val="24"/>
        </w:rPr>
        <w:t>17 bra</w:t>
      </w:r>
      <w:r w:rsidR="00BF54DB">
        <w:rPr>
          <w:rFonts w:ascii="Times New Roman" w:hAnsi="Times New Roman" w:cs="Times New Roman"/>
          <w:sz w:val="24"/>
          <w:szCs w:val="24"/>
        </w:rPr>
        <w:t>nches</w:t>
      </w:r>
      <w:r w:rsidR="00E83AEC">
        <w:rPr>
          <w:rFonts w:ascii="Times New Roman" w:hAnsi="Times New Roman" w:cs="Times New Roman"/>
          <w:sz w:val="24"/>
          <w:szCs w:val="24"/>
        </w:rPr>
        <w:t>. L</w:t>
      </w:r>
      <w:r w:rsidR="004C0CEA">
        <w:rPr>
          <w:rFonts w:ascii="Times New Roman" w:hAnsi="Times New Roman" w:cs="Times New Roman"/>
          <w:sz w:val="24"/>
          <w:szCs w:val="24"/>
        </w:rPr>
        <w:t xml:space="preserve">e groupe </w:t>
      </w:r>
      <w:r w:rsidRPr="00EB0638">
        <w:rPr>
          <w:rFonts w:ascii="Times New Roman" w:hAnsi="Times New Roman" w:cs="Times New Roman"/>
          <w:sz w:val="24"/>
          <w:szCs w:val="24"/>
        </w:rPr>
        <w:t>B qui représente l</w:t>
      </w:r>
      <w:r w:rsidR="004C0CEA">
        <w:rPr>
          <w:rFonts w:ascii="Times New Roman" w:hAnsi="Times New Roman" w:cs="Times New Roman"/>
          <w:sz w:val="24"/>
          <w:szCs w:val="24"/>
        </w:rPr>
        <w:t>a population P'4</w:t>
      </w:r>
      <w:r w:rsidRPr="00EB0638">
        <w:rPr>
          <w:rFonts w:ascii="Times New Roman" w:hAnsi="Times New Roman" w:cs="Times New Roman"/>
          <w:sz w:val="24"/>
          <w:szCs w:val="24"/>
        </w:rPr>
        <w:t xml:space="preserve"> avec </w:t>
      </w:r>
      <w:r w:rsidR="004C0CEA">
        <w:rPr>
          <w:rFonts w:ascii="Times New Roman" w:hAnsi="Times New Roman" w:cs="Times New Roman"/>
          <w:sz w:val="24"/>
          <w:szCs w:val="24"/>
        </w:rPr>
        <w:t>1</w:t>
      </w:r>
      <w:r w:rsidR="00D95ED0">
        <w:rPr>
          <w:rFonts w:ascii="Times New Roman" w:hAnsi="Times New Roman" w:cs="Times New Roman"/>
          <w:sz w:val="24"/>
          <w:szCs w:val="24"/>
        </w:rPr>
        <w:t>5,</w:t>
      </w:r>
      <w:r w:rsidR="004C0CEA">
        <w:rPr>
          <w:rFonts w:ascii="Times New Roman" w:hAnsi="Times New Roman" w:cs="Times New Roman"/>
          <w:sz w:val="24"/>
          <w:szCs w:val="24"/>
        </w:rPr>
        <w:t>47</w:t>
      </w:r>
      <w:r w:rsidRPr="00EB0638">
        <w:rPr>
          <w:rFonts w:ascii="Times New Roman" w:hAnsi="Times New Roman" w:cs="Times New Roman"/>
          <w:sz w:val="24"/>
          <w:szCs w:val="24"/>
        </w:rPr>
        <w:t xml:space="preserve"> branches </w:t>
      </w:r>
      <w:r w:rsidR="00BF54DB">
        <w:rPr>
          <w:rFonts w:ascii="Times New Roman" w:hAnsi="Times New Roman" w:cs="Times New Roman"/>
          <w:sz w:val="24"/>
          <w:szCs w:val="24"/>
        </w:rPr>
        <w:t xml:space="preserve"> </w:t>
      </w:r>
      <w:r w:rsidR="00E83AEC">
        <w:rPr>
          <w:rFonts w:ascii="Times New Roman" w:hAnsi="Times New Roman" w:cs="Times New Roman"/>
          <w:sz w:val="24"/>
          <w:szCs w:val="24"/>
        </w:rPr>
        <w:t xml:space="preserve">et  le groupe AB </w:t>
      </w:r>
      <w:r w:rsidR="00E83AEC" w:rsidRPr="00EB0638">
        <w:rPr>
          <w:rFonts w:ascii="Times New Roman" w:hAnsi="Times New Roman" w:cs="Times New Roman"/>
          <w:sz w:val="24"/>
          <w:szCs w:val="24"/>
        </w:rPr>
        <w:t>qui ren</w:t>
      </w:r>
      <w:r w:rsidR="00E83AEC">
        <w:rPr>
          <w:rFonts w:ascii="Times New Roman" w:hAnsi="Times New Roman" w:cs="Times New Roman"/>
          <w:sz w:val="24"/>
          <w:szCs w:val="24"/>
        </w:rPr>
        <w:t>ferme les populations P'1, P'2, avec  respectivement 16</w:t>
      </w:r>
      <w:r w:rsidR="00D95ED0">
        <w:rPr>
          <w:rFonts w:ascii="Times New Roman" w:hAnsi="Times New Roman" w:cs="Times New Roman"/>
          <w:sz w:val="24"/>
          <w:szCs w:val="24"/>
        </w:rPr>
        <w:t>,</w:t>
      </w:r>
      <w:r w:rsidR="00E83AEC">
        <w:rPr>
          <w:rFonts w:ascii="Times New Roman" w:hAnsi="Times New Roman" w:cs="Times New Roman"/>
          <w:sz w:val="24"/>
          <w:szCs w:val="24"/>
        </w:rPr>
        <w:t>95 et 17</w:t>
      </w:r>
      <w:r w:rsidR="00D95ED0">
        <w:rPr>
          <w:rFonts w:ascii="Times New Roman" w:hAnsi="Times New Roman" w:cs="Times New Roman"/>
          <w:sz w:val="24"/>
          <w:szCs w:val="24"/>
        </w:rPr>
        <w:t>,</w:t>
      </w:r>
      <w:r w:rsidR="00E83AEC">
        <w:rPr>
          <w:rFonts w:ascii="Times New Roman" w:hAnsi="Times New Roman" w:cs="Times New Roman"/>
          <w:sz w:val="24"/>
          <w:szCs w:val="24"/>
        </w:rPr>
        <w:t xml:space="preserve">52 branches </w:t>
      </w:r>
      <w:r w:rsidRPr="00EB0638">
        <w:rPr>
          <w:rFonts w:ascii="Times New Roman" w:hAnsi="Times New Roman" w:cs="Times New Roman"/>
          <w:sz w:val="24"/>
          <w:szCs w:val="24"/>
        </w:rPr>
        <w:t>(Fig. 52).</w:t>
      </w:r>
    </w:p>
    <w:p w:rsidR="003310E3" w:rsidRPr="00EB0638" w:rsidRDefault="004A2A5D" w:rsidP="003310E3">
      <w:pPr>
        <w:keepNext/>
        <w:spacing w:line="360" w:lineRule="auto"/>
        <w:jc w:val="center"/>
      </w:pPr>
      <w:r w:rsidRPr="00EB0638">
        <w:rPr>
          <w:rFonts w:ascii="Times New Roman" w:hAnsi="Times New Roman" w:cs="Times New Roman"/>
          <w:b/>
          <w:bCs/>
          <w:noProof/>
          <w:sz w:val="24"/>
          <w:szCs w:val="24"/>
        </w:rPr>
        <w:lastRenderedPageBreak/>
        <w:drawing>
          <wp:inline distT="0" distB="0" distL="0" distR="0">
            <wp:extent cx="5397699" cy="2336509"/>
            <wp:effectExtent l="19050" t="0" r="12501" b="6641"/>
            <wp:docPr id="105"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A2A5D" w:rsidRPr="00EB0638" w:rsidRDefault="00B3221C" w:rsidP="00463B12">
      <w:pPr>
        <w:pStyle w:val="Lgende"/>
        <w:spacing w:before="240"/>
        <w:jc w:val="center"/>
        <w:rPr>
          <w:rFonts w:asciiTheme="majorBidi" w:hAnsiTheme="majorBidi" w:cstheme="majorBidi"/>
          <w:color w:val="auto"/>
          <w:sz w:val="24"/>
          <w:szCs w:val="24"/>
        </w:rPr>
      </w:pPr>
      <w:bookmarkStart w:id="1571" w:name="_Toc252194987"/>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50</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:Les cinq hauteurs moyennes des plants en (cm).</w:t>
      </w:r>
      <w:bookmarkEnd w:id="1571"/>
    </w:p>
    <w:p w:rsidR="003310E3" w:rsidRPr="00EB0638" w:rsidRDefault="004A2A5D" w:rsidP="003310E3">
      <w:pPr>
        <w:keepNext/>
        <w:spacing w:line="360" w:lineRule="auto"/>
        <w:jc w:val="center"/>
      </w:pPr>
      <w:r w:rsidRPr="00EB0638">
        <w:rPr>
          <w:rFonts w:ascii="Times New Roman" w:hAnsi="Times New Roman" w:cs="Times New Roman"/>
          <w:noProof/>
          <w:sz w:val="24"/>
          <w:szCs w:val="24"/>
        </w:rPr>
        <w:drawing>
          <wp:inline distT="0" distB="0" distL="0" distR="0">
            <wp:extent cx="5397699" cy="2336509"/>
            <wp:effectExtent l="19050" t="0" r="12501" b="6641"/>
            <wp:docPr id="106"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A2A5D" w:rsidRPr="00EB0638" w:rsidRDefault="00B3221C" w:rsidP="00463B12">
      <w:pPr>
        <w:pStyle w:val="Lgende"/>
        <w:spacing w:before="240"/>
        <w:jc w:val="center"/>
        <w:rPr>
          <w:rFonts w:asciiTheme="majorBidi" w:hAnsiTheme="majorBidi" w:cstheme="majorBidi"/>
          <w:color w:val="auto"/>
          <w:sz w:val="24"/>
          <w:szCs w:val="24"/>
        </w:rPr>
      </w:pPr>
      <w:bookmarkStart w:id="1572" w:name="_Toc252194988"/>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51</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:Vitesse moyenne de croissance en (cm/j).</w:t>
      </w:r>
      <w:bookmarkEnd w:id="1572"/>
    </w:p>
    <w:p w:rsidR="003310E3" w:rsidRPr="00EB0638" w:rsidRDefault="004A2A5D" w:rsidP="003310E3">
      <w:pPr>
        <w:keepNext/>
        <w:spacing w:line="360" w:lineRule="auto"/>
        <w:jc w:val="center"/>
      </w:pPr>
      <w:r w:rsidRPr="00EB0638">
        <w:rPr>
          <w:rFonts w:ascii="Times New Roman" w:hAnsi="Times New Roman" w:cs="Times New Roman"/>
          <w:noProof/>
          <w:sz w:val="24"/>
          <w:szCs w:val="24"/>
        </w:rPr>
        <w:drawing>
          <wp:inline distT="0" distB="0" distL="0" distR="0">
            <wp:extent cx="5417515" cy="2343059"/>
            <wp:effectExtent l="18279" t="12185" r="12506" b="6956"/>
            <wp:docPr id="107"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A2A5D" w:rsidRPr="00EB0638" w:rsidRDefault="00B3221C" w:rsidP="00463B12">
      <w:pPr>
        <w:pStyle w:val="Lgende"/>
        <w:spacing w:before="240"/>
        <w:jc w:val="center"/>
        <w:rPr>
          <w:rFonts w:asciiTheme="majorBidi" w:hAnsiTheme="majorBidi" w:cstheme="majorBidi"/>
          <w:color w:val="auto"/>
          <w:sz w:val="24"/>
          <w:szCs w:val="24"/>
        </w:rPr>
      </w:pPr>
      <w:bookmarkStart w:id="1573" w:name="_Toc252194989"/>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52</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:Nombre moyen de branches par plant.</w:t>
      </w:r>
      <w:bookmarkEnd w:id="1573"/>
    </w:p>
    <w:p w:rsidR="003310E3" w:rsidRPr="00EB0638" w:rsidRDefault="003310E3" w:rsidP="003310E3"/>
    <w:p w:rsidR="003310E3" w:rsidRPr="00EB0638" w:rsidRDefault="003310E3" w:rsidP="003310E3"/>
    <w:p w:rsidR="004A2A5D" w:rsidRPr="00D92207" w:rsidRDefault="004A2A5D" w:rsidP="00AD6B8B">
      <w:pPr>
        <w:pStyle w:val="Paragraphedeliste"/>
        <w:numPr>
          <w:ilvl w:val="0"/>
          <w:numId w:val="38"/>
        </w:numPr>
        <w:spacing w:before="240" w:line="360" w:lineRule="auto"/>
        <w:contextualSpacing w:val="0"/>
        <w:jc w:val="both"/>
        <w:rPr>
          <w:rFonts w:ascii="Times New Roman" w:hAnsi="Times New Roman" w:cs="Times New Roman"/>
          <w:b/>
          <w:bCs/>
          <w:sz w:val="24"/>
          <w:szCs w:val="24"/>
        </w:rPr>
      </w:pPr>
      <w:r w:rsidRPr="00D92207">
        <w:rPr>
          <w:rFonts w:ascii="Times New Roman" w:hAnsi="Times New Roman" w:cs="Times New Roman"/>
          <w:b/>
          <w:bCs/>
          <w:sz w:val="24"/>
          <w:szCs w:val="24"/>
        </w:rPr>
        <w:t>Nombre moyen de capitules par plant (NCP)</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production moyenne de capitules par pla</w:t>
      </w:r>
      <w:r w:rsidR="00D95ED0">
        <w:rPr>
          <w:rFonts w:ascii="Times New Roman" w:hAnsi="Times New Roman" w:cs="Times New Roman"/>
          <w:sz w:val="24"/>
          <w:szCs w:val="24"/>
        </w:rPr>
        <w:t>nt varie entre un maximum de 83,</w:t>
      </w:r>
      <w:r w:rsidRPr="00EB0638">
        <w:rPr>
          <w:rFonts w:ascii="Times New Roman" w:hAnsi="Times New Roman" w:cs="Times New Roman"/>
          <w:sz w:val="24"/>
          <w:szCs w:val="24"/>
        </w:rPr>
        <w:t>13 pour la pop</w:t>
      </w:r>
      <w:r w:rsidR="00D95ED0">
        <w:rPr>
          <w:rFonts w:ascii="Times New Roman" w:hAnsi="Times New Roman" w:cs="Times New Roman"/>
          <w:sz w:val="24"/>
          <w:szCs w:val="24"/>
        </w:rPr>
        <w:t>ulation P'3 et un minimum de 45,</w:t>
      </w:r>
      <w:r w:rsidRPr="00EB0638">
        <w:rPr>
          <w:rFonts w:ascii="Times New Roman" w:hAnsi="Times New Roman" w:cs="Times New Roman"/>
          <w:sz w:val="24"/>
          <w:szCs w:val="24"/>
        </w:rPr>
        <w:t xml:space="preserve">5capitules pour la population P'1 (Fig. 53). </w:t>
      </w:r>
    </w:p>
    <w:p w:rsidR="004A2A5D" w:rsidRPr="00EB0638" w:rsidRDefault="004A2A5D" w:rsidP="005B3BB5">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décèle une déférence très hautement significative</w:t>
      </w:r>
      <w:r w:rsidR="007C0230">
        <w:rPr>
          <w:rFonts w:ascii="Times New Roman" w:hAnsi="Times New Roman" w:cs="Times New Roman"/>
          <w:sz w:val="24"/>
          <w:szCs w:val="24"/>
        </w:rPr>
        <w:t xml:space="preserve"> entre les populations (Annexe 6</w:t>
      </w:r>
      <w:r w:rsidRPr="00EB0638">
        <w:rPr>
          <w:rFonts w:ascii="Times New Roman" w:hAnsi="Times New Roman" w:cs="Times New Roman"/>
          <w:sz w:val="24"/>
          <w:szCs w:val="24"/>
        </w:rPr>
        <w:t xml:space="preserve">). La comparaison des moyennes permet de déterminer </w:t>
      </w:r>
      <w:r w:rsidR="005B3BB5">
        <w:rPr>
          <w:rFonts w:ascii="Times New Roman" w:hAnsi="Times New Roman" w:cs="Times New Roman"/>
          <w:sz w:val="24"/>
          <w:szCs w:val="24"/>
        </w:rPr>
        <w:t xml:space="preserve">deux </w:t>
      </w:r>
      <w:r w:rsidRPr="00EB0638">
        <w:rPr>
          <w:rFonts w:ascii="Times New Roman" w:hAnsi="Times New Roman" w:cs="Times New Roman"/>
          <w:sz w:val="24"/>
          <w:szCs w:val="24"/>
        </w:rPr>
        <w:t xml:space="preserve">groupes homogènes. Le groupe A qui renferme la population P'3 et le groupe B qui renferme les populations P'1, P'2 et P'4 (Fig. 53). </w:t>
      </w:r>
    </w:p>
    <w:p w:rsidR="004A2A5D" w:rsidRPr="00EB0638" w:rsidRDefault="004A2A5D" w:rsidP="00AD6B8B">
      <w:pPr>
        <w:pStyle w:val="Paragraphedeliste"/>
        <w:numPr>
          <w:ilvl w:val="0"/>
          <w:numId w:val="38"/>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capitules par branche (NCB)</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montre des différences très hautement significatives</w:t>
      </w:r>
      <w:r w:rsidR="007C0230">
        <w:rPr>
          <w:rFonts w:ascii="Times New Roman" w:hAnsi="Times New Roman" w:cs="Times New Roman"/>
          <w:sz w:val="24"/>
          <w:szCs w:val="24"/>
        </w:rPr>
        <w:t xml:space="preserve"> entre les populations (Annexe 6</w:t>
      </w:r>
      <w:r w:rsidRPr="00EB0638">
        <w:rPr>
          <w:rFonts w:ascii="Times New Roman" w:hAnsi="Times New Roman" w:cs="Times New Roman"/>
          <w:sz w:val="24"/>
          <w:szCs w:val="24"/>
        </w:rPr>
        <w:t xml:space="preserve">). La comparaison des moyennes permet de faire ressortir deux groupes homogènes. Le groupe A qui renferme la population P'3 et le groupe B qui renferme les populations P'1, P'2 et P'4 (Fig. 54). </w:t>
      </w:r>
    </w:p>
    <w:p w:rsidR="004A2A5D" w:rsidRPr="00EB0638" w:rsidRDefault="004A2A5D" w:rsidP="00AD6B8B">
      <w:pPr>
        <w:pStyle w:val="Paragraphedeliste"/>
        <w:numPr>
          <w:ilvl w:val="0"/>
          <w:numId w:val="38"/>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Poids moyen de capitules par plant (PCP)</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valeur la plus élevé est observée che</w:t>
      </w:r>
      <w:r w:rsidR="00D95ED0">
        <w:rPr>
          <w:rFonts w:ascii="Times New Roman" w:hAnsi="Times New Roman" w:cs="Times New Roman"/>
          <w:sz w:val="24"/>
          <w:szCs w:val="24"/>
        </w:rPr>
        <w:t>z la population P'3 avec 156,</w:t>
      </w:r>
      <w:r w:rsidR="00952481">
        <w:rPr>
          <w:rFonts w:ascii="Times New Roman" w:hAnsi="Times New Roman" w:cs="Times New Roman"/>
          <w:sz w:val="24"/>
          <w:szCs w:val="24"/>
        </w:rPr>
        <w:t xml:space="preserve">83 </w:t>
      </w:r>
      <w:r w:rsidRPr="00EB0638">
        <w:rPr>
          <w:rFonts w:ascii="Times New Roman" w:hAnsi="Times New Roman" w:cs="Times New Roman"/>
          <w:sz w:val="24"/>
          <w:szCs w:val="24"/>
        </w:rPr>
        <w:t xml:space="preserve">g. Alors que la valeur la plus faible est enregistrée </w:t>
      </w:r>
      <w:r w:rsidR="00D95ED0">
        <w:rPr>
          <w:rFonts w:ascii="Times New Roman" w:hAnsi="Times New Roman" w:cs="Times New Roman"/>
          <w:sz w:val="24"/>
          <w:szCs w:val="24"/>
        </w:rPr>
        <w:t>chez la population P'1 avec 133,</w:t>
      </w:r>
      <w:r w:rsidR="00952481">
        <w:rPr>
          <w:rFonts w:ascii="Times New Roman" w:hAnsi="Times New Roman" w:cs="Times New Roman"/>
          <w:sz w:val="24"/>
          <w:szCs w:val="24"/>
        </w:rPr>
        <w:t xml:space="preserve">53 </w:t>
      </w:r>
      <w:r w:rsidRPr="00EB0638">
        <w:rPr>
          <w:rFonts w:ascii="Times New Roman" w:hAnsi="Times New Roman" w:cs="Times New Roman"/>
          <w:sz w:val="24"/>
          <w:szCs w:val="24"/>
        </w:rPr>
        <w:t>g (Fig. 55).</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indique des différences non significatives entre les populations ce qui suggère une homogénéité entre</w:t>
      </w:r>
      <w:r w:rsidR="007C0230">
        <w:rPr>
          <w:rFonts w:ascii="Times New Roman" w:hAnsi="Times New Roman" w:cs="Times New Roman"/>
          <w:sz w:val="24"/>
          <w:szCs w:val="24"/>
        </w:rPr>
        <w:t xml:space="preserve"> les moyennes obtenues (Annexe 6</w:t>
      </w:r>
      <w:r w:rsidRPr="00EB0638">
        <w:rPr>
          <w:rFonts w:ascii="Times New Roman" w:hAnsi="Times New Roman" w:cs="Times New Roman"/>
          <w:sz w:val="24"/>
          <w:szCs w:val="24"/>
        </w:rPr>
        <w:t>).</w:t>
      </w: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3310E3" w:rsidRPr="008C4E14" w:rsidRDefault="004A2A5D" w:rsidP="003310E3">
      <w:pPr>
        <w:keepNext/>
        <w:spacing w:line="360" w:lineRule="auto"/>
        <w:jc w:val="center"/>
        <w:rPr>
          <w:highlight w:val="yellow"/>
        </w:rPr>
      </w:pPr>
      <w:r w:rsidRPr="008C4E14">
        <w:rPr>
          <w:rFonts w:ascii="Times New Roman" w:hAnsi="Times New Roman" w:cs="Times New Roman"/>
          <w:noProof/>
          <w:sz w:val="24"/>
          <w:szCs w:val="24"/>
          <w:highlight w:val="yellow"/>
        </w:rPr>
        <w:lastRenderedPageBreak/>
        <w:drawing>
          <wp:inline distT="0" distB="0" distL="0" distR="0">
            <wp:extent cx="5397699" cy="2336509"/>
            <wp:effectExtent l="19050" t="0" r="12501" b="6641"/>
            <wp:docPr id="108"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A2A5D" w:rsidRPr="00EB0638" w:rsidRDefault="00B3221C" w:rsidP="00463B12">
      <w:pPr>
        <w:pStyle w:val="Lgende"/>
        <w:spacing w:before="240"/>
        <w:jc w:val="center"/>
        <w:rPr>
          <w:rFonts w:asciiTheme="majorBidi" w:hAnsiTheme="majorBidi" w:cstheme="majorBidi"/>
          <w:color w:val="auto"/>
          <w:sz w:val="24"/>
          <w:szCs w:val="24"/>
        </w:rPr>
      </w:pPr>
      <w:bookmarkStart w:id="1574" w:name="_Toc252194990"/>
      <w:r w:rsidRPr="00AA4CB9">
        <w:rPr>
          <w:rFonts w:asciiTheme="majorBidi" w:hAnsiTheme="majorBidi" w:cstheme="majorBidi"/>
          <w:color w:val="auto"/>
          <w:sz w:val="24"/>
          <w:szCs w:val="24"/>
        </w:rPr>
        <w:t xml:space="preserve">Fig. </w:t>
      </w:r>
      <w:r w:rsidR="00811D6A" w:rsidRPr="00AA4CB9">
        <w:rPr>
          <w:rFonts w:asciiTheme="majorBidi" w:hAnsiTheme="majorBidi" w:cstheme="majorBidi"/>
          <w:color w:val="auto"/>
          <w:sz w:val="24"/>
          <w:szCs w:val="24"/>
        </w:rPr>
        <w:fldChar w:fldCharType="begin"/>
      </w:r>
      <w:r w:rsidRPr="00AA4CB9">
        <w:rPr>
          <w:rFonts w:asciiTheme="majorBidi" w:hAnsiTheme="majorBidi" w:cstheme="majorBidi"/>
          <w:color w:val="auto"/>
          <w:sz w:val="24"/>
          <w:szCs w:val="24"/>
        </w:rPr>
        <w:instrText xml:space="preserve"> SEQ Figure \* ARABIC </w:instrText>
      </w:r>
      <w:r w:rsidR="00811D6A" w:rsidRPr="00AA4CB9">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53</w:t>
      </w:r>
      <w:r w:rsidR="00811D6A" w:rsidRPr="00AA4CB9">
        <w:rPr>
          <w:rFonts w:asciiTheme="majorBidi" w:hAnsiTheme="majorBidi" w:cstheme="majorBidi"/>
          <w:color w:val="auto"/>
          <w:sz w:val="24"/>
          <w:szCs w:val="24"/>
        </w:rPr>
        <w:fldChar w:fldCharType="end"/>
      </w:r>
      <w:r w:rsidRPr="00AA4CB9">
        <w:rPr>
          <w:rFonts w:asciiTheme="majorBidi" w:hAnsiTheme="majorBidi" w:cstheme="majorBidi"/>
          <w:color w:val="auto"/>
          <w:sz w:val="24"/>
          <w:szCs w:val="24"/>
        </w:rPr>
        <w:t>:Nombre moyen de capitules par plant.</w:t>
      </w:r>
      <w:bookmarkEnd w:id="1574"/>
    </w:p>
    <w:p w:rsidR="003310E3" w:rsidRPr="00EB0638" w:rsidRDefault="004A2A5D" w:rsidP="003310E3">
      <w:pPr>
        <w:keepNext/>
        <w:spacing w:line="360" w:lineRule="auto"/>
        <w:jc w:val="center"/>
      </w:pPr>
      <w:r w:rsidRPr="00EB0638">
        <w:rPr>
          <w:rFonts w:ascii="Times New Roman" w:hAnsi="Times New Roman" w:cs="Times New Roman"/>
          <w:b/>
          <w:bCs/>
          <w:noProof/>
          <w:sz w:val="24"/>
          <w:szCs w:val="24"/>
        </w:rPr>
        <w:drawing>
          <wp:inline distT="0" distB="0" distL="0" distR="0">
            <wp:extent cx="5397699" cy="2336509"/>
            <wp:effectExtent l="19050" t="0" r="12501" b="6641"/>
            <wp:docPr id="10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A2A5D" w:rsidRPr="00EB0638" w:rsidRDefault="00B3221C" w:rsidP="00463B12">
      <w:pPr>
        <w:pStyle w:val="Lgende"/>
        <w:spacing w:before="240"/>
        <w:jc w:val="center"/>
        <w:rPr>
          <w:rFonts w:asciiTheme="majorBidi" w:hAnsiTheme="majorBidi" w:cstheme="majorBidi"/>
          <w:color w:val="auto"/>
          <w:sz w:val="24"/>
          <w:szCs w:val="24"/>
        </w:rPr>
      </w:pPr>
      <w:bookmarkStart w:id="1575" w:name="_Toc252194991"/>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54</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:Nombre moyen de capitules par branche.</w:t>
      </w:r>
      <w:bookmarkEnd w:id="1575"/>
    </w:p>
    <w:p w:rsidR="001E4E0B" w:rsidRPr="00EB0638" w:rsidRDefault="004A2A5D" w:rsidP="001E4E0B">
      <w:pPr>
        <w:keepNext/>
        <w:spacing w:line="360" w:lineRule="auto"/>
        <w:jc w:val="center"/>
      </w:pPr>
      <w:r w:rsidRPr="00EB0638">
        <w:rPr>
          <w:rFonts w:ascii="Times New Roman" w:hAnsi="Times New Roman" w:cs="Times New Roman"/>
          <w:noProof/>
          <w:sz w:val="24"/>
          <w:szCs w:val="24"/>
        </w:rPr>
        <w:drawing>
          <wp:inline distT="0" distB="0" distL="0" distR="0">
            <wp:extent cx="5397699" cy="2336509"/>
            <wp:effectExtent l="19050" t="0" r="12501" b="6641"/>
            <wp:docPr id="110"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A2A5D" w:rsidRPr="00EB0638" w:rsidRDefault="008C6E66" w:rsidP="00463B12">
      <w:pPr>
        <w:pStyle w:val="Lgende"/>
        <w:spacing w:before="240"/>
        <w:jc w:val="center"/>
        <w:rPr>
          <w:rFonts w:asciiTheme="majorBidi" w:hAnsiTheme="majorBidi" w:cstheme="majorBidi"/>
          <w:color w:val="auto"/>
          <w:sz w:val="24"/>
          <w:szCs w:val="24"/>
        </w:rPr>
      </w:pPr>
      <w:bookmarkStart w:id="1576" w:name="_Toc252194992"/>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55</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:Poids mo</w:t>
      </w:r>
      <w:r w:rsidR="00952481">
        <w:rPr>
          <w:rFonts w:asciiTheme="majorBidi" w:hAnsiTheme="majorBidi" w:cstheme="majorBidi"/>
          <w:color w:val="auto"/>
          <w:sz w:val="24"/>
          <w:szCs w:val="24"/>
        </w:rPr>
        <w:t>yen de capitules par plant en (</w:t>
      </w:r>
      <w:r w:rsidRPr="00EB0638">
        <w:rPr>
          <w:rFonts w:asciiTheme="majorBidi" w:hAnsiTheme="majorBidi" w:cstheme="majorBidi"/>
          <w:color w:val="auto"/>
          <w:sz w:val="24"/>
          <w:szCs w:val="24"/>
        </w:rPr>
        <w:t>g).</w:t>
      </w:r>
      <w:bookmarkEnd w:id="1576"/>
    </w:p>
    <w:p w:rsidR="004A2A5D" w:rsidRPr="00EB0638" w:rsidRDefault="004A2A5D" w:rsidP="004A2A5D">
      <w:pPr>
        <w:spacing w:line="360" w:lineRule="auto"/>
        <w:jc w:val="center"/>
        <w:rPr>
          <w:rFonts w:ascii="Times New Roman" w:hAnsi="Times New Roman" w:cs="Times New Roman"/>
          <w:b/>
          <w:bCs/>
          <w:sz w:val="24"/>
          <w:szCs w:val="24"/>
        </w:rPr>
      </w:pPr>
    </w:p>
    <w:p w:rsidR="001E4E0B" w:rsidRPr="00EB0638" w:rsidRDefault="001E4E0B" w:rsidP="004A2A5D">
      <w:pPr>
        <w:spacing w:line="360" w:lineRule="auto"/>
        <w:jc w:val="center"/>
        <w:rPr>
          <w:rFonts w:ascii="Times New Roman" w:hAnsi="Times New Roman" w:cs="Times New Roman"/>
          <w:b/>
          <w:bCs/>
          <w:sz w:val="24"/>
          <w:szCs w:val="24"/>
        </w:rPr>
      </w:pPr>
    </w:p>
    <w:p w:rsidR="004A2A5D" w:rsidRPr="002F4810" w:rsidRDefault="004A2A5D" w:rsidP="00AD6B8B">
      <w:pPr>
        <w:pStyle w:val="Paragraphedeliste"/>
        <w:numPr>
          <w:ilvl w:val="0"/>
          <w:numId w:val="38"/>
        </w:numPr>
        <w:spacing w:before="240" w:line="360" w:lineRule="auto"/>
        <w:contextualSpacing w:val="0"/>
        <w:jc w:val="both"/>
        <w:rPr>
          <w:rFonts w:ascii="Times New Roman" w:hAnsi="Times New Roman" w:cs="Times New Roman"/>
          <w:b/>
          <w:bCs/>
          <w:sz w:val="24"/>
          <w:szCs w:val="24"/>
        </w:rPr>
      </w:pPr>
      <w:r w:rsidRPr="002F4810">
        <w:rPr>
          <w:rFonts w:ascii="Times New Roman" w:hAnsi="Times New Roman" w:cs="Times New Roman"/>
          <w:b/>
          <w:bCs/>
          <w:sz w:val="24"/>
          <w:szCs w:val="24"/>
        </w:rPr>
        <w:t>Poids moyen de fleurs par plant (PFP)</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a donné des différences non significatives entre les populations ce qui suggère une homogénéité entre les moye</w:t>
      </w:r>
      <w:r w:rsidR="007C0230">
        <w:rPr>
          <w:rFonts w:ascii="Times New Roman" w:hAnsi="Times New Roman" w:cs="Times New Roman"/>
          <w:sz w:val="24"/>
          <w:szCs w:val="24"/>
        </w:rPr>
        <w:t>nnes obtenues (Fig. 56; Annexe 6</w:t>
      </w:r>
      <w:r w:rsidRPr="00EB0638">
        <w:rPr>
          <w:rFonts w:ascii="Times New Roman" w:hAnsi="Times New Roman" w:cs="Times New Roman"/>
          <w:sz w:val="24"/>
          <w:szCs w:val="24"/>
        </w:rPr>
        <w:t xml:space="preserve">). </w:t>
      </w:r>
      <w:r w:rsidR="00D95ED0">
        <w:rPr>
          <w:rFonts w:ascii="Times New Roman" w:hAnsi="Times New Roman" w:cs="Times New Roman"/>
          <w:sz w:val="24"/>
          <w:szCs w:val="24"/>
        </w:rPr>
        <w:t>Le poids moyen général est de 7,</w:t>
      </w:r>
      <w:r w:rsidR="00952481">
        <w:rPr>
          <w:rFonts w:ascii="Times New Roman" w:hAnsi="Times New Roman" w:cs="Times New Roman"/>
          <w:sz w:val="24"/>
          <w:szCs w:val="24"/>
        </w:rPr>
        <w:t xml:space="preserve">38 </w:t>
      </w:r>
      <w:r w:rsidRPr="00EB0638">
        <w:rPr>
          <w:rFonts w:ascii="Times New Roman" w:hAnsi="Times New Roman" w:cs="Times New Roman"/>
          <w:sz w:val="24"/>
          <w:szCs w:val="24"/>
        </w:rPr>
        <w:t xml:space="preserve">g. </w:t>
      </w:r>
    </w:p>
    <w:p w:rsidR="004A2A5D" w:rsidRPr="00EB0638" w:rsidRDefault="004A2A5D" w:rsidP="00AD6B8B">
      <w:pPr>
        <w:pStyle w:val="Paragraphedeliste"/>
        <w:numPr>
          <w:ilvl w:val="0"/>
          <w:numId w:val="38"/>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La longueur moyenne du capitule (LC)</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meilleure longueur moyenne du capitule est enregistré</w:t>
      </w:r>
      <w:r w:rsidR="00D95ED0">
        <w:rPr>
          <w:rFonts w:ascii="Times New Roman" w:hAnsi="Times New Roman" w:cs="Times New Roman"/>
          <w:sz w:val="24"/>
          <w:szCs w:val="24"/>
        </w:rPr>
        <w:t>e par la population P'3 avec 23,</w:t>
      </w:r>
      <w:r w:rsidRPr="00EB0638">
        <w:rPr>
          <w:rFonts w:ascii="Times New Roman" w:hAnsi="Times New Roman" w:cs="Times New Roman"/>
          <w:sz w:val="24"/>
          <w:szCs w:val="24"/>
        </w:rPr>
        <w:t>05 mm. Par contre la population P'4 se distingue par de petits ca</w:t>
      </w:r>
      <w:r w:rsidR="00D95ED0">
        <w:rPr>
          <w:rFonts w:ascii="Times New Roman" w:hAnsi="Times New Roman" w:cs="Times New Roman"/>
          <w:sz w:val="24"/>
          <w:szCs w:val="24"/>
        </w:rPr>
        <w:t>pitules dont la longueur est 21,</w:t>
      </w:r>
      <w:r w:rsidRPr="00EB0638">
        <w:rPr>
          <w:rFonts w:ascii="Times New Roman" w:hAnsi="Times New Roman" w:cs="Times New Roman"/>
          <w:sz w:val="24"/>
          <w:szCs w:val="24"/>
        </w:rPr>
        <w:t>51mm (Fig. 57).</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L’analyse de variance met en évidence un effet inter population </w:t>
      </w:r>
      <w:r w:rsidR="007C0230">
        <w:rPr>
          <w:rFonts w:ascii="Times New Roman" w:hAnsi="Times New Roman" w:cs="Times New Roman"/>
          <w:sz w:val="24"/>
          <w:szCs w:val="24"/>
        </w:rPr>
        <w:t>hautement significatif (Annexe 6</w:t>
      </w:r>
      <w:r w:rsidRPr="00EB0638">
        <w:rPr>
          <w:rFonts w:ascii="Times New Roman" w:hAnsi="Times New Roman" w:cs="Times New Roman"/>
          <w:sz w:val="24"/>
          <w:szCs w:val="24"/>
        </w:rPr>
        <w:t>). La comparaison des moyennes permet de faire ressortir deux groupes qui se chevauchent (Fig. 57).</w:t>
      </w:r>
    </w:p>
    <w:p w:rsidR="004A2A5D" w:rsidRPr="00EB0638" w:rsidRDefault="00FA38CB" w:rsidP="00AD6B8B">
      <w:pPr>
        <w:pStyle w:val="Paragraphedeliste"/>
        <w:numPr>
          <w:ilvl w:val="0"/>
          <w:numId w:val="38"/>
        </w:numPr>
        <w:spacing w:before="240" w:line="36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Le diamètre moyen du</w:t>
      </w:r>
      <w:r w:rsidR="004A2A5D" w:rsidRPr="00EB0638">
        <w:rPr>
          <w:rFonts w:ascii="Times New Roman" w:hAnsi="Times New Roman" w:cs="Times New Roman"/>
          <w:b/>
          <w:bCs/>
          <w:sz w:val="24"/>
          <w:szCs w:val="24"/>
        </w:rPr>
        <w:t xml:space="preserve"> capitule (DC)</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 diamètre moyen des capitules oscille </w:t>
      </w:r>
      <w:r w:rsidR="00D95ED0">
        <w:rPr>
          <w:rFonts w:ascii="Times New Roman" w:hAnsi="Times New Roman" w:cs="Times New Roman"/>
          <w:sz w:val="24"/>
          <w:szCs w:val="24"/>
        </w:rPr>
        <w:t>entre 32,</w:t>
      </w:r>
      <w:r w:rsidRPr="00EB0638">
        <w:rPr>
          <w:rFonts w:ascii="Times New Roman" w:hAnsi="Times New Roman" w:cs="Times New Roman"/>
          <w:sz w:val="24"/>
          <w:szCs w:val="24"/>
        </w:rPr>
        <w:t xml:space="preserve">48 </w:t>
      </w:r>
      <w:r w:rsidR="00D95ED0">
        <w:rPr>
          <w:rFonts w:ascii="Times New Roman" w:hAnsi="Times New Roman" w:cs="Times New Roman"/>
          <w:sz w:val="24"/>
          <w:szCs w:val="24"/>
        </w:rPr>
        <w:t>mm pour la population P'1 et 24,</w:t>
      </w:r>
      <w:r w:rsidRPr="00EB0638">
        <w:rPr>
          <w:rFonts w:ascii="Times New Roman" w:hAnsi="Times New Roman" w:cs="Times New Roman"/>
          <w:sz w:val="24"/>
          <w:szCs w:val="24"/>
        </w:rPr>
        <w:t>49 mm pour la population P'3 (Fig. 57).</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a donné un effet inter population très hautement significatif. La comparaison des moyennes permet de faire ressortir trois groupes homogènes (Fig. 57 ; Annexe</w:t>
      </w:r>
      <w:r w:rsidR="007C0230">
        <w:rPr>
          <w:rFonts w:ascii="Times New Roman" w:hAnsi="Times New Roman" w:cs="Times New Roman"/>
          <w:sz w:val="24"/>
          <w:szCs w:val="24"/>
        </w:rPr>
        <w:t xml:space="preserve"> 6</w:t>
      </w:r>
      <w:r w:rsidRPr="00EB0638">
        <w:rPr>
          <w:rFonts w:ascii="Times New Roman" w:hAnsi="Times New Roman" w:cs="Times New Roman"/>
          <w:sz w:val="24"/>
          <w:szCs w:val="24"/>
        </w:rPr>
        <w:t>).</w:t>
      </w: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b/>
          <w:bCs/>
          <w:sz w:val="24"/>
          <w:szCs w:val="24"/>
        </w:rPr>
      </w:pPr>
    </w:p>
    <w:p w:rsidR="004A2A5D" w:rsidRPr="00EB0638" w:rsidRDefault="004A2A5D" w:rsidP="004A2A5D">
      <w:pPr>
        <w:spacing w:line="360" w:lineRule="auto"/>
        <w:jc w:val="both"/>
        <w:rPr>
          <w:rFonts w:ascii="Times New Roman" w:hAnsi="Times New Roman" w:cs="Times New Roman"/>
          <w:sz w:val="24"/>
          <w:szCs w:val="24"/>
        </w:rPr>
      </w:pPr>
    </w:p>
    <w:p w:rsidR="001E4E0B" w:rsidRPr="00EB0638" w:rsidRDefault="004A2A5D" w:rsidP="001E4E0B">
      <w:pPr>
        <w:keepNext/>
        <w:spacing w:line="360" w:lineRule="auto"/>
        <w:jc w:val="center"/>
      </w:pPr>
      <w:r w:rsidRPr="00EB0638">
        <w:rPr>
          <w:rFonts w:ascii="Times New Roman" w:hAnsi="Times New Roman" w:cs="Times New Roman"/>
          <w:noProof/>
          <w:sz w:val="24"/>
          <w:szCs w:val="24"/>
        </w:rPr>
        <w:lastRenderedPageBreak/>
        <w:drawing>
          <wp:inline distT="0" distB="0" distL="0" distR="0">
            <wp:extent cx="5401610" cy="3242268"/>
            <wp:effectExtent l="19050" t="0" r="27640" b="0"/>
            <wp:docPr id="111"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A2A5D" w:rsidRPr="00EB0638" w:rsidRDefault="008C6E66" w:rsidP="00463B12">
      <w:pPr>
        <w:pStyle w:val="Lgende"/>
        <w:spacing w:before="240"/>
        <w:jc w:val="center"/>
        <w:rPr>
          <w:rFonts w:asciiTheme="majorBidi" w:hAnsiTheme="majorBidi" w:cstheme="majorBidi"/>
          <w:color w:val="auto"/>
          <w:sz w:val="24"/>
          <w:szCs w:val="24"/>
        </w:rPr>
      </w:pPr>
      <w:bookmarkStart w:id="1577" w:name="_Toc252194993"/>
      <w:r w:rsidRPr="002F4810">
        <w:rPr>
          <w:rFonts w:asciiTheme="majorBidi" w:hAnsiTheme="majorBidi" w:cstheme="majorBidi"/>
          <w:color w:val="auto"/>
          <w:sz w:val="24"/>
          <w:szCs w:val="24"/>
        </w:rPr>
        <w:t xml:space="preserve">Fig. </w:t>
      </w:r>
      <w:r w:rsidR="00811D6A" w:rsidRPr="002F4810">
        <w:rPr>
          <w:rFonts w:asciiTheme="majorBidi" w:hAnsiTheme="majorBidi" w:cstheme="majorBidi"/>
          <w:color w:val="auto"/>
          <w:sz w:val="24"/>
          <w:szCs w:val="24"/>
        </w:rPr>
        <w:fldChar w:fldCharType="begin"/>
      </w:r>
      <w:r w:rsidRPr="002F4810">
        <w:rPr>
          <w:rFonts w:asciiTheme="majorBidi" w:hAnsiTheme="majorBidi" w:cstheme="majorBidi"/>
          <w:color w:val="auto"/>
          <w:sz w:val="24"/>
          <w:szCs w:val="24"/>
        </w:rPr>
        <w:instrText xml:space="preserve"> SEQ Figure \* ARABIC </w:instrText>
      </w:r>
      <w:r w:rsidR="00811D6A" w:rsidRPr="002F4810">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56</w:t>
      </w:r>
      <w:r w:rsidR="00811D6A" w:rsidRPr="002F4810">
        <w:rPr>
          <w:rFonts w:asciiTheme="majorBidi" w:hAnsiTheme="majorBidi" w:cstheme="majorBidi"/>
          <w:color w:val="auto"/>
          <w:sz w:val="24"/>
          <w:szCs w:val="24"/>
        </w:rPr>
        <w:fldChar w:fldCharType="end"/>
      </w:r>
      <w:r w:rsidRPr="002F4810">
        <w:rPr>
          <w:rFonts w:asciiTheme="majorBidi" w:hAnsiTheme="majorBidi" w:cstheme="majorBidi"/>
          <w:color w:val="auto"/>
          <w:sz w:val="24"/>
          <w:szCs w:val="24"/>
        </w:rPr>
        <w:t xml:space="preserve">:Poids </w:t>
      </w:r>
      <w:r w:rsidR="00952481" w:rsidRPr="002F4810">
        <w:rPr>
          <w:rFonts w:asciiTheme="majorBidi" w:hAnsiTheme="majorBidi" w:cstheme="majorBidi"/>
          <w:color w:val="auto"/>
          <w:sz w:val="24"/>
          <w:szCs w:val="24"/>
        </w:rPr>
        <w:t>moyen de fleurs par plant  en (</w:t>
      </w:r>
      <w:r w:rsidRPr="002F4810">
        <w:rPr>
          <w:rFonts w:asciiTheme="majorBidi" w:hAnsiTheme="majorBidi" w:cstheme="majorBidi"/>
          <w:color w:val="auto"/>
          <w:sz w:val="24"/>
          <w:szCs w:val="24"/>
        </w:rPr>
        <w:t>g).</w:t>
      </w:r>
      <w:bookmarkEnd w:id="1577"/>
    </w:p>
    <w:p w:rsidR="001E4E0B" w:rsidRPr="00EB0638" w:rsidRDefault="004A2A5D" w:rsidP="001E4E0B">
      <w:pPr>
        <w:keepNext/>
        <w:spacing w:line="360" w:lineRule="auto"/>
        <w:jc w:val="center"/>
      </w:pPr>
      <w:r w:rsidRPr="00EB0638">
        <w:rPr>
          <w:rFonts w:ascii="Times New Roman" w:hAnsi="Times New Roman" w:cs="Times New Roman"/>
          <w:noProof/>
          <w:sz w:val="24"/>
          <w:szCs w:val="24"/>
        </w:rPr>
        <w:drawing>
          <wp:inline distT="0" distB="0" distL="0" distR="0">
            <wp:extent cx="5397699" cy="3238203"/>
            <wp:effectExtent l="18297" t="12161" r="13254" b="7186"/>
            <wp:docPr id="11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A2A5D" w:rsidRPr="00EB0638" w:rsidRDefault="008C6E66" w:rsidP="00463B12">
      <w:pPr>
        <w:pStyle w:val="Lgende"/>
        <w:spacing w:before="240"/>
        <w:jc w:val="center"/>
        <w:rPr>
          <w:rFonts w:asciiTheme="majorBidi" w:hAnsiTheme="majorBidi" w:cstheme="majorBidi"/>
          <w:color w:val="auto"/>
          <w:sz w:val="24"/>
          <w:szCs w:val="24"/>
        </w:rPr>
      </w:pPr>
      <w:bookmarkStart w:id="1578" w:name="_Toc252194994"/>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57</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:Longueur (LC) et diamètre (DC) moyens d’un capitule en (mm).</w:t>
      </w:r>
      <w:bookmarkEnd w:id="1578"/>
    </w:p>
    <w:p w:rsidR="004A2A5D" w:rsidRPr="00EB0638" w:rsidRDefault="004A2A5D" w:rsidP="004A2A5D">
      <w:pPr>
        <w:spacing w:line="360" w:lineRule="auto"/>
        <w:jc w:val="center"/>
        <w:rPr>
          <w:rFonts w:ascii="Times New Roman" w:hAnsi="Times New Roman" w:cs="Times New Roman"/>
          <w:b/>
          <w:bCs/>
          <w:sz w:val="24"/>
          <w:szCs w:val="24"/>
        </w:rPr>
      </w:pPr>
    </w:p>
    <w:p w:rsidR="004A2A5D" w:rsidRPr="00EB0638" w:rsidRDefault="004A2A5D" w:rsidP="004A2A5D">
      <w:pPr>
        <w:spacing w:line="360" w:lineRule="auto"/>
        <w:jc w:val="center"/>
        <w:rPr>
          <w:rFonts w:ascii="Times New Roman" w:hAnsi="Times New Roman" w:cs="Times New Roman"/>
          <w:b/>
          <w:bCs/>
          <w:sz w:val="24"/>
          <w:szCs w:val="24"/>
        </w:rPr>
      </w:pPr>
    </w:p>
    <w:p w:rsidR="004A2A5D" w:rsidRPr="00EB0638" w:rsidRDefault="004A2A5D" w:rsidP="004A2A5D">
      <w:pPr>
        <w:spacing w:line="360" w:lineRule="auto"/>
        <w:jc w:val="center"/>
        <w:rPr>
          <w:rFonts w:ascii="Times New Roman" w:hAnsi="Times New Roman" w:cs="Times New Roman"/>
          <w:b/>
          <w:bCs/>
          <w:sz w:val="24"/>
          <w:szCs w:val="24"/>
        </w:rPr>
      </w:pPr>
    </w:p>
    <w:p w:rsidR="001E4E0B" w:rsidRPr="00EB0638" w:rsidRDefault="001E4E0B" w:rsidP="004A2A5D">
      <w:pPr>
        <w:spacing w:line="360" w:lineRule="auto"/>
        <w:jc w:val="center"/>
        <w:rPr>
          <w:rFonts w:ascii="Times New Roman" w:hAnsi="Times New Roman" w:cs="Times New Roman"/>
          <w:b/>
          <w:bCs/>
          <w:sz w:val="24"/>
          <w:szCs w:val="24"/>
        </w:rPr>
      </w:pPr>
    </w:p>
    <w:p w:rsidR="004A2A5D" w:rsidRPr="00EB0638" w:rsidRDefault="004A2A5D" w:rsidP="00AD6B8B">
      <w:pPr>
        <w:pStyle w:val="Paragraphedeliste"/>
        <w:numPr>
          <w:ilvl w:val="0"/>
          <w:numId w:val="38"/>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lastRenderedPageBreak/>
        <w:t>Nombre moyen de graines saines par capitule (NGRSC)</w:t>
      </w:r>
    </w:p>
    <w:p w:rsidR="004A2A5D" w:rsidRPr="00EB0638" w:rsidRDefault="004A2A5D" w:rsidP="00E06BB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P'2 et P'1 présente le nombre moyen de graines saines le pl</w:t>
      </w:r>
      <w:r w:rsidR="00D95ED0">
        <w:rPr>
          <w:rFonts w:ascii="Times New Roman" w:hAnsi="Times New Roman" w:cs="Times New Roman"/>
          <w:sz w:val="24"/>
          <w:szCs w:val="24"/>
        </w:rPr>
        <w:t>us élevé avec respectivement 56,95 et 51,</w:t>
      </w:r>
      <w:r w:rsidRPr="00EB0638">
        <w:rPr>
          <w:rFonts w:ascii="Times New Roman" w:hAnsi="Times New Roman" w:cs="Times New Roman"/>
          <w:sz w:val="24"/>
          <w:szCs w:val="24"/>
        </w:rPr>
        <w:t xml:space="preserve">48 graines. Le nombre </w:t>
      </w:r>
      <w:r w:rsidR="00853042">
        <w:rPr>
          <w:rFonts w:ascii="Times New Roman" w:hAnsi="Times New Roman" w:cs="Times New Roman"/>
          <w:sz w:val="24"/>
          <w:szCs w:val="24"/>
        </w:rPr>
        <w:t xml:space="preserve">moyen </w:t>
      </w:r>
      <w:r w:rsidRPr="00EB0638">
        <w:rPr>
          <w:rFonts w:ascii="Times New Roman" w:hAnsi="Times New Roman" w:cs="Times New Roman"/>
          <w:sz w:val="24"/>
          <w:szCs w:val="24"/>
        </w:rPr>
        <w:t xml:space="preserve">le plus faible est enregistré pour la population P'3 avec </w:t>
      </w:r>
      <w:r w:rsidR="00E06BBD">
        <w:rPr>
          <w:rFonts w:ascii="Times New Roman" w:hAnsi="Times New Roman" w:cs="Times New Roman"/>
          <w:sz w:val="24"/>
          <w:szCs w:val="24"/>
        </w:rPr>
        <w:t>33</w:t>
      </w:r>
      <w:r w:rsidR="00D95ED0">
        <w:rPr>
          <w:rFonts w:ascii="Times New Roman" w:hAnsi="Times New Roman" w:cs="Times New Roman"/>
          <w:sz w:val="24"/>
          <w:szCs w:val="24"/>
        </w:rPr>
        <w:t>,</w:t>
      </w:r>
      <w:r w:rsidR="00E06BBD">
        <w:rPr>
          <w:rFonts w:ascii="Times New Roman" w:hAnsi="Times New Roman" w:cs="Times New Roman"/>
          <w:sz w:val="24"/>
          <w:szCs w:val="24"/>
        </w:rPr>
        <w:t>9</w:t>
      </w:r>
      <w:r w:rsidRPr="00EB0638">
        <w:rPr>
          <w:rFonts w:ascii="Times New Roman" w:hAnsi="Times New Roman" w:cs="Times New Roman"/>
          <w:sz w:val="24"/>
          <w:szCs w:val="24"/>
        </w:rPr>
        <w:t xml:space="preserve"> (Fig. 58).</w:t>
      </w:r>
    </w:p>
    <w:p w:rsidR="004A2A5D"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a donné une différence très hautement significative. La comparaison des moyennes permet de faire ressortir deux group</w:t>
      </w:r>
      <w:r w:rsidR="00CE6119">
        <w:rPr>
          <w:rFonts w:ascii="Times New Roman" w:hAnsi="Times New Roman" w:cs="Times New Roman"/>
          <w:sz w:val="24"/>
          <w:szCs w:val="24"/>
        </w:rPr>
        <w:t>es homogènes (Fig. 58 ; Annexe 6</w:t>
      </w:r>
      <w:r w:rsidRPr="00EB0638">
        <w:rPr>
          <w:rFonts w:ascii="Times New Roman" w:hAnsi="Times New Roman" w:cs="Times New Roman"/>
          <w:sz w:val="24"/>
          <w:szCs w:val="24"/>
        </w:rPr>
        <w:t>).</w:t>
      </w:r>
    </w:p>
    <w:p w:rsidR="007438AC" w:rsidRPr="00EB0638" w:rsidRDefault="007438AC" w:rsidP="007438AC">
      <w:pPr>
        <w:pStyle w:val="Paragraphedeliste"/>
        <w:numPr>
          <w:ilvl w:val="0"/>
          <w:numId w:val="38"/>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graines infectées par capitule (NGRIC)</w:t>
      </w:r>
    </w:p>
    <w:p w:rsidR="007438AC" w:rsidRPr="00EB0638" w:rsidRDefault="007438AC" w:rsidP="007438A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Les populations P'2 et P'1 sont les plus sensibles à l’attaque du Cutworm occidental pâle </w:t>
      </w:r>
      <w:r w:rsidRPr="00EB0638">
        <w:rPr>
          <w:rFonts w:ascii="Times New Roman" w:hAnsi="Times New Roman" w:cs="Times New Roman"/>
          <w:i/>
          <w:iCs/>
          <w:sz w:val="24"/>
          <w:szCs w:val="24"/>
        </w:rPr>
        <w:t>(Agrotis orthogonia)</w:t>
      </w:r>
      <w:r w:rsidRPr="00EB0638">
        <w:rPr>
          <w:rFonts w:ascii="Times New Roman" w:hAnsi="Times New Roman" w:cs="Times New Roman"/>
          <w:sz w:val="24"/>
          <w:szCs w:val="24"/>
        </w:rPr>
        <w:t xml:space="preserve">  et l’infection par </w:t>
      </w:r>
      <w:r w:rsidRPr="00EB0638">
        <w:rPr>
          <w:rFonts w:ascii="Times New Roman" w:hAnsi="Times New Roman" w:cs="Times New Roman"/>
          <w:i/>
          <w:iCs/>
          <w:sz w:val="24"/>
          <w:szCs w:val="24"/>
        </w:rPr>
        <w:t xml:space="preserve"> </w:t>
      </w:r>
      <w:r w:rsidRPr="00EB0638">
        <w:rPr>
          <w:rFonts w:ascii="Times New Roman" w:hAnsi="Times New Roman" w:cs="Times New Roman"/>
          <w:i/>
          <w:sz w:val="24"/>
          <w:szCs w:val="24"/>
        </w:rPr>
        <w:t>(Alternaria carthami Chowdburly)</w:t>
      </w:r>
      <w:r w:rsidRPr="00EB0638">
        <w:rPr>
          <w:rFonts w:ascii="Times New Roman" w:hAnsi="Times New Roman" w:cs="Times New Roman"/>
          <w:i/>
          <w:iCs/>
          <w:sz w:val="24"/>
          <w:szCs w:val="24"/>
        </w:rPr>
        <w:t>.</w:t>
      </w:r>
    </w:p>
    <w:p w:rsidR="007438AC" w:rsidRPr="00EB0638" w:rsidRDefault="007438AC" w:rsidP="007438A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a donné une différence très hautement significative entre les populations. La comparaison des moyennes permet de distinguer trois group</w:t>
      </w:r>
      <w:r>
        <w:rPr>
          <w:rFonts w:ascii="Times New Roman" w:hAnsi="Times New Roman" w:cs="Times New Roman"/>
          <w:sz w:val="24"/>
          <w:szCs w:val="24"/>
        </w:rPr>
        <w:t>es homogènes (Fig. 58 ; Annexe 6</w:t>
      </w:r>
      <w:r w:rsidRPr="00EB0638">
        <w:rPr>
          <w:rFonts w:ascii="Times New Roman" w:hAnsi="Times New Roman" w:cs="Times New Roman"/>
          <w:sz w:val="24"/>
          <w:szCs w:val="24"/>
        </w:rPr>
        <w:t>).</w:t>
      </w:r>
    </w:p>
    <w:p w:rsidR="004A2A5D" w:rsidRPr="00EB0638" w:rsidRDefault="004A2A5D" w:rsidP="007438AC">
      <w:pPr>
        <w:pStyle w:val="Paragraphedeliste"/>
        <w:numPr>
          <w:ilvl w:val="0"/>
          <w:numId w:val="38"/>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graines échaudées par capitule (NGREC)</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valeur d’échaudage la plus élevée est observée chez les populations P'4, P</w:t>
      </w:r>
      <w:r w:rsidR="00D95ED0">
        <w:rPr>
          <w:rFonts w:ascii="Times New Roman" w:hAnsi="Times New Roman" w:cs="Times New Roman"/>
          <w:sz w:val="24"/>
          <w:szCs w:val="24"/>
        </w:rPr>
        <w:t>'1et P'2 avec respectivement 15,38. 15,25 et 14,</w:t>
      </w:r>
      <w:r w:rsidRPr="00EB0638">
        <w:rPr>
          <w:rFonts w:ascii="Times New Roman" w:hAnsi="Times New Roman" w:cs="Times New Roman"/>
          <w:sz w:val="24"/>
          <w:szCs w:val="24"/>
        </w:rPr>
        <w:t xml:space="preserve">03. Par contre P'3 présente la valeur la plus </w:t>
      </w:r>
      <w:r w:rsidR="00D95ED0">
        <w:rPr>
          <w:rFonts w:ascii="Times New Roman" w:hAnsi="Times New Roman" w:cs="Times New Roman"/>
          <w:sz w:val="24"/>
          <w:szCs w:val="24"/>
        </w:rPr>
        <w:t>faible avec 7,</w:t>
      </w:r>
      <w:r w:rsidRPr="00EB0638">
        <w:rPr>
          <w:rFonts w:ascii="Times New Roman" w:hAnsi="Times New Roman" w:cs="Times New Roman"/>
          <w:sz w:val="24"/>
          <w:szCs w:val="24"/>
        </w:rPr>
        <w:t>45 graines échaudées (Fig. 58).</w:t>
      </w:r>
    </w:p>
    <w:p w:rsidR="004A2A5D" w:rsidRPr="00EB0638" w:rsidRDefault="004A2A5D" w:rsidP="00247205">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L’analyse de variance a révélé une différence très hautement significative ; la comparaison des moyennes permet de distinguer </w:t>
      </w:r>
      <w:r w:rsidR="00247205">
        <w:rPr>
          <w:rFonts w:ascii="Times New Roman" w:hAnsi="Times New Roman" w:cs="Times New Roman"/>
          <w:sz w:val="24"/>
          <w:szCs w:val="24"/>
        </w:rPr>
        <w:t>trois</w:t>
      </w:r>
      <w:r w:rsidRPr="00EB0638">
        <w:rPr>
          <w:rFonts w:ascii="Times New Roman" w:hAnsi="Times New Roman" w:cs="Times New Roman"/>
          <w:sz w:val="24"/>
          <w:szCs w:val="24"/>
        </w:rPr>
        <w:t xml:space="preserve"> groupes homogènes (F</w:t>
      </w:r>
      <w:r w:rsidR="00CE6119">
        <w:rPr>
          <w:rFonts w:ascii="Times New Roman" w:hAnsi="Times New Roman" w:cs="Times New Roman"/>
          <w:sz w:val="24"/>
          <w:szCs w:val="24"/>
        </w:rPr>
        <w:t>ig. 58 ; Annexe 6</w:t>
      </w:r>
      <w:r w:rsidRPr="00EB0638">
        <w:rPr>
          <w:rFonts w:ascii="Times New Roman" w:hAnsi="Times New Roman" w:cs="Times New Roman"/>
          <w:sz w:val="24"/>
          <w:szCs w:val="24"/>
        </w:rPr>
        <w:t>).</w:t>
      </w:r>
    </w:p>
    <w:p w:rsidR="004A2A5D" w:rsidRPr="007438AC" w:rsidRDefault="004A2A5D" w:rsidP="007438AC">
      <w:pPr>
        <w:pStyle w:val="Paragraphedeliste"/>
        <w:numPr>
          <w:ilvl w:val="0"/>
          <w:numId w:val="38"/>
        </w:numPr>
        <w:spacing w:before="240" w:line="360" w:lineRule="auto"/>
        <w:contextualSpacing w:val="0"/>
        <w:jc w:val="both"/>
        <w:rPr>
          <w:rFonts w:ascii="Times New Roman" w:hAnsi="Times New Roman" w:cs="Times New Roman"/>
          <w:b/>
          <w:bCs/>
          <w:sz w:val="24"/>
          <w:szCs w:val="24"/>
        </w:rPr>
      </w:pPr>
      <w:r w:rsidRPr="007438AC">
        <w:rPr>
          <w:rFonts w:ascii="Times New Roman" w:hAnsi="Times New Roman" w:cs="Times New Roman"/>
          <w:b/>
          <w:bCs/>
          <w:sz w:val="24"/>
          <w:szCs w:val="24"/>
        </w:rPr>
        <w:t>Nombre moyen total de graines par capitule (NTGRC)</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production totale de graines la plus importante est enregistré</w:t>
      </w:r>
      <w:r w:rsidR="00D95ED0">
        <w:rPr>
          <w:rFonts w:ascii="Times New Roman" w:hAnsi="Times New Roman" w:cs="Times New Roman"/>
          <w:sz w:val="24"/>
          <w:szCs w:val="24"/>
        </w:rPr>
        <w:t>e par la population P'2 avec 75,</w:t>
      </w:r>
      <w:r w:rsidRPr="00EB0638">
        <w:rPr>
          <w:rFonts w:ascii="Times New Roman" w:hAnsi="Times New Roman" w:cs="Times New Roman"/>
          <w:sz w:val="24"/>
          <w:szCs w:val="24"/>
        </w:rPr>
        <w:t>37 et la production la plus faible est</w:t>
      </w:r>
      <w:r w:rsidR="00853042">
        <w:rPr>
          <w:rFonts w:ascii="Times New Roman" w:hAnsi="Times New Roman" w:cs="Times New Roman"/>
          <w:sz w:val="24"/>
          <w:szCs w:val="24"/>
        </w:rPr>
        <w:t xml:space="preserve"> observée chez la population P'3</w:t>
      </w:r>
      <w:r w:rsidR="00D95ED0">
        <w:rPr>
          <w:rFonts w:ascii="Times New Roman" w:hAnsi="Times New Roman" w:cs="Times New Roman"/>
          <w:sz w:val="24"/>
          <w:szCs w:val="24"/>
        </w:rPr>
        <w:t xml:space="preserve"> avec 42,</w:t>
      </w:r>
      <w:r w:rsidRPr="00EB0638">
        <w:rPr>
          <w:rFonts w:ascii="Times New Roman" w:hAnsi="Times New Roman" w:cs="Times New Roman"/>
          <w:sz w:val="24"/>
          <w:szCs w:val="24"/>
        </w:rPr>
        <w:t>28 graines (Fig. 58).</w:t>
      </w:r>
    </w:p>
    <w:p w:rsidR="004A2A5D"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a décèle une différence très hautement significative ; la comparaison des moye</w:t>
      </w:r>
      <w:r w:rsidR="00853042">
        <w:rPr>
          <w:rFonts w:ascii="Times New Roman" w:hAnsi="Times New Roman" w:cs="Times New Roman"/>
          <w:sz w:val="24"/>
          <w:szCs w:val="24"/>
        </w:rPr>
        <w:t>nnes permet de distinguer deux</w:t>
      </w:r>
      <w:r w:rsidRPr="00EB0638">
        <w:rPr>
          <w:rFonts w:ascii="Times New Roman" w:hAnsi="Times New Roman" w:cs="Times New Roman"/>
          <w:sz w:val="24"/>
          <w:szCs w:val="24"/>
        </w:rPr>
        <w:t xml:space="preserve"> group</w:t>
      </w:r>
      <w:r w:rsidR="00CE6119">
        <w:rPr>
          <w:rFonts w:ascii="Times New Roman" w:hAnsi="Times New Roman" w:cs="Times New Roman"/>
          <w:sz w:val="24"/>
          <w:szCs w:val="24"/>
        </w:rPr>
        <w:t>es homogènes (Fig. 58 ; Annexe 6</w:t>
      </w:r>
      <w:r w:rsidRPr="00EB0638">
        <w:rPr>
          <w:rFonts w:ascii="Times New Roman" w:hAnsi="Times New Roman" w:cs="Times New Roman"/>
          <w:sz w:val="24"/>
          <w:szCs w:val="24"/>
        </w:rPr>
        <w:t>).</w:t>
      </w:r>
    </w:p>
    <w:p w:rsidR="00CA4D82" w:rsidRDefault="00CA4D82" w:rsidP="004A2A5D">
      <w:pPr>
        <w:spacing w:before="240" w:line="360" w:lineRule="auto"/>
        <w:ind w:firstLine="284"/>
        <w:jc w:val="both"/>
        <w:rPr>
          <w:rFonts w:ascii="Times New Roman" w:hAnsi="Times New Roman" w:cs="Times New Roman"/>
          <w:sz w:val="24"/>
          <w:szCs w:val="24"/>
        </w:rPr>
      </w:pPr>
    </w:p>
    <w:p w:rsidR="00CA4D82" w:rsidRPr="00EB0638" w:rsidRDefault="00CA4D82"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4A2A5D" w:rsidRPr="00EB0638" w:rsidRDefault="004A2A5D" w:rsidP="004A2A5D">
      <w:pPr>
        <w:spacing w:before="240" w:line="360" w:lineRule="auto"/>
        <w:ind w:firstLine="284"/>
        <w:jc w:val="both"/>
        <w:rPr>
          <w:rFonts w:ascii="Times New Roman" w:hAnsi="Times New Roman" w:cs="Times New Roman"/>
          <w:sz w:val="24"/>
          <w:szCs w:val="24"/>
        </w:rPr>
      </w:pPr>
    </w:p>
    <w:p w:rsidR="001E4E0B" w:rsidRPr="00EB0638" w:rsidRDefault="004A2A5D" w:rsidP="001E4E0B">
      <w:pPr>
        <w:keepNext/>
        <w:spacing w:after="120" w:line="360" w:lineRule="auto"/>
        <w:jc w:val="center"/>
      </w:pPr>
      <w:r w:rsidRPr="00EB0638">
        <w:rPr>
          <w:rFonts w:ascii="Times New Roman" w:hAnsi="Times New Roman" w:cs="Times New Roman"/>
          <w:noProof/>
          <w:sz w:val="24"/>
          <w:szCs w:val="24"/>
        </w:rPr>
        <w:drawing>
          <wp:inline distT="0" distB="0" distL="0" distR="0">
            <wp:extent cx="5048250" cy="5629275"/>
            <wp:effectExtent l="19050" t="0" r="19050" b="0"/>
            <wp:docPr id="3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A2A5D" w:rsidRPr="00EB0638" w:rsidRDefault="008C6E66" w:rsidP="00463B12">
      <w:pPr>
        <w:pStyle w:val="Lgende"/>
        <w:spacing w:before="240"/>
        <w:jc w:val="center"/>
        <w:rPr>
          <w:rFonts w:asciiTheme="majorBidi" w:hAnsiTheme="majorBidi" w:cstheme="majorBidi"/>
          <w:color w:val="auto"/>
          <w:sz w:val="24"/>
          <w:szCs w:val="24"/>
        </w:rPr>
      </w:pPr>
      <w:bookmarkStart w:id="1579" w:name="_Toc252194995"/>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58</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:Nombre moyen de graines saines (NGRSC), malades (NGRIC), échaudées (NGREC) et totales (NTGRC) par capitule.</w:t>
      </w:r>
      <w:bookmarkEnd w:id="1579"/>
    </w:p>
    <w:p w:rsidR="004A2A5D" w:rsidRPr="00EB0638" w:rsidRDefault="004A2A5D" w:rsidP="004A2A5D">
      <w:pPr>
        <w:spacing w:line="360" w:lineRule="auto"/>
        <w:rPr>
          <w:rFonts w:ascii="Times New Roman" w:hAnsi="Times New Roman" w:cs="Times New Roman"/>
          <w:b/>
          <w:bCs/>
          <w:sz w:val="24"/>
          <w:szCs w:val="24"/>
        </w:rPr>
      </w:pPr>
    </w:p>
    <w:p w:rsidR="004A2A5D" w:rsidRPr="00EB0638" w:rsidRDefault="004A2A5D" w:rsidP="004A2A5D">
      <w:pPr>
        <w:spacing w:line="360" w:lineRule="auto"/>
        <w:rPr>
          <w:rFonts w:ascii="Times New Roman" w:hAnsi="Times New Roman" w:cs="Times New Roman"/>
          <w:b/>
          <w:bCs/>
          <w:sz w:val="24"/>
          <w:szCs w:val="24"/>
        </w:rPr>
      </w:pPr>
    </w:p>
    <w:p w:rsidR="004A2A5D" w:rsidRPr="00EB0638" w:rsidRDefault="004A2A5D" w:rsidP="004A2A5D">
      <w:pPr>
        <w:spacing w:line="360" w:lineRule="auto"/>
        <w:rPr>
          <w:rFonts w:ascii="Times New Roman" w:hAnsi="Times New Roman" w:cs="Times New Roman"/>
          <w:b/>
          <w:bCs/>
          <w:sz w:val="24"/>
          <w:szCs w:val="24"/>
        </w:rPr>
      </w:pPr>
    </w:p>
    <w:p w:rsidR="004A2A5D" w:rsidRPr="00EB0638" w:rsidRDefault="004A2A5D" w:rsidP="004A2A5D">
      <w:pPr>
        <w:spacing w:line="360" w:lineRule="auto"/>
        <w:rPr>
          <w:rFonts w:ascii="Times New Roman" w:hAnsi="Times New Roman" w:cs="Times New Roman"/>
          <w:b/>
          <w:bCs/>
          <w:sz w:val="24"/>
          <w:szCs w:val="24"/>
        </w:rPr>
      </w:pPr>
    </w:p>
    <w:p w:rsidR="004A2A5D" w:rsidRPr="00EB0638" w:rsidRDefault="004A2A5D" w:rsidP="004A2A5D">
      <w:pPr>
        <w:spacing w:line="360" w:lineRule="auto"/>
        <w:rPr>
          <w:rFonts w:ascii="Times New Roman" w:hAnsi="Times New Roman" w:cs="Times New Roman"/>
          <w:b/>
          <w:bCs/>
          <w:sz w:val="24"/>
          <w:szCs w:val="24"/>
        </w:rPr>
      </w:pPr>
    </w:p>
    <w:p w:rsidR="008C6E66" w:rsidRPr="00EB0638" w:rsidRDefault="008C6E66" w:rsidP="004A2A5D">
      <w:pPr>
        <w:spacing w:line="360" w:lineRule="auto"/>
        <w:rPr>
          <w:rFonts w:ascii="Times New Roman" w:hAnsi="Times New Roman" w:cs="Times New Roman"/>
          <w:b/>
          <w:bCs/>
          <w:sz w:val="24"/>
          <w:szCs w:val="24"/>
        </w:rPr>
      </w:pPr>
    </w:p>
    <w:p w:rsidR="004A2A5D" w:rsidRPr="002F4810" w:rsidRDefault="004A2A5D" w:rsidP="007438AC">
      <w:pPr>
        <w:pStyle w:val="Paragraphedeliste"/>
        <w:numPr>
          <w:ilvl w:val="0"/>
          <w:numId w:val="55"/>
        </w:numPr>
        <w:spacing w:before="240" w:line="360" w:lineRule="auto"/>
        <w:contextualSpacing w:val="0"/>
        <w:jc w:val="both"/>
        <w:rPr>
          <w:rFonts w:ascii="Times New Roman" w:hAnsi="Times New Roman" w:cs="Times New Roman"/>
          <w:b/>
          <w:bCs/>
          <w:sz w:val="24"/>
          <w:szCs w:val="24"/>
        </w:rPr>
      </w:pPr>
      <w:r w:rsidRPr="002F4810">
        <w:rPr>
          <w:rFonts w:ascii="Times New Roman" w:hAnsi="Times New Roman" w:cs="Times New Roman"/>
          <w:b/>
          <w:bCs/>
          <w:sz w:val="24"/>
          <w:szCs w:val="24"/>
        </w:rPr>
        <w:t>Poids moyen d’un capitule (PC)</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 meilleur poids </w:t>
      </w:r>
      <w:r w:rsidR="002A06E2">
        <w:rPr>
          <w:rFonts w:ascii="Times New Roman" w:hAnsi="Times New Roman" w:cs="Times New Roman"/>
          <w:sz w:val="24"/>
          <w:szCs w:val="24"/>
        </w:rPr>
        <w:t xml:space="preserve">moyen </w:t>
      </w:r>
      <w:r w:rsidRPr="00EB0638">
        <w:rPr>
          <w:rFonts w:ascii="Times New Roman" w:hAnsi="Times New Roman" w:cs="Times New Roman"/>
          <w:sz w:val="24"/>
          <w:szCs w:val="24"/>
        </w:rPr>
        <w:t>du capitule est observ</w:t>
      </w:r>
      <w:r w:rsidR="00D95ED0">
        <w:rPr>
          <w:rFonts w:ascii="Times New Roman" w:hAnsi="Times New Roman" w:cs="Times New Roman"/>
          <w:sz w:val="24"/>
          <w:szCs w:val="24"/>
        </w:rPr>
        <w:t>é avec la population P'1 avec 4,</w:t>
      </w:r>
      <w:r w:rsidR="00952481">
        <w:rPr>
          <w:rFonts w:ascii="Times New Roman" w:hAnsi="Times New Roman" w:cs="Times New Roman"/>
          <w:sz w:val="24"/>
          <w:szCs w:val="24"/>
        </w:rPr>
        <w:t xml:space="preserve">11 </w:t>
      </w:r>
      <w:r w:rsidRPr="00EB0638">
        <w:rPr>
          <w:rFonts w:ascii="Times New Roman" w:hAnsi="Times New Roman" w:cs="Times New Roman"/>
          <w:sz w:val="24"/>
          <w:szCs w:val="24"/>
        </w:rPr>
        <w:t>g ; par contre la population P'3 prése</w:t>
      </w:r>
      <w:r w:rsidR="00D95ED0">
        <w:rPr>
          <w:rFonts w:ascii="Times New Roman" w:hAnsi="Times New Roman" w:cs="Times New Roman"/>
          <w:sz w:val="24"/>
          <w:szCs w:val="24"/>
        </w:rPr>
        <w:t>nte un poids moyen minimal de 2,</w:t>
      </w:r>
      <w:r w:rsidR="00952481">
        <w:rPr>
          <w:rFonts w:ascii="Times New Roman" w:hAnsi="Times New Roman" w:cs="Times New Roman"/>
          <w:sz w:val="24"/>
          <w:szCs w:val="24"/>
        </w:rPr>
        <w:t xml:space="preserve">81 </w:t>
      </w:r>
      <w:r w:rsidRPr="00EB0638">
        <w:rPr>
          <w:rFonts w:ascii="Times New Roman" w:hAnsi="Times New Roman" w:cs="Times New Roman"/>
          <w:sz w:val="24"/>
          <w:szCs w:val="24"/>
        </w:rPr>
        <w:t>g (Fig. 59).</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met en évidence une différence très hautement significative entre les populations. La comparaison des moyennes permet de distinguer deux groupes homogènes. Le groupe A qui renferme les populations P'1, P'2 et P'4 et le groupe B qui renferme la po</w:t>
      </w:r>
      <w:r w:rsidR="00CE6119">
        <w:rPr>
          <w:rFonts w:ascii="Times New Roman" w:hAnsi="Times New Roman" w:cs="Times New Roman"/>
          <w:sz w:val="24"/>
          <w:szCs w:val="24"/>
        </w:rPr>
        <w:t>pulation P'3 (Fig. 59 ; Annexe 6</w:t>
      </w:r>
      <w:r w:rsidRPr="00EB0638">
        <w:rPr>
          <w:rFonts w:ascii="Times New Roman" w:hAnsi="Times New Roman" w:cs="Times New Roman"/>
          <w:sz w:val="24"/>
          <w:szCs w:val="24"/>
        </w:rPr>
        <w:t>).</w:t>
      </w:r>
    </w:p>
    <w:p w:rsidR="004A2A5D" w:rsidRPr="00EB0638" w:rsidRDefault="004A2A5D" w:rsidP="007438AC">
      <w:pPr>
        <w:pStyle w:val="Paragraphedeliste"/>
        <w:numPr>
          <w:ilvl w:val="0"/>
          <w:numId w:val="55"/>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Poids moyen de graines saines par capitule (PGRSC)</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valeur moyenne du poids de graines saines la plus importante est observé</w:t>
      </w:r>
      <w:r w:rsidR="008859CB">
        <w:rPr>
          <w:rFonts w:ascii="Times New Roman" w:hAnsi="Times New Roman" w:cs="Times New Roman"/>
          <w:sz w:val="24"/>
          <w:szCs w:val="24"/>
        </w:rPr>
        <w:t>e chez la population P'2 avec 2,</w:t>
      </w:r>
      <w:r w:rsidR="00952481">
        <w:rPr>
          <w:rFonts w:ascii="Times New Roman" w:hAnsi="Times New Roman" w:cs="Times New Roman"/>
          <w:sz w:val="24"/>
          <w:szCs w:val="24"/>
        </w:rPr>
        <w:t xml:space="preserve">12 </w:t>
      </w:r>
      <w:r w:rsidRPr="00EB0638">
        <w:rPr>
          <w:rFonts w:ascii="Times New Roman" w:hAnsi="Times New Roman" w:cs="Times New Roman"/>
          <w:sz w:val="24"/>
          <w:szCs w:val="24"/>
        </w:rPr>
        <w:t>g.</w:t>
      </w:r>
      <w:r w:rsidR="0053072B">
        <w:rPr>
          <w:rFonts w:ascii="Times New Roman" w:hAnsi="Times New Roman" w:cs="Times New Roman"/>
          <w:sz w:val="24"/>
          <w:szCs w:val="24"/>
        </w:rPr>
        <w:t xml:space="preserve"> Par contre la population  P'4 présente</w:t>
      </w:r>
      <w:r w:rsidR="008859CB">
        <w:rPr>
          <w:rFonts w:ascii="Times New Roman" w:hAnsi="Times New Roman" w:cs="Times New Roman"/>
          <w:sz w:val="24"/>
          <w:szCs w:val="24"/>
        </w:rPr>
        <w:t xml:space="preserve"> un poids moyen minimal avec 1,</w:t>
      </w:r>
      <w:r w:rsidR="00952481">
        <w:rPr>
          <w:rFonts w:ascii="Times New Roman" w:hAnsi="Times New Roman" w:cs="Times New Roman"/>
          <w:sz w:val="24"/>
          <w:szCs w:val="24"/>
        </w:rPr>
        <w:t xml:space="preserve">58 </w:t>
      </w:r>
      <w:r w:rsidRPr="00EB0638">
        <w:rPr>
          <w:rFonts w:ascii="Times New Roman" w:hAnsi="Times New Roman" w:cs="Times New Roman"/>
          <w:sz w:val="24"/>
          <w:szCs w:val="24"/>
        </w:rPr>
        <w:t>g (Fig. 60).</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n’a donné aucune différence significative entre les populations (Fig</w:t>
      </w:r>
      <w:r w:rsidR="008C6E66" w:rsidRPr="00EB0638">
        <w:rPr>
          <w:rFonts w:ascii="Times New Roman" w:hAnsi="Times New Roman" w:cs="Times New Roman"/>
          <w:sz w:val="24"/>
          <w:szCs w:val="24"/>
        </w:rPr>
        <w:t>. 59</w:t>
      </w:r>
      <w:r w:rsidR="00CE6119">
        <w:rPr>
          <w:rFonts w:ascii="Times New Roman" w:hAnsi="Times New Roman" w:cs="Times New Roman"/>
          <w:sz w:val="24"/>
          <w:szCs w:val="24"/>
        </w:rPr>
        <w:t> ; Annexe 6</w:t>
      </w:r>
      <w:r w:rsidRPr="00EB0638">
        <w:rPr>
          <w:rFonts w:ascii="Times New Roman" w:hAnsi="Times New Roman" w:cs="Times New Roman"/>
          <w:sz w:val="24"/>
          <w:szCs w:val="24"/>
        </w:rPr>
        <w:t>).</w:t>
      </w:r>
    </w:p>
    <w:p w:rsidR="004A2A5D" w:rsidRPr="00EB0638" w:rsidRDefault="004A2A5D" w:rsidP="007438AC">
      <w:pPr>
        <w:pStyle w:val="Paragraphedeliste"/>
        <w:numPr>
          <w:ilvl w:val="0"/>
          <w:numId w:val="55"/>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Poids moyen de 1000 graines (P1000)</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P'3 est celle qui</w:t>
      </w:r>
      <w:r w:rsidR="008859CB">
        <w:rPr>
          <w:rFonts w:ascii="Times New Roman" w:hAnsi="Times New Roman" w:cs="Times New Roman"/>
          <w:sz w:val="24"/>
          <w:szCs w:val="24"/>
        </w:rPr>
        <w:t xml:space="preserve"> présente le meilleur poids (49,</w:t>
      </w:r>
      <w:r w:rsidRPr="00EB0638">
        <w:rPr>
          <w:rFonts w:ascii="Times New Roman" w:hAnsi="Times New Roman" w:cs="Times New Roman"/>
          <w:sz w:val="24"/>
          <w:szCs w:val="24"/>
        </w:rPr>
        <w:t>89 g), alors que la population P'</w:t>
      </w:r>
      <w:smartTag w:uri="urn:schemas-microsoft-com:office:smarttags" w:element="metricconverter">
        <w:smartTagPr>
          <w:attr w:name="ProductID" w:val="2 a"/>
        </w:smartTagPr>
        <w:r w:rsidRPr="00EB0638">
          <w:rPr>
            <w:rFonts w:ascii="Times New Roman" w:hAnsi="Times New Roman" w:cs="Times New Roman"/>
            <w:sz w:val="24"/>
            <w:szCs w:val="24"/>
          </w:rPr>
          <w:t>2 a</w:t>
        </w:r>
      </w:smartTag>
      <w:r w:rsidRPr="00EB0638">
        <w:rPr>
          <w:rFonts w:ascii="Times New Roman" w:hAnsi="Times New Roman" w:cs="Times New Roman"/>
          <w:sz w:val="24"/>
          <w:szCs w:val="24"/>
        </w:rPr>
        <w:t xml:space="preserve"> le poids</w:t>
      </w:r>
      <w:r w:rsidR="008859CB">
        <w:rPr>
          <w:rFonts w:ascii="Times New Roman" w:hAnsi="Times New Roman" w:cs="Times New Roman"/>
          <w:sz w:val="24"/>
          <w:szCs w:val="24"/>
        </w:rPr>
        <w:t xml:space="preserve"> le plus réduit (46,</w:t>
      </w:r>
      <w:r w:rsidRPr="00EB0638">
        <w:rPr>
          <w:rFonts w:ascii="Times New Roman" w:hAnsi="Times New Roman" w:cs="Times New Roman"/>
          <w:sz w:val="24"/>
          <w:szCs w:val="24"/>
        </w:rPr>
        <w:t>47 g) (Fig. 60).</w:t>
      </w:r>
    </w:p>
    <w:p w:rsidR="004A2A5D" w:rsidRPr="00EB0638" w:rsidRDefault="004A2A5D" w:rsidP="004A2A5D">
      <w:pPr>
        <w:spacing w:before="240" w:line="360" w:lineRule="auto"/>
        <w:ind w:firstLine="284"/>
        <w:jc w:val="both"/>
        <w:rPr>
          <w:rFonts w:ascii="Times New Roman" w:hAnsi="Times New Roman" w:cs="Times New Roman"/>
          <w:b/>
          <w:bCs/>
          <w:sz w:val="24"/>
          <w:szCs w:val="24"/>
        </w:rPr>
      </w:pPr>
      <w:r w:rsidRPr="00EB0638">
        <w:rPr>
          <w:rFonts w:ascii="Times New Roman" w:hAnsi="Times New Roman" w:cs="Times New Roman"/>
          <w:sz w:val="24"/>
          <w:szCs w:val="24"/>
        </w:rPr>
        <w:t>L’analyse de variance a décèle une différence très hautement significative entre les populations. La comparaison des moyennes permet de donner deux groupes homogènes (Fig</w:t>
      </w:r>
      <w:r w:rsidR="008C6E66" w:rsidRPr="00EB0638">
        <w:rPr>
          <w:rFonts w:ascii="Times New Roman" w:hAnsi="Times New Roman" w:cs="Times New Roman"/>
          <w:sz w:val="24"/>
          <w:szCs w:val="24"/>
        </w:rPr>
        <w:t>. 60</w:t>
      </w:r>
      <w:r w:rsidR="00CE6119">
        <w:rPr>
          <w:rFonts w:ascii="Times New Roman" w:hAnsi="Times New Roman" w:cs="Times New Roman"/>
          <w:sz w:val="24"/>
          <w:szCs w:val="24"/>
        </w:rPr>
        <w:t> ; Annexe 6</w:t>
      </w:r>
      <w:r w:rsidRPr="00EB0638">
        <w:rPr>
          <w:rFonts w:ascii="Times New Roman" w:hAnsi="Times New Roman" w:cs="Times New Roman"/>
          <w:sz w:val="24"/>
          <w:szCs w:val="24"/>
        </w:rPr>
        <w:t>).</w:t>
      </w:r>
    </w:p>
    <w:p w:rsidR="004A2A5D" w:rsidRPr="00EB0638" w:rsidRDefault="004A2A5D" w:rsidP="004A2A5D">
      <w:pPr>
        <w:spacing w:after="0" w:line="360" w:lineRule="auto"/>
        <w:jc w:val="center"/>
        <w:rPr>
          <w:rFonts w:ascii="Times New Roman" w:hAnsi="Times New Roman" w:cs="Times New Roman"/>
          <w:noProof/>
          <w:sz w:val="24"/>
          <w:szCs w:val="24"/>
        </w:rPr>
      </w:pPr>
    </w:p>
    <w:p w:rsidR="004A2A5D" w:rsidRPr="00EB0638" w:rsidRDefault="004A2A5D" w:rsidP="004A2A5D">
      <w:pPr>
        <w:spacing w:after="0" w:line="360" w:lineRule="auto"/>
        <w:jc w:val="center"/>
        <w:rPr>
          <w:rFonts w:ascii="Times New Roman" w:hAnsi="Times New Roman" w:cs="Times New Roman"/>
          <w:noProof/>
          <w:sz w:val="24"/>
          <w:szCs w:val="24"/>
        </w:rPr>
      </w:pPr>
    </w:p>
    <w:p w:rsidR="004A2A5D" w:rsidRPr="00EB0638" w:rsidRDefault="004A2A5D" w:rsidP="004A2A5D">
      <w:pPr>
        <w:spacing w:after="0" w:line="360" w:lineRule="auto"/>
        <w:jc w:val="center"/>
        <w:rPr>
          <w:rFonts w:ascii="Times New Roman" w:hAnsi="Times New Roman" w:cs="Times New Roman"/>
          <w:noProof/>
          <w:sz w:val="24"/>
          <w:szCs w:val="24"/>
        </w:rPr>
      </w:pPr>
    </w:p>
    <w:p w:rsidR="004A2A5D" w:rsidRPr="00EB0638" w:rsidRDefault="004A2A5D" w:rsidP="004A2A5D">
      <w:pPr>
        <w:spacing w:after="0" w:line="360" w:lineRule="auto"/>
        <w:jc w:val="center"/>
        <w:rPr>
          <w:rFonts w:ascii="Times New Roman" w:hAnsi="Times New Roman" w:cs="Times New Roman"/>
          <w:noProof/>
          <w:sz w:val="24"/>
          <w:szCs w:val="24"/>
        </w:rPr>
      </w:pPr>
    </w:p>
    <w:p w:rsidR="004A2A5D" w:rsidRPr="00EB0638" w:rsidRDefault="004A2A5D" w:rsidP="004A2A5D">
      <w:pPr>
        <w:spacing w:after="0" w:line="360" w:lineRule="auto"/>
        <w:jc w:val="center"/>
        <w:rPr>
          <w:rFonts w:ascii="Times New Roman" w:hAnsi="Times New Roman" w:cs="Times New Roman"/>
          <w:noProof/>
          <w:sz w:val="24"/>
          <w:szCs w:val="24"/>
        </w:rPr>
      </w:pPr>
    </w:p>
    <w:p w:rsidR="004A2A5D" w:rsidRPr="00EB0638" w:rsidRDefault="004A2A5D" w:rsidP="004A2A5D">
      <w:pPr>
        <w:spacing w:after="0" w:line="360" w:lineRule="auto"/>
        <w:jc w:val="center"/>
        <w:rPr>
          <w:rFonts w:ascii="Times New Roman" w:hAnsi="Times New Roman" w:cs="Times New Roman"/>
          <w:noProof/>
          <w:sz w:val="24"/>
          <w:szCs w:val="24"/>
        </w:rPr>
      </w:pPr>
    </w:p>
    <w:p w:rsidR="004A2A5D" w:rsidRPr="00EB0638" w:rsidRDefault="004A2A5D" w:rsidP="004A2A5D">
      <w:pPr>
        <w:spacing w:after="0" w:line="360" w:lineRule="auto"/>
        <w:jc w:val="center"/>
        <w:rPr>
          <w:rFonts w:ascii="Times New Roman" w:hAnsi="Times New Roman" w:cs="Times New Roman"/>
          <w:noProof/>
          <w:sz w:val="24"/>
          <w:szCs w:val="24"/>
        </w:rPr>
      </w:pPr>
    </w:p>
    <w:p w:rsidR="004A2A5D" w:rsidRPr="00EB0638" w:rsidRDefault="004A2A5D" w:rsidP="004A2A5D">
      <w:pPr>
        <w:spacing w:after="0" w:line="360" w:lineRule="auto"/>
        <w:jc w:val="center"/>
        <w:rPr>
          <w:rFonts w:ascii="Times New Roman" w:hAnsi="Times New Roman" w:cs="Times New Roman"/>
          <w:noProof/>
          <w:sz w:val="24"/>
          <w:szCs w:val="24"/>
        </w:rPr>
      </w:pPr>
    </w:p>
    <w:p w:rsidR="004A2A5D" w:rsidRPr="00EB0638" w:rsidRDefault="004A2A5D" w:rsidP="004A2A5D">
      <w:pPr>
        <w:spacing w:after="0" w:line="360" w:lineRule="auto"/>
        <w:jc w:val="center"/>
        <w:rPr>
          <w:rFonts w:ascii="Times New Roman" w:hAnsi="Times New Roman" w:cs="Times New Roman"/>
          <w:noProof/>
          <w:sz w:val="24"/>
          <w:szCs w:val="24"/>
        </w:rPr>
      </w:pPr>
    </w:p>
    <w:p w:rsidR="004A2A5D" w:rsidRPr="00EB0638" w:rsidRDefault="004A2A5D" w:rsidP="004A2A5D">
      <w:pPr>
        <w:spacing w:after="0" w:line="360" w:lineRule="auto"/>
        <w:jc w:val="center"/>
        <w:rPr>
          <w:rFonts w:ascii="Times New Roman" w:hAnsi="Times New Roman" w:cs="Times New Roman"/>
          <w:noProof/>
          <w:sz w:val="24"/>
          <w:szCs w:val="24"/>
        </w:rPr>
      </w:pPr>
    </w:p>
    <w:p w:rsidR="004A2A5D" w:rsidRPr="00EB0638" w:rsidRDefault="004A2A5D" w:rsidP="004A2A5D">
      <w:pPr>
        <w:spacing w:after="0" w:line="360" w:lineRule="auto"/>
        <w:rPr>
          <w:rFonts w:ascii="Times New Roman" w:hAnsi="Times New Roman" w:cs="Times New Roman"/>
          <w:noProof/>
          <w:sz w:val="24"/>
          <w:szCs w:val="24"/>
        </w:rPr>
      </w:pPr>
    </w:p>
    <w:p w:rsidR="001E4E0B" w:rsidRPr="00EB0638" w:rsidRDefault="00A44F09" w:rsidP="001E4E0B">
      <w:pPr>
        <w:keepNext/>
        <w:spacing w:after="0" w:line="360" w:lineRule="auto"/>
        <w:jc w:val="center"/>
      </w:pPr>
      <w:r w:rsidRPr="00A44F09">
        <w:rPr>
          <w:noProof/>
        </w:rPr>
        <w:lastRenderedPageBreak/>
        <w:drawing>
          <wp:inline distT="0" distB="0" distL="0" distR="0">
            <wp:extent cx="5384479" cy="3479470"/>
            <wp:effectExtent l="19050" t="0" r="25721" b="6680"/>
            <wp:docPr id="3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8C6E66" w:rsidRPr="00EB0638" w:rsidRDefault="008C6E66" w:rsidP="008C6E66">
      <w:pPr>
        <w:pStyle w:val="Lgende"/>
        <w:keepNext/>
        <w:jc w:val="center"/>
        <w:rPr>
          <w:color w:val="auto"/>
        </w:rPr>
      </w:pPr>
    </w:p>
    <w:p w:rsidR="004A2A5D" w:rsidRPr="00EB0638" w:rsidRDefault="008C6E66" w:rsidP="00463B12">
      <w:pPr>
        <w:pStyle w:val="Lgende"/>
        <w:spacing w:before="240"/>
        <w:jc w:val="center"/>
        <w:rPr>
          <w:rFonts w:asciiTheme="majorBidi" w:hAnsiTheme="majorBidi" w:cstheme="majorBidi"/>
          <w:color w:val="auto"/>
          <w:sz w:val="24"/>
          <w:szCs w:val="24"/>
        </w:rPr>
      </w:pPr>
      <w:bookmarkStart w:id="1580" w:name="_Toc252194996"/>
      <w:r w:rsidRPr="002F4810">
        <w:rPr>
          <w:rFonts w:asciiTheme="majorBidi" w:hAnsiTheme="majorBidi" w:cstheme="majorBidi"/>
          <w:color w:val="auto"/>
          <w:sz w:val="24"/>
          <w:szCs w:val="24"/>
        </w:rPr>
        <w:t xml:space="preserve">Fig. </w:t>
      </w:r>
      <w:r w:rsidR="00811D6A" w:rsidRPr="002F4810">
        <w:rPr>
          <w:rFonts w:asciiTheme="majorBidi" w:hAnsiTheme="majorBidi" w:cstheme="majorBidi"/>
          <w:color w:val="auto"/>
          <w:sz w:val="24"/>
          <w:szCs w:val="24"/>
        </w:rPr>
        <w:fldChar w:fldCharType="begin"/>
      </w:r>
      <w:r w:rsidRPr="002F4810">
        <w:rPr>
          <w:rFonts w:asciiTheme="majorBidi" w:hAnsiTheme="majorBidi" w:cstheme="majorBidi"/>
          <w:color w:val="auto"/>
          <w:sz w:val="24"/>
          <w:szCs w:val="24"/>
        </w:rPr>
        <w:instrText xml:space="preserve"> SEQ Figure \* ARABIC </w:instrText>
      </w:r>
      <w:r w:rsidR="00811D6A" w:rsidRPr="002F4810">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59</w:t>
      </w:r>
      <w:r w:rsidR="00811D6A" w:rsidRPr="002F4810">
        <w:rPr>
          <w:rFonts w:asciiTheme="majorBidi" w:hAnsiTheme="majorBidi" w:cstheme="majorBidi"/>
          <w:color w:val="auto"/>
          <w:sz w:val="24"/>
          <w:szCs w:val="24"/>
        </w:rPr>
        <w:fldChar w:fldCharType="end"/>
      </w:r>
      <w:r w:rsidRPr="002F4810">
        <w:rPr>
          <w:rFonts w:asciiTheme="majorBidi" w:hAnsiTheme="majorBidi" w:cstheme="majorBidi"/>
          <w:color w:val="auto"/>
          <w:sz w:val="24"/>
          <w:szCs w:val="24"/>
        </w:rPr>
        <w:t>:Poids</w:t>
      </w:r>
      <w:r w:rsidR="00200561" w:rsidRPr="002F4810">
        <w:rPr>
          <w:rFonts w:asciiTheme="majorBidi" w:hAnsiTheme="majorBidi" w:cstheme="majorBidi"/>
          <w:color w:val="auto"/>
          <w:sz w:val="24"/>
          <w:szCs w:val="24"/>
        </w:rPr>
        <w:t xml:space="preserve"> moyen d’un capitule (PC) et de</w:t>
      </w:r>
      <w:r w:rsidR="00952481" w:rsidRPr="002F4810">
        <w:rPr>
          <w:rFonts w:asciiTheme="majorBidi" w:hAnsiTheme="majorBidi" w:cstheme="majorBidi"/>
          <w:color w:val="auto"/>
          <w:sz w:val="24"/>
          <w:szCs w:val="24"/>
        </w:rPr>
        <w:t xml:space="preserve"> graines saines (PGRS</w:t>
      </w:r>
      <w:r w:rsidR="00300059">
        <w:rPr>
          <w:rFonts w:asciiTheme="majorBidi" w:hAnsiTheme="majorBidi" w:cstheme="majorBidi"/>
          <w:color w:val="auto"/>
          <w:sz w:val="24"/>
          <w:szCs w:val="24"/>
        </w:rPr>
        <w:t>C</w:t>
      </w:r>
      <w:r w:rsidR="00952481" w:rsidRPr="002F4810">
        <w:rPr>
          <w:rFonts w:asciiTheme="majorBidi" w:hAnsiTheme="majorBidi" w:cstheme="majorBidi"/>
          <w:color w:val="auto"/>
          <w:sz w:val="24"/>
          <w:szCs w:val="24"/>
        </w:rPr>
        <w:t>) en (</w:t>
      </w:r>
      <w:r w:rsidRPr="002F4810">
        <w:rPr>
          <w:rFonts w:asciiTheme="majorBidi" w:hAnsiTheme="majorBidi" w:cstheme="majorBidi"/>
          <w:color w:val="auto"/>
          <w:sz w:val="24"/>
          <w:szCs w:val="24"/>
        </w:rPr>
        <w:t>g).</w:t>
      </w:r>
      <w:bookmarkEnd w:id="1580"/>
    </w:p>
    <w:p w:rsidR="004A2A5D" w:rsidRPr="00EB0638" w:rsidRDefault="004A2A5D" w:rsidP="004A2A5D">
      <w:pPr>
        <w:spacing w:after="120" w:line="240" w:lineRule="auto"/>
        <w:jc w:val="center"/>
        <w:rPr>
          <w:rFonts w:ascii="Times New Roman" w:hAnsi="Times New Roman" w:cs="Times New Roman"/>
          <w:b/>
          <w:bCs/>
          <w:sz w:val="24"/>
          <w:szCs w:val="24"/>
        </w:rPr>
      </w:pPr>
    </w:p>
    <w:p w:rsidR="00604E39" w:rsidRPr="00EB0638" w:rsidRDefault="004A2A5D" w:rsidP="00604E39">
      <w:pPr>
        <w:keepNext/>
        <w:spacing w:after="120" w:line="360" w:lineRule="auto"/>
        <w:jc w:val="center"/>
      </w:pPr>
      <w:r w:rsidRPr="00EB0638">
        <w:rPr>
          <w:rFonts w:ascii="Times New Roman" w:hAnsi="Times New Roman" w:cs="Times New Roman"/>
          <w:b/>
          <w:bCs/>
          <w:noProof/>
          <w:sz w:val="24"/>
          <w:szCs w:val="24"/>
        </w:rPr>
        <w:drawing>
          <wp:inline distT="0" distB="0" distL="0" distR="0">
            <wp:extent cx="5397798" cy="3242268"/>
            <wp:effectExtent l="19050" t="0" r="12402" b="0"/>
            <wp:docPr id="115"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A2A5D" w:rsidRPr="00EB0638" w:rsidRDefault="008C6E66" w:rsidP="00463B12">
      <w:pPr>
        <w:pStyle w:val="Lgende"/>
        <w:spacing w:before="240"/>
        <w:jc w:val="center"/>
        <w:rPr>
          <w:rFonts w:asciiTheme="majorBidi" w:hAnsiTheme="majorBidi" w:cstheme="majorBidi"/>
          <w:color w:val="auto"/>
          <w:sz w:val="24"/>
          <w:szCs w:val="24"/>
        </w:rPr>
      </w:pPr>
      <w:bookmarkStart w:id="1581" w:name="_Toc252194997"/>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60</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:P</w:t>
      </w:r>
      <w:r w:rsidR="00952481">
        <w:rPr>
          <w:rFonts w:asciiTheme="majorBidi" w:hAnsiTheme="majorBidi" w:cstheme="majorBidi"/>
          <w:color w:val="auto"/>
          <w:sz w:val="24"/>
          <w:szCs w:val="24"/>
        </w:rPr>
        <w:t>oids moyen de 1000 graines en (</w:t>
      </w:r>
      <w:r w:rsidRPr="00EB0638">
        <w:rPr>
          <w:rFonts w:asciiTheme="majorBidi" w:hAnsiTheme="majorBidi" w:cstheme="majorBidi"/>
          <w:color w:val="auto"/>
          <w:sz w:val="24"/>
          <w:szCs w:val="24"/>
        </w:rPr>
        <w:t>g).</w:t>
      </w:r>
      <w:bookmarkEnd w:id="1581"/>
    </w:p>
    <w:p w:rsidR="004A2A5D" w:rsidRPr="00EB0638" w:rsidRDefault="004A2A5D" w:rsidP="004A2A5D">
      <w:pPr>
        <w:spacing w:line="360" w:lineRule="auto"/>
        <w:jc w:val="center"/>
        <w:rPr>
          <w:rFonts w:ascii="Times New Roman" w:hAnsi="Times New Roman" w:cs="Times New Roman"/>
          <w:b/>
          <w:bCs/>
          <w:sz w:val="24"/>
          <w:szCs w:val="24"/>
        </w:rPr>
      </w:pPr>
    </w:p>
    <w:p w:rsidR="004A2A5D" w:rsidRPr="00EB0638" w:rsidRDefault="004A2A5D" w:rsidP="004A2A5D">
      <w:pPr>
        <w:spacing w:line="360" w:lineRule="auto"/>
        <w:jc w:val="center"/>
        <w:rPr>
          <w:rFonts w:ascii="Times New Roman" w:hAnsi="Times New Roman" w:cs="Times New Roman"/>
          <w:b/>
          <w:bCs/>
          <w:sz w:val="24"/>
          <w:szCs w:val="24"/>
        </w:rPr>
      </w:pPr>
    </w:p>
    <w:p w:rsidR="008C6E66" w:rsidRPr="00EB0638" w:rsidRDefault="008C6E66" w:rsidP="00EC2191">
      <w:pPr>
        <w:spacing w:line="360" w:lineRule="auto"/>
        <w:rPr>
          <w:rFonts w:ascii="Times New Roman" w:hAnsi="Times New Roman" w:cs="Times New Roman"/>
          <w:b/>
          <w:bCs/>
          <w:sz w:val="24"/>
          <w:szCs w:val="24"/>
        </w:rPr>
      </w:pPr>
    </w:p>
    <w:p w:rsidR="004A2A5D" w:rsidRPr="00EB0638" w:rsidRDefault="004A2A5D" w:rsidP="007438AC">
      <w:pPr>
        <w:pStyle w:val="Paragraphedeliste"/>
        <w:numPr>
          <w:ilvl w:val="0"/>
          <w:numId w:val="55"/>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Rendement moyen en fleurs estimé par parcelle (RFP)</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Nous observons que le rendement moyen estimé en fleurs est homogène pour les quatre populations étudiées.</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ne décèle aucune différence significative entre les populations (Fig</w:t>
      </w:r>
      <w:r w:rsidR="008C6E66" w:rsidRPr="00EB0638">
        <w:rPr>
          <w:rFonts w:ascii="Times New Roman" w:hAnsi="Times New Roman" w:cs="Times New Roman"/>
          <w:sz w:val="24"/>
          <w:szCs w:val="24"/>
        </w:rPr>
        <w:t>. 61</w:t>
      </w:r>
      <w:r w:rsidR="00CE6119">
        <w:rPr>
          <w:rFonts w:ascii="Times New Roman" w:hAnsi="Times New Roman" w:cs="Times New Roman"/>
          <w:sz w:val="24"/>
          <w:szCs w:val="24"/>
        </w:rPr>
        <w:t> ; Annexe 6</w:t>
      </w:r>
      <w:r w:rsidRPr="00EB0638">
        <w:rPr>
          <w:rFonts w:ascii="Times New Roman" w:hAnsi="Times New Roman" w:cs="Times New Roman"/>
          <w:sz w:val="24"/>
          <w:szCs w:val="24"/>
        </w:rPr>
        <w:t>).</w:t>
      </w:r>
    </w:p>
    <w:p w:rsidR="004A2A5D" w:rsidRPr="00EB0638" w:rsidRDefault="004A2A5D" w:rsidP="007438AC">
      <w:pPr>
        <w:pStyle w:val="Paragraphedeliste"/>
        <w:numPr>
          <w:ilvl w:val="0"/>
          <w:numId w:val="55"/>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Rendement moyen en graines estimé par parcelle (RGP)</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valeurs moyennes du rendement estimé en graines présentent une relative homogénéité entre l</w:t>
      </w:r>
      <w:r w:rsidR="008C6E66" w:rsidRPr="00EB0638">
        <w:rPr>
          <w:rFonts w:ascii="Times New Roman" w:hAnsi="Times New Roman" w:cs="Times New Roman"/>
          <w:sz w:val="24"/>
          <w:szCs w:val="24"/>
        </w:rPr>
        <w:t>es populations étudiées (Fig. 62</w:t>
      </w:r>
      <w:r w:rsidRPr="00EB0638">
        <w:rPr>
          <w:rFonts w:ascii="Times New Roman" w:hAnsi="Times New Roman" w:cs="Times New Roman"/>
          <w:sz w:val="24"/>
          <w:szCs w:val="24"/>
        </w:rPr>
        <w:t>).</w:t>
      </w:r>
    </w:p>
    <w:p w:rsidR="004A2A5D" w:rsidRPr="00EB0638" w:rsidRDefault="004A2A5D" w:rsidP="008C6E66">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n’indique aucune différence significative entre les populations (Fig</w:t>
      </w:r>
      <w:r w:rsidR="008C6E66" w:rsidRPr="00EB0638">
        <w:rPr>
          <w:rFonts w:ascii="Times New Roman" w:hAnsi="Times New Roman" w:cs="Times New Roman"/>
          <w:sz w:val="24"/>
          <w:szCs w:val="24"/>
        </w:rPr>
        <w:t>. 632</w:t>
      </w:r>
      <w:r w:rsidR="00CE6119">
        <w:rPr>
          <w:rFonts w:ascii="Times New Roman" w:hAnsi="Times New Roman" w:cs="Times New Roman"/>
          <w:sz w:val="24"/>
          <w:szCs w:val="24"/>
        </w:rPr>
        <w:t>; Annexe 6</w:t>
      </w:r>
      <w:r w:rsidRPr="00EB0638">
        <w:rPr>
          <w:rFonts w:ascii="Times New Roman" w:hAnsi="Times New Roman" w:cs="Times New Roman"/>
          <w:sz w:val="24"/>
          <w:szCs w:val="24"/>
        </w:rPr>
        <w:t>).</w:t>
      </w:r>
    </w:p>
    <w:p w:rsidR="004A2A5D" w:rsidRPr="00EB0638" w:rsidRDefault="004A2A5D" w:rsidP="004A2A5D">
      <w:pPr>
        <w:spacing w:line="360" w:lineRule="auto"/>
        <w:jc w:val="both"/>
        <w:rPr>
          <w:rFonts w:ascii="Times New Roman" w:hAnsi="Times New Roman" w:cs="Times New Roman"/>
          <w:b/>
          <w:bCs/>
          <w:sz w:val="24"/>
          <w:szCs w:val="24"/>
        </w:rPr>
      </w:pPr>
    </w:p>
    <w:p w:rsidR="004A2A5D" w:rsidRPr="00EB0638" w:rsidRDefault="004A2A5D" w:rsidP="004A2A5D">
      <w:pPr>
        <w:spacing w:line="360" w:lineRule="auto"/>
        <w:jc w:val="both"/>
        <w:rPr>
          <w:rFonts w:ascii="Times New Roman" w:hAnsi="Times New Roman" w:cs="Times New Roman"/>
          <w:b/>
          <w:bCs/>
          <w:sz w:val="24"/>
          <w:szCs w:val="24"/>
        </w:rPr>
      </w:pPr>
    </w:p>
    <w:p w:rsidR="004A2A5D" w:rsidRPr="00EB0638" w:rsidRDefault="004A2A5D" w:rsidP="004A2A5D">
      <w:pPr>
        <w:spacing w:line="360" w:lineRule="auto"/>
        <w:jc w:val="both"/>
        <w:rPr>
          <w:rFonts w:ascii="Times New Roman" w:hAnsi="Times New Roman" w:cs="Times New Roman"/>
          <w:b/>
          <w:bCs/>
          <w:sz w:val="24"/>
          <w:szCs w:val="24"/>
        </w:rPr>
      </w:pPr>
    </w:p>
    <w:p w:rsidR="004A2A5D" w:rsidRPr="00EB0638" w:rsidRDefault="004A2A5D" w:rsidP="004A2A5D">
      <w:pPr>
        <w:spacing w:line="360" w:lineRule="auto"/>
        <w:jc w:val="both"/>
        <w:rPr>
          <w:rFonts w:ascii="Times New Roman" w:hAnsi="Times New Roman" w:cs="Times New Roman"/>
          <w:b/>
          <w:bCs/>
          <w:sz w:val="24"/>
          <w:szCs w:val="24"/>
        </w:rPr>
      </w:pPr>
    </w:p>
    <w:p w:rsidR="004A2A5D" w:rsidRPr="00EB0638" w:rsidRDefault="004A2A5D" w:rsidP="004A2A5D">
      <w:pPr>
        <w:spacing w:line="360" w:lineRule="auto"/>
        <w:jc w:val="both"/>
        <w:rPr>
          <w:rFonts w:ascii="Times New Roman" w:hAnsi="Times New Roman" w:cs="Times New Roman"/>
          <w:b/>
          <w:bCs/>
          <w:sz w:val="24"/>
          <w:szCs w:val="24"/>
        </w:rPr>
      </w:pPr>
    </w:p>
    <w:p w:rsidR="004A2A5D" w:rsidRPr="00EB0638" w:rsidRDefault="00604E39" w:rsidP="00604E39">
      <w:pPr>
        <w:tabs>
          <w:tab w:val="left" w:pos="2347"/>
        </w:tabs>
        <w:spacing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tab/>
      </w:r>
    </w:p>
    <w:p w:rsidR="00604E39" w:rsidRPr="00EB0638" w:rsidRDefault="00604E39" w:rsidP="00604E39">
      <w:pPr>
        <w:tabs>
          <w:tab w:val="left" w:pos="2347"/>
        </w:tabs>
        <w:spacing w:line="360" w:lineRule="auto"/>
        <w:jc w:val="both"/>
        <w:rPr>
          <w:rFonts w:ascii="Times New Roman" w:hAnsi="Times New Roman" w:cs="Times New Roman"/>
          <w:b/>
          <w:bCs/>
          <w:sz w:val="24"/>
          <w:szCs w:val="24"/>
        </w:rPr>
      </w:pPr>
    </w:p>
    <w:p w:rsidR="00604E39" w:rsidRPr="00EB0638" w:rsidRDefault="004A2A5D" w:rsidP="00604E39">
      <w:pPr>
        <w:keepNext/>
        <w:spacing w:line="360" w:lineRule="auto"/>
        <w:jc w:val="both"/>
      </w:pPr>
      <w:r w:rsidRPr="00EB0638">
        <w:rPr>
          <w:rFonts w:ascii="Times New Roman" w:hAnsi="Times New Roman" w:cs="Times New Roman"/>
          <w:b/>
          <w:bCs/>
          <w:sz w:val="24"/>
          <w:szCs w:val="24"/>
        </w:rPr>
        <w:lastRenderedPageBreak/>
        <w:t xml:space="preserve">            </w:t>
      </w:r>
      <w:r w:rsidRPr="00EB0638">
        <w:rPr>
          <w:rFonts w:ascii="Times New Roman" w:hAnsi="Times New Roman" w:cs="Times New Roman"/>
          <w:b/>
          <w:bCs/>
          <w:noProof/>
          <w:sz w:val="24"/>
          <w:szCs w:val="24"/>
        </w:rPr>
        <w:drawing>
          <wp:inline distT="0" distB="0" distL="0" distR="0">
            <wp:extent cx="5516567" cy="3241963"/>
            <wp:effectExtent l="19050" t="0" r="26983" b="0"/>
            <wp:docPr id="116"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A2A5D" w:rsidRPr="00EB0638" w:rsidRDefault="008C6E66" w:rsidP="00463B12">
      <w:pPr>
        <w:pStyle w:val="Lgende"/>
        <w:spacing w:before="240"/>
        <w:jc w:val="center"/>
        <w:rPr>
          <w:rFonts w:asciiTheme="majorBidi" w:hAnsiTheme="majorBidi" w:cstheme="majorBidi"/>
          <w:color w:val="auto"/>
          <w:sz w:val="24"/>
          <w:szCs w:val="24"/>
        </w:rPr>
      </w:pPr>
      <w:bookmarkStart w:id="1582" w:name="_Toc252194998"/>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61</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w:t>
      </w:r>
      <w:r w:rsidRPr="00117D75">
        <w:rPr>
          <w:rFonts w:asciiTheme="majorBidi" w:hAnsiTheme="majorBidi" w:cstheme="majorBidi"/>
          <w:color w:val="auto"/>
          <w:sz w:val="24"/>
          <w:szCs w:val="24"/>
        </w:rPr>
        <w:t>Rendement moyen en fleurs estimé par parcelle  en (kg).</w:t>
      </w:r>
      <w:bookmarkEnd w:id="1582"/>
    </w:p>
    <w:p w:rsidR="008C6E66" w:rsidRPr="00EB0638" w:rsidRDefault="00CA4D82" w:rsidP="008C6E66">
      <w:pPr>
        <w:keepNext/>
        <w:spacing w:line="360" w:lineRule="auto"/>
        <w:jc w:val="center"/>
      </w:pPr>
      <w:r>
        <w:t xml:space="preserve">     </w:t>
      </w:r>
      <w:r w:rsidR="004A2A5D" w:rsidRPr="00EB0638">
        <w:rPr>
          <w:rFonts w:ascii="Times New Roman" w:hAnsi="Times New Roman" w:cs="Times New Roman"/>
          <w:b/>
          <w:bCs/>
          <w:noProof/>
          <w:sz w:val="24"/>
          <w:szCs w:val="24"/>
        </w:rPr>
        <w:drawing>
          <wp:inline distT="0" distB="0" distL="0" distR="0">
            <wp:extent cx="5573213" cy="3170712"/>
            <wp:effectExtent l="19050" t="0" r="27487" b="0"/>
            <wp:docPr id="117"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A2A5D" w:rsidRPr="00EB0638" w:rsidRDefault="008C6E66" w:rsidP="00117D75">
      <w:pPr>
        <w:pStyle w:val="Lgende"/>
        <w:spacing w:before="240"/>
        <w:jc w:val="center"/>
        <w:rPr>
          <w:rFonts w:asciiTheme="majorBidi" w:hAnsiTheme="majorBidi" w:cstheme="majorBidi"/>
          <w:color w:val="auto"/>
          <w:sz w:val="24"/>
          <w:szCs w:val="24"/>
        </w:rPr>
      </w:pPr>
      <w:bookmarkStart w:id="1583" w:name="_Toc252194999"/>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62</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:Rendement moyen en</w:t>
      </w:r>
      <w:r w:rsidR="00117D75">
        <w:rPr>
          <w:rFonts w:asciiTheme="majorBidi" w:hAnsiTheme="majorBidi" w:cstheme="majorBidi"/>
          <w:color w:val="auto"/>
          <w:sz w:val="24"/>
          <w:szCs w:val="24"/>
        </w:rPr>
        <w:t xml:space="preserve"> graines </w:t>
      </w:r>
      <w:r w:rsidRPr="00EB0638">
        <w:rPr>
          <w:rFonts w:asciiTheme="majorBidi" w:hAnsiTheme="majorBidi" w:cstheme="majorBidi"/>
          <w:color w:val="auto"/>
          <w:sz w:val="24"/>
          <w:szCs w:val="24"/>
        </w:rPr>
        <w:t>estimé par parcelle  en (kg).</w:t>
      </w:r>
      <w:bookmarkEnd w:id="1583"/>
    </w:p>
    <w:p w:rsidR="004A2A5D" w:rsidRPr="00EB0638" w:rsidRDefault="004A2A5D" w:rsidP="004A2A5D">
      <w:pPr>
        <w:spacing w:line="360" w:lineRule="auto"/>
        <w:jc w:val="both"/>
        <w:rPr>
          <w:rFonts w:ascii="Times New Roman" w:hAnsi="Times New Roman" w:cs="Times New Roman"/>
          <w:b/>
          <w:bCs/>
          <w:sz w:val="24"/>
          <w:szCs w:val="24"/>
        </w:rPr>
      </w:pPr>
    </w:p>
    <w:p w:rsidR="004A2A5D" w:rsidRPr="00EB0638" w:rsidRDefault="004A2A5D" w:rsidP="004A2A5D">
      <w:pPr>
        <w:spacing w:line="360" w:lineRule="auto"/>
        <w:jc w:val="both"/>
        <w:rPr>
          <w:rFonts w:ascii="Times New Roman" w:hAnsi="Times New Roman" w:cs="Times New Roman"/>
          <w:b/>
          <w:bCs/>
          <w:sz w:val="24"/>
          <w:szCs w:val="24"/>
        </w:rPr>
      </w:pPr>
    </w:p>
    <w:p w:rsidR="004A2A5D" w:rsidRPr="00EB0638" w:rsidRDefault="004A2A5D" w:rsidP="004A2A5D">
      <w:pPr>
        <w:spacing w:line="360" w:lineRule="auto"/>
        <w:jc w:val="both"/>
        <w:rPr>
          <w:rFonts w:ascii="Times New Roman" w:hAnsi="Times New Roman" w:cs="Times New Roman"/>
          <w:b/>
          <w:bCs/>
          <w:sz w:val="24"/>
          <w:szCs w:val="24"/>
        </w:rPr>
      </w:pPr>
    </w:p>
    <w:p w:rsidR="004A2A5D" w:rsidRPr="00EB0638" w:rsidRDefault="004A2A5D" w:rsidP="004A2A5D">
      <w:pPr>
        <w:spacing w:line="360" w:lineRule="auto"/>
        <w:jc w:val="both"/>
        <w:rPr>
          <w:rFonts w:ascii="Times New Roman" w:hAnsi="Times New Roman" w:cs="Times New Roman"/>
          <w:b/>
          <w:bCs/>
          <w:sz w:val="24"/>
          <w:szCs w:val="24"/>
        </w:rPr>
      </w:pPr>
    </w:p>
    <w:p w:rsidR="004A2A5D" w:rsidRPr="00EB0638" w:rsidRDefault="004A2A5D" w:rsidP="003D3EF8">
      <w:pPr>
        <w:pStyle w:val="Titre1"/>
        <w:numPr>
          <w:ilvl w:val="0"/>
          <w:numId w:val="50"/>
        </w:numPr>
        <w:spacing w:after="240" w:line="360" w:lineRule="auto"/>
        <w:rPr>
          <w:rFonts w:ascii="Times New Roman" w:hAnsi="Times New Roman"/>
          <w:color w:val="auto"/>
        </w:rPr>
      </w:pPr>
      <w:bookmarkStart w:id="1584" w:name="_Toc126576864"/>
      <w:bookmarkStart w:id="1585" w:name="_Toc252094073"/>
      <w:bookmarkStart w:id="1586" w:name="_Toc252365462"/>
      <w:bookmarkStart w:id="1587" w:name="_Toc252365733"/>
      <w:bookmarkStart w:id="1588" w:name="_Toc252366278"/>
      <w:r w:rsidRPr="00EB0638">
        <w:rPr>
          <w:rFonts w:ascii="Times New Roman" w:hAnsi="Times New Roman"/>
          <w:color w:val="auto"/>
        </w:rPr>
        <w:lastRenderedPageBreak/>
        <w:t>Matrice des corrélations</w:t>
      </w:r>
      <w:bookmarkEnd w:id="1584"/>
      <w:bookmarkEnd w:id="1585"/>
      <w:bookmarkEnd w:id="1586"/>
      <w:bookmarkEnd w:id="1587"/>
      <w:bookmarkEnd w:id="1588"/>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corrélation entre les v</w:t>
      </w:r>
      <w:r w:rsidR="00CE6119">
        <w:rPr>
          <w:rFonts w:ascii="Times New Roman" w:hAnsi="Times New Roman" w:cs="Times New Roman"/>
          <w:sz w:val="24"/>
          <w:szCs w:val="24"/>
        </w:rPr>
        <w:t>ariables montrée dans l’Annexe 7</w:t>
      </w:r>
      <w:r w:rsidRPr="00EB0638">
        <w:rPr>
          <w:rFonts w:ascii="Times New Roman" w:hAnsi="Times New Roman" w:cs="Times New Roman"/>
          <w:sz w:val="24"/>
          <w:szCs w:val="24"/>
        </w:rPr>
        <w:t xml:space="preserve"> indique que :</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La vitesse moyenne de germination journalière est corrélée positivement avec la capacité moyenne de germination, la valeur germinative moyenne, la durée de la floraison, le nombre moyen de branches par plant, le nombre moyen des capitules par plant et par branche, le poids moyen des capitules, de 1000 graines, de rendement moyen parcellaire estimé en graines, en fleurs et négativement à la vitesse moyenne de croissance en hauteur, les stades : bouton floral, début floraison, pleine floraison, fin floraison et maturité et le nombre moyen de graines saines, malades, échaudées, total ainsi que le poids moyen du capitule.</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La capacité moyenne de germination est corrèle positivement avec la valeur germinative moyenne, la vitesse moyenne de germination journalière le pourcentage moyen de levée, la durée moyenne de floraison, le nombre moyen de branches et de capitules par plant, le poids moyen de 1000 graines, le rendement moyen estimé en fleurs et en graines. Par contre, la capacité moyenne de germination est corrélée négativement à la vitesse moyenne de croissance en hauteur, les stades : début floraison, pleine floraison, fin floraison et maturité et le nombre moyen de graines échaudées par capitule.</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La valeur germinative moyenne est corrélée positivement avec la durée de floraison, le nombre moyen de branches et de capitules par plant, le poids moyen de capitules et de fleurs, la longueur moyenne d’un capitule, le poids moyen de 1000 graines, le rendement moyen parcellaire estimé en fleurs et en graine ; mais elle est corrélée négativement à la vitesse moyenne de croissance en hauteur, les stades : bouton floral, début floraison, pleine floraison, fin floraison et maturité et le diamètre et poids moyens d’un capitule, le nombre moyen de graines totales, saines, infectées et échaudées.</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Les populations tardives à la levée, à la pleine levée, sont tardives au stade rosette et présentent un nombre moyen de branches par plant, poids moyen des capitules, longueur moyenne d’un capitule, nombre moyen de graines saines, poids moyen de graines saines, rendement moyen parcellaire estimé en graines faibles.</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pourcentage moyen de levée est corrélé positivement avec le poids moyen de 1000 graines et négativement au stade début floraison, fin floraison, poids moyen de capitules et de fleurs par plant.</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lastRenderedPageBreak/>
        <w:t>La vitesse moyenne de croissance en hauteur est corrélée positivement avec le stade formation de branches, de bouton floral, de début floraison, de pleine floraison, de maturité, le diamètre moyen d’un capitule, le nombre moyen de graines totales, saines, infectées, échaudées, le poids moyen d’un capitule, de graines saines et négativement au nombre moyen de branches par plant, de capitules par plant et par branche, au poids moyen des capitules, à la longueur moyenne du capitule, au poids moyen de 1000 graines, au rendement moyenne estimé en fleurs et en graines.</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 xml:space="preserve">Le stade rosette est corrélé positivement avec le poids moyen de 1000 graines et négativement au stade formation de branche, au nombre moyen total de graines, de graines saines et infectées, au poids moyen d’un capitule et de graines saines. </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stade formation de branches est corrélé positivement avec le stade pleine levée, le diamètre moyen d’un capitule, le nombre moyen de graines saines, infectées, échaudées et totales, le poids moyen d’un capitule, de graines saines et négativement à la durée de floraison, au nombre moyen de capitules par plant et par branche, à la longueur moyenne du capitule, au poids moyen de fleurs par plant et au poids moyen de 1000 graines.</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stade bouton floral est corrélé positivement avec le stade pleine floraison, le diamètre moyen d’un capitule, le nombre moyen de graines infectées, échaudées et négativement à la durée de floraison, au nombre moyen des capitules par plant et par branche, à la longueur moyenne du capitule, au poids moyen des capitules, de fleurs par plant et de 1000 graines.</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stade début floraison est corrélé positivement avec le stade pleine floraison, fin floraison et maturité, le poids moyen de fleurs par plant, le nombre moyen de graines échaudées et négativement au nombre moyen de branches, des capitules par plant et le diamètre moyen d’un capitule.</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stade pleine floraison est corrélé positivement avec le stade fin floraison, maturité, et négativement à la durée de floraison, le nombre moyen de branches, de capitules par plant, et la longueur moyenne d’un capitule.</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stade fin floraison est corrélé positivement avec le stade maturité, le poids moyen de fleurs par plant et négativement au nombre moyen de branches et de capitules par plant et la longueur moyenne du capitule.</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lastRenderedPageBreak/>
        <w:t>Le diamètre moyen du capitule est corrélé positivement avec le stade fin floraison, maturité et négativement à la durée moyenne de floraison, le nombre moyen de branches et de capitules par plant et de capitules par branche, le poids moyen des capitules et des fleurs par plant, et la longueur moyenne d’un capitule.</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Des corrélations positives entre le nombre moyen de graines totales, saines, infectées, échaudées, le poids moyen d’un capitule et de graines saines. Par contre, ces caractères sont corrélés négativement au poids moyen de 1000 graines.</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rendement moyen parcellaire estimé en fleurs par plant est corrélé positivement avec le rendement moyen parcellaire estimé en graines, le poids moyen de 1000 graines et négativement au nombre moyen de graines infectées, échaudées et le poids moyen d’un capitule.</w:t>
      </w:r>
    </w:p>
    <w:p w:rsidR="004A2A5D" w:rsidRPr="00EB0638" w:rsidRDefault="004A2A5D" w:rsidP="00AD6B8B">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rendement moyen parcellaire estimé en graines est corrélé négativement avec le nombre moyen de graines échaudées et le poids moyen d’un capitule.</w:t>
      </w:r>
    </w:p>
    <w:p w:rsidR="004A2A5D" w:rsidRPr="00EB0638" w:rsidRDefault="004A2A5D" w:rsidP="003D3EF8">
      <w:pPr>
        <w:pStyle w:val="Titre1"/>
        <w:numPr>
          <w:ilvl w:val="0"/>
          <w:numId w:val="50"/>
        </w:numPr>
        <w:spacing w:after="240" w:line="360" w:lineRule="auto"/>
        <w:rPr>
          <w:rFonts w:ascii="Times New Roman" w:hAnsi="Times New Roman"/>
          <w:color w:val="auto"/>
        </w:rPr>
      </w:pPr>
      <w:bookmarkStart w:id="1589" w:name="_Toc126576865"/>
      <w:bookmarkStart w:id="1590" w:name="_Toc252094074"/>
      <w:bookmarkStart w:id="1591" w:name="_Toc252365463"/>
      <w:bookmarkStart w:id="1592" w:name="_Toc252365734"/>
      <w:bookmarkStart w:id="1593" w:name="_Toc252366279"/>
      <w:r w:rsidRPr="00EB0638">
        <w:rPr>
          <w:rFonts w:ascii="Times New Roman" w:hAnsi="Times New Roman"/>
          <w:color w:val="auto"/>
        </w:rPr>
        <w:t>Analyse en composantes principales</w:t>
      </w:r>
      <w:bookmarkEnd w:id="1589"/>
      <w:bookmarkEnd w:id="1590"/>
      <w:bookmarkEnd w:id="1591"/>
      <w:bookmarkEnd w:id="1592"/>
      <w:bookmarkEnd w:id="1593"/>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variations expliquées par les axes principaux sont respectivement de 59% de l’inf</w:t>
      </w:r>
      <w:r w:rsidR="00556B41">
        <w:rPr>
          <w:rFonts w:ascii="Times New Roman" w:hAnsi="Times New Roman" w:cs="Times New Roman"/>
          <w:sz w:val="24"/>
          <w:szCs w:val="24"/>
        </w:rPr>
        <w:t>ormation par le premier axe, 24,28% par le deuxième axe et 16,</w:t>
      </w:r>
      <w:r w:rsidRPr="00EB0638">
        <w:rPr>
          <w:rFonts w:ascii="Times New Roman" w:hAnsi="Times New Roman" w:cs="Times New Roman"/>
          <w:sz w:val="24"/>
          <w:szCs w:val="24"/>
        </w:rPr>
        <w:t>71% par le troisième. Le plant 1-2 fourn</w:t>
      </w:r>
      <w:r w:rsidR="00556B41">
        <w:rPr>
          <w:rFonts w:ascii="Times New Roman" w:hAnsi="Times New Roman" w:cs="Times New Roman"/>
          <w:sz w:val="24"/>
          <w:szCs w:val="24"/>
        </w:rPr>
        <w:t>it le maximum d’information (59,01% plus 24,</w:t>
      </w:r>
      <w:r w:rsidRPr="00EB0638">
        <w:rPr>
          <w:rFonts w:ascii="Times New Roman" w:hAnsi="Times New Roman" w:cs="Times New Roman"/>
          <w:sz w:val="24"/>
          <w:szCs w:val="24"/>
        </w:rPr>
        <w:t>28%) suivi de l’axe 1-3 (</w:t>
      </w:r>
      <w:r w:rsidR="00556B41">
        <w:rPr>
          <w:rFonts w:ascii="Times New Roman" w:hAnsi="Times New Roman" w:cs="Times New Roman"/>
          <w:sz w:val="24"/>
          <w:szCs w:val="24"/>
        </w:rPr>
        <w:t>59% plus 16,</w:t>
      </w:r>
      <w:r w:rsidRPr="00EB0638">
        <w:rPr>
          <w:rFonts w:ascii="Times New Roman" w:hAnsi="Times New Roman" w:cs="Times New Roman"/>
          <w:sz w:val="24"/>
          <w:szCs w:val="24"/>
        </w:rPr>
        <w:t>71%). Nous retiendrons le plan</w:t>
      </w:r>
      <w:r w:rsidR="00556B41">
        <w:rPr>
          <w:rFonts w:ascii="Times New Roman" w:hAnsi="Times New Roman" w:cs="Times New Roman"/>
          <w:sz w:val="24"/>
          <w:szCs w:val="24"/>
        </w:rPr>
        <w:t xml:space="preserve"> 1-2 qui permet d’expliquer (83,</w:t>
      </w:r>
      <w:r w:rsidRPr="00EB0638">
        <w:rPr>
          <w:rFonts w:ascii="Times New Roman" w:hAnsi="Times New Roman" w:cs="Times New Roman"/>
          <w:sz w:val="24"/>
          <w:szCs w:val="24"/>
        </w:rPr>
        <w:t xml:space="preserve">29%) de l’information totale </w:t>
      </w:r>
      <w:r w:rsidR="008C6E66" w:rsidRPr="00EB0638">
        <w:rPr>
          <w:rFonts w:ascii="Times New Roman" w:hAnsi="Times New Roman" w:cs="Times New Roman"/>
          <w:sz w:val="24"/>
          <w:szCs w:val="24"/>
        </w:rPr>
        <w:t>(Fig. 63</w:t>
      </w:r>
      <w:r w:rsidRPr="00EB0638">
        <w:rPr>
          <w:rFonts w:ascii="Times New Roman" w:hAnsi="Times New Roman" w:cs="Times New Roman"/>
          <w:sz w:val="24"/>
          <w:szCs w:val="24"/>
        </w:rPr>
        <w:t>).</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L’axe 1 est déterminer positivement par :</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plein floraison ;</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La vitesse moyenne de croissance en hauteur ;</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de graines échaudées par capitule ;</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poids moyen du capitule;</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maturité;</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de graines infectées ;</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total de graines par capitule ;</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lastRenderedPageBreak/>
        <w:t>Le nombre moyen de graines saines par capitule ;</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Diamètre du capitule;</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bouton floral début floraison, fin floraison et formation de branches ;</w:t>
      </w:r>
    </w:p>
    <w:p w:rsidR="004A2A5D" w:rsidRPr="00EB0638" w:rsidRDefault="004A2A5D" w:rsidP="00AD6B8B">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poids moyen de graines saines par capitule.</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Et négativement par les variables</w:t>
      </w:r>
    </w:p>
    <w:p w:rsidR="004A2A5D" w:rsidRPr="00C472F4" w:rsidRDefault="00C472F4" w:rsidP="00C472F4">
      <w:pPr>
        <w:pStyle w:val="Paragraphedeliste"/>
        <w:numPr>
          <w:ilvl w:val="0"/>
          <w:numId w:val="33"/>
        </w:numPr>
        <w:spacing w:before="24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Pr="00C472F4">
        <w:rPr>
          <w:rFonts w:ascii="Times New Roman" w:hAnsi="Times New Roman" w:cs="Times New Roman"/>
          <w:sz w:val="24"/>
          <w:szCs w:val="24"/>
        </w:rPr>
        <w:t xml:space="preserve">  </w:t>
      </w:r>
      <w:r w:rsidR="004A2A5D" w:rsidRPr="00C472F4">
        <w:rPr>
          <w:rFonts w:ascii="Times New Roman" w:hAnsi="Times New Roman" w:cs="Times New Roman"/>
          <w:sz w:val="24"/>
          <w:szCs w:val="24"/>
        </w:rPr>
        <w:t xml:space="preserve">La durée moyenne de floraison ; </w:t>
      </w:r>
    </w:p>
    <w:p w:rsidR="004A2A5D" w:rsidRPr="00EB0638" w:rsidRDefault="004A2A5D" w:rsidP="00C472F4">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de capitules par branche et par plant;</w:t>
      </w:r>
    </w:p>
    <w:p w:rsidR="004A2A5D" w:rsidRPr="00EB0638" w:rsidRDefault="004A2A5D" w:rsidP="00C472F4">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La vitesse de germination journalière et la valeur germinative;</w:t>
      </w:r>
    </w:p>
    <w:p w:rsidR="004A2A5D" w:rsidRPr="00EB0638" w:rsidRDefault="004A2A5D" w:rsidP="00C472F4">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de branches par capitule ;</w:t>
      </w:r>
    </w:p>
    <w:p w:rsidR="004A2A5D" w:rsidRPr="00EB0638" w:rsidRDefault="004A2A5D" w:rsidP="00C472F4">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La capacité de germination, le rendement parcellaire estimé en graines et le poids de capitules par plant ;</w:t>
      </w:r>
    </w:p>
    <w:p w:rsidR="004A2A5D" w:rsidRPr="00EB0638" w:rsidRDefault="004A2A5D" w:rsidP="004A2A5D">
      <w:pPr>
        <w:pStyle w:val="Paragraphedeliste"/>
        <w:spacing w:before="240" w:line="360" w:lineRule="auto"/>
        <w:ind w:left="0" w:firstLine="284"/>
        <w:jc w:val="both"/>
        <w:rPr>
          <w:rFonts w:ascii="Times New Roman" w:hAnsi="Times New Roman" w:cs="Times New Roman"/>
          <w:sz w:val="24"/>
          <w:szCs w:val="24"/>
        </w:rPr>
      </w:pPr>
      <w:r w:rsidRPr="00EB0638">
        <w:rPr>
          <w:rFonts w:ascii="Times New Roman" w:hAnsi="Times New Roman" w:cs="Times New Roman"/>
          <w:sz w:val="24"/>
          <w:szCs w:val="24"/>
        </w:rPr>
        <w:t>L’axe 2 est déterminé positivement par</w:t>
      </w:r>
    </w:p>
    <w:p w:rsidR="004A2A5D" w:rsidRPr="00EB0638" w:rsidRDefault="004A2A5D" w:rsidP="00C472F4">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poids moyen de graines saines par graines;</w:t>
      </w:r>
    </w:p>
    <w:p w:rsidR="004A2A5D" w:rsidRPr="00EB0638" w:rsidRDefault="004A2A5D" w:rsidP="00C472F4">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de graines saines par capitule et le rendement parcellaire estimé en graines ;</w:t>
      </w:r>
    </w:p>
    <w:p w:rsidR="004A2A5D" w:rsidRPr="00EB0638" w:rsidRDefault="004A2A5D" w:rsidP="00C472F4">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formation de branches ;</w:t>
      </w:r>
    </w:p>
    <w:p w:rsidR="004A2A5D" w:rsidRPr="00EB0638" w:rsidRDefault="004A2A5D" w:rsidP="00C472F4">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de branches par plant et le nombre moyen total de graines par capitule.</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Et négativement par</w:t>
      </w:r>
    </w:p>
    <w:p w:rsidR="004A2A5D" w:rsidRPr="00EB0638" w:rsidRDefault="004A2A5D" w:rsidP="00C472F4">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rosette, levée, pleine levée et fin floraison;</w:t>
      </w:r>
    </w:p>
    <w:p w:rsidR="004A2A5D" w:rsidRPr="00315F45" w:rsidRDefault="004A2A5D" w:rsidP="00315F45">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La longu</w:t>
      </w:r>
      <w:r w:rsidR="00CD4155">
        <w:rPr>
          <w:rFonts w:ascii="Times New Roman" w:hAnsi="Times New Roman" w:cs="Times New Roman"/>
          <w:sz w:val="24"/>
          <w:szCs w:val="24"/>
        </w:rPr>
        <w:t xml:space="preserve"> </w:t>
      </w:r>
      <w:r w:rsidRPr="00EB0638">
        <w:rPr>
          <w:rFonts w:ascii="Times New Roman" w:hAnsi="Times New Roman" w:cs="Times New Roman"/>
          <w:sz w:val="24"/>
          <w:szCs w:val="24"/>
        </w:rPr>
        <w:t>eur moyenne du capitule.</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 plan 1-2 met en évidence 2 groupes de population (Fig. 64). </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 groupe 1 (P'1, P'2, P'4) est caractérisé essentiellement par un nombre moyen de graines et poids moyen de graines saines élevés, une longue durée entre le semis et la formation de branches, de bouton </w:t>
      </w:r>
      <w:r w:rsidRPr="00EB0638">
        <w:rPr>
          <w:rFonts w:ascii="Times New Roman" w:hAnsi="Times New Roman" w:cs="Times New Roman"/>
          <w:sz w:val="24"/>
          <w:szCs w:val="24"/>
        </w:rPr>
        <w:lastRenderedPageBreak/>
        <w:t>floral, de début floraison, de fin floraison et</w:t>
      </w:r>
      <w:r w:rsidRPr="00EB0638">
        <w:rPr>
          <w:rFonts w:ascii="Times New Roman" w:hAnsi="Times New Roman" w:cs="Times New Roman"/>
          <w:b/>
          <w:bCs/>
          <w:sz w:val="24"/>
          <w:szCs w:val="24"/>
        </w:rPr>
        <w:t xml:space="preserve"> </w:t>
      </w:r>
      <w:r w:rsidRPr="00EB0638">
        <w:rPr>
          <w:rFonts w:ascii="Times New Roman" w:hAnsi="Times New Roman" w:cs="Times New Roman"/>
          <w:sz w:val="24"/>
          <w:szCs w:val="24"/>
        </w:rPr>
        <w:t>le stade maturité ; la vitesse de croissance en hauteur est rapide et le poids moyen de capitules élevé ; mais la production de branches, le rendement parcellaire estimé en graines et en fleurs, de poids moyen de capitules et de 1000 graines, longueur moyenne du capitule, capacité de germination sont faibles et la période de floraison est courte.</w:t>
      </w:r>
    </w:p>
    <w:p w:rsidR="004A2A5D" w:rsidRPr="00EB0638" w:rsidRDefault="004A2A5D" w:rsidP="004A2A5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Ce groupe s’oppose à la population P'3 (groupe 2) qui donne une capacité de germination, une production moyenne de branches élevée, une longue durée de floraison, une vitesse de croissance en hauteur faible, un poids moyen de 1000 graines, un rendement moyen parcellaire estimé en fleurs et en graines, et une longueur du capitule élevés.</w:t>
      </w:r>
    </w:p>
    <w:p w:rsidR="004A2A5D" w:rsidRPr="00EB0638" w:rsidRDefault="004A2A5D" w:rsidP="004A2A5D">
      <w:pPr>
        <w:spacing w:before="240" w:line="360" w:lineRule="auto"/>
        <w:ind w:firstLine="284"/>
        <w:jc w:val="both"/>
        <w:rPr>
          <w:rFonts w:ascii="Times New Roman" w:hAnsi="Times New Roman" w:cs="Times New Roman"/>
          <w:b/>
          <w:bCs/>
          <w:sz w:val="24"/>
          <w:szCs w:val="24"/>
        </w:rPr>
      </w:pPr>
      <w:r w:rsidRPr="00EB0638">
        <w:rPr>
          <w:rFonts w:ascii="Times New Roman" w:hAnsi="Times New Roman" w:cs="Times New Roman"/>
          <w:sz w:val="24"/>
          <w:szCs w:val="24"/>
        </w:rPr>
        <w:t>Ces résultats confirment ceux obtenus par l’analyse de variance.</w:t>
      </w:r>
    </w:p>
    <w:p w:rsidR="004A2A5D" w:rsidRPr="00EB0638" w:rsidRDefault="004A2A5D" w:rsidP="004A2A5D">
      <w:pPr>
        <w:spacing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br w:type="page"/>
      </w:r>
    </w:p>
    <w:p w:rsidR="004A2A5D" w:rsidRPr="00EB0638" w:rsidRDefault="004A2A5D" w:rsidP="008B3CEC">
      <w:pPr>
        <w:spacing w:before="240" w:line="360" w:lineRule="auto"/>
        <w:jc w:val="center"/>
        <w:rPr>
          <w:rFonts w:ascii="Times New Roman" w:hAnsi="Times New Roman" w:cs="Times New Roman"/>
          <w:b/>
          <w:bCs/>
          <w:sz w:val="24"/>
          <w:szCs w:val="24"/>
        </w:rPr>
      </w:pPr>
      <w:r w:rsidRPr="00EB0638">
        <w:rPr>
          <w:rFonts w:ascii="Times New Roman" w:hAnsi="Times New Roman" w:cs="Times New Roman"/>
          <w:b/>
          <w:bCs/>
          <w:noProof/>
          <w:sz w:val="24"/>
          <w:szCs w:val="24"/>
        </w:rPr>
        <w:lastRenderedPageBreak/>
        <w:drawing>
          <wp:inline distT="0" distB="0" distL="0" distR="0">
            <wp:extent cx="6134100" cy="7324725"/>
            <wp:effectExtent l="38100" t="57150" r="114300" b="104775"/>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srcRect/>
                    <a:stretch>
                      <a:fillRect/>
                    </a:stretch>
                  </pic:blipFill>
                  <pic:spPr bwMode="auto">
                    <a:xfrm>
                      <a:off x="0" y="0"/>
                      <a:ext cx="6134100" cy="7324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A5D" w:rsidRPr="00EB0638" w:rsidRDefault="008C6E66" w:rsidP="008B3CEC">
      <w:pPr>
        <w:pStyle w:val="Lgende"/>
        <w:spacing w:before="240" w:line="360" w:lineRule="auto"/>
        <w:jc w:val="center"/>
        <w:rPr>
          <w:rFonts w:asciiTheme="majorBidi" w:hAnsiTheme="majorBidi" w:cstheme="majorBidi"/>
          <w:color w:val="auto"/>
          <w:sz w:val="24"/>
          <w:szCs w:val="24"/>
        </w:rPr>
      </w:pPr>
      <w:bookmarkStart w:id="1594" w:name="_Toc252195000"/>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63</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:Analyse en composante principales projection des variables sur le plan factoriel (1*2) (</w:t>
      </w:r>
      <w:r w:rsidRPr="00EB0638">
        <w:rPr>
          <w:rFonts w:asciiTheme="majorBidi" w:hAnsiTheme="majorBidi" w:cstheme="majorBidi"/>
          <w:i/>
          <w:iCs/>
          <w:color w:val="auto"/>
          <w:sz w:val="24"/>
          <w:szCs w:val="24"/>
        </w:rPr>
        <w:t xml:space="preserve">Carthamus tinctorius </w:t>
      </w:r>
      <w:r w:rsidRPr="00EB0638">
        <w:rPr>
          <w:rFonts w:asciiTheme="majorBidi" w:hAnsiTheme="majorBidi" w:cstheme="majorBidi"/>
          <w:color w:val="auto"/>
          <w:sz w:val="24"/>
          <w:szCs w:val="24"/>
        </w:rPr>
        <w:t>L.).</w:t>
      </w:r>
      <w:bookmarkEnd w:id="1594"/>
    </w:p>
    <w:p w:rsidR="004A2A5D" w:rsidRPr="00EB0638" w:rsidRDefault="004A2A5D" w:rsidP="008B3CEC">
      <w:p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br w:type="page"/>
      </w:r>
    </w:p>
    <w:p w:rsidR="004A2A5D" w:rsidRPr="00EB0638" w:rsidRDefault="004A2A5D" w:rsidP="008B3CEC">
      <w:pPr>
        <w:spacing w:before="240" w:line="360" w:lineRule="auto"/>
        <w:jc w:val="center"/>
        <w:rPr>
          <w:rFonts w:ascii="Times New Roman" w:hAnsi="Times New Roman" w:cs="Times New Roman"/>
          <w:b/>
          <w:bCs/>
          <w:sz w:val="24"/>
          <w:szCs w:val="24"/>
        </w:rPr>
      </w:pPr>
      <w:r w:rsidRPr="00EB0638">
        <w:rPr>
          <w:rFonts w:ascii="Times New Roman" w:hAnsi="Times New Roman" w:cs="Times New Roman"/>
          <w:b/>
          <w:bCs/>
          <w:noProof/>
          <w:sz w:val="24"/>
          <w:szCs w:val="24"/>
        </w:rPr>
        <w:lastRenderedPageBreak/>
        <w:drawing>
          <wp:inline distT="0" distB="0" distL="0" distR="0">
            <wp:extent cx="5991225" cy="6496050"/>
            <wp:effectExtent l="38100" t="57150" r="123825" b="95250"/>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2"/>
                    <a:srcRect/>
                    <a:stretch>
                      <a:fillRect/>
                    </a:stretch>
                  </pic:blipFill>
                  <pic:spPr bwMode="auto">
                    <a:xfrm>
                      <a:off x="0" y="0"/>
                      <a:ext cx="5991225" cy="649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A5D" w:rsidRPr="00EB0638" w:rsidRDefault="008C6E66" w:rsidP="008B3CEC">
      <w:pPr>
        <w:pStyle w:val="Lgende"/>
        <w:spacing w:before="240" w:line="360" w:lineRule="auto"/>
        <w:jc w:val="center"/>
        <w:rPr>
          <w:rFonts w:asciiTheme="majorBidi" w:hAnsiTheme="majorBidi" w:cstheme="majorBidi"/>
          <w:color w:val="auto"/>
          <w:sz w:val="24"/>
          <w:szCs w:val="24"/>
        </w:rPr>
      </w:pPr>
      <w:bookmarkStart w:id="1595" w:name="_Toc252195001"/>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64</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:Analyse en composante principales projection des individus sur  le plan factoriel (1*2) (</w:t>
      </w:r>
      <w:r w:rsidRPr="00EB0638">
        <w:rPr>
          <w:rFonts w:asciiTheme="majorBidi" w:hAnsiTheme="majorBidi" w:cstheme="majorBidi"/>
          <w:i/>
          <w:iCs/>
          <w:color w:val="auto"/>
          <w:sz w:val="24"/>
          <w:szCs w:val="24"/>
        </w:rPr>
        <w:t>Carthamus tinctorius</w:t>
      </w:r>
      <w:r w:rsidRPr="00EB0638">
        <w:rPr>
          <w:rFonts w:asciiTheme="majorBidi" w:hAnsiTheme="majorBidi" w:cstheme="majorBidi"/>
          <w:color w:val="auto"/>
          <w:sz w:val="24"/>
          <w:szCs w:val="24"/>
        </w:rPr>
        <w:t xml:space="preserve"> L.).</w:t>
      </w:r>
      <w:bookmarkEnd w:id="1595"/>
    </w:p>
    <w:p w:rsidR="004A2A5D" w:rsidRPr="00EB0638" w:rsidRDefault="004A2A5D" w:rsidP="008B3CEC">
      <w:p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br w:type="page"/>
      </w:r>
    </w:p>
    <w:p w:rsidR="004A2A5D" w:rsidRPr="00EB0638" w:rsidRDefault="004A2A5D" w:rsidP="008B3CEC">
      <w:pPr>
        <w:pStyle w:val="Titre"/>
        <w:spacing w:line="360" w:lineRule="auto"/>
        <w:rPr>
          <w:rFonts w:ascii="Times New Roman" w:hAnsi="Times New Roman"/>
          <w:sz w:val="28"/>
          <w:szCs w:val="28"/>
        </w:rPr>
      </w:pPr>
      <w:bookmarkStart w:id="1596" w:name="_Toc251855079"/>
      <w:bookmarkStart w:id="1597" w:name="_Toc251855489"/>
      <w:bookmarkStart w:id="1598" w:name="_Toc126492649"/>
      <w:bookmarkStart w:id="1599" w:name="_Toc126493064"/>
      <w:bookmarkStart w:id="1600" w:name="_Toc126570576"/>
      <w:bookmarkStart w:id="1601" w:name="_Toc126571890"/>
      <w:bookmarkStart w:id="1602" w:name="_Toc126572671"/>
      <w:bookmarkStart w:id="1603" w:name="_Toc126575308"/>
      <w:bookmarkStart w:id="1604" w:name="_Toc126575989"/>
      <w:bookmarkStart w:id="1605" w:name="_Toc126576866"/>
      <w:bookmarkStart w:id="1606" w:name="_Toc252094075"/>
      <w:bookmarkStart w:id="1607" w:name="_Toc252365464"/>
      <w:bookmarkStart w:id="1608" w:name="_Toc252365735"/>
      <w:bookmarkStart w:id="1609" w:name="_Toc252366280"/>
      <w:r w:rsidRPr="00EB0638">
        <w:rPr>
          <w:rFonts w:ascii="Times New Roman" w:hAnsi="Times New Roman"/>
          <w:sz w:val="28"/>
          <w:szCs w:val="28"/>
        </w:rPr>
        <w:lastRenderedPageBreak/>
        <w:t>NEGELLE (</w:t>
      </w:r>
      <w:r w:rsidRPr="00EB0638">
        <w:rPr>
          <w:rFonts w:ascii="Times New Roman" w:hAnsi="Times New Roman"/>
          <w:i/>
          <w:iCs/>
          <w:sz w:val="28"/>
          <w:szCs w:val="28"/>
        </w:rPr>
        <w:t>Nigella sativa</w:t>
      </w:r>
      <w:r w:rsidRPr="00EB0638">
        <w:rPr>
          <w:rFonts w:ascii="Times New Roman" w:hAnsi="Times New Roman"/>
          <w:sz w:val="28"/>
          <w:szCs w:val="28"/>
        </w:rPr>
        <w:t xml:space="preserve"> L.)</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rsidR="004A2A5D" w:rsidRPr="00EB0638" w:rsidRDefault="004A2A5D" w:rsidP="003D3EF8">
      <w:pPr>
        <w:pStyle w:val="Titre1"/>
        <w:numPr>
          <w:ilvl w:val="0"/>
          <w:numId w:val="51"/>
        </w:numPr>
        <w:spacing w:before="240" w:after="240" w:line="360" w:lineRule="auto"/>
        <w:rPr>
          <w:rFonts w:ascii="Times New Roman" w:hAnsi="Times New Roman"/>
          <w:color w:val="auto"/>
        </w:rPr>
      </w:pPr>
      <w:bookmarkStart w:id="1610" w:name="_Toc251855080"/>
      <w:bookmarkStart w:id="1611" w:name="_Toc251855490"/>
      <w:bookmarkStart w:id="1612" w:name="_Toc126492650"/>
      <w:bookmarkStart w:id="1613" w:name="_Toc126493065"/>
      <w:bookmarkStart w:id="1614" w:name="_Toc126570577"/>
      <w:bookmarkStart w:id="1615" w:name="_Toc126571891"/>
      <w:bookmarkStart w:id="1616" w:name="_Toc126572672"/>
      <w:bookmarkStart w:id="1617" w:name="_Toc126575309"/>
      <w:bookmarkStart w:id="1618" w:name="_Toc126575990"/>
      <w:bookmarkStart w:id="1619" w:name="_Toc126576867"/>
      <w:bookmarkStart w:id="1620" w:name="_Toc252094076"/>
      <w:bookmarkStart w:id="1621" w:name="_Toc252365465"/>
      <w:bookmarkStart w:id="1622" w:name="_Toc252365736"/>
      <w:bookmarkStart w:id="1623" w:name="_Toc252366281"/>
      <w:r w:rsidRPr="00EB0638">
        <w:rPr>
          <w:rFonts w:ascii="Times New Roman" w:hAnsi="Times New Roman"/>
          <w:color w:val="auto"/>
        </w:rPr>
        <w:t>Germination</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rsidR="004A2A5D" w:rsidRPr="00EB0638" w:rsidRDefault="004A2A5D" w:rsidP="008B3CEC">
      <w:pPr>
        <w:pStyle w:val="Paragraphedeliste"/>
        <w:numPr>
          <w:ilvl w:val="0"/>
          <w:numId w:val="26"/>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Vitesse moyenne de germination journalière (VGJ)</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Les graines de la population P''2 sont celles qui ont germé au bout de 12 jours </w:t>
      </w:r>
      <w:r w:rsidR="00CE6119">
        <w:rPr>
          <w:rFonts w:ascii="Times New Roman" w:hAnsi="Times New Roman" w:cs="Times New Roman"/>
          <w:sz w:val="24"/>
          <w:szCs w:val="24"/>
        </w:rPr>
        <w:t xml:space="preserve">(Annexe 9) </w:t>
      </w:r>
      <w:r w:rsidRPr="00EB0638">
        <w:rPr>
          <w:rFonts w:ascii="Times New Roman" w:hAnsi="Times New Roman" w:cs="Times New Roman"/>
          <w:sz w:val="24"/>
          <w:szCs w:val="24"/>
        </w:rPr>
        <w:t>avec une vitesse moyenne d</w:t>
      </w:r>
      <w:r w:rsidR="002B4DB3">
        <w:rPr>
          <w:rFonts w:ascii="Times New Roman" w:hAnsi="Times New Roman" w:cs="Times New Roman"/>
          <w:sz w:val="24"/>
          <w:szCs w:val="24"/>
        </w:rPr>
        <w:t>e germination la plus élevée (7</w:t>
      </w:r>
      <w:r w:rsidR="00AF6DA3">
        <w:rPr>
          <w:rFonts w:ascii="Times New Roman" w:hAnsi="Times New Roman" w:cs="Times New Roman"/>
          <w:sz w:val="24"/>
          <w:szCs w:val="24"/>
        </w:rPr>
        <w:t>,</w:t>
      </w:r>
      <w:r w:rsidR="00F42F27">
        <w:rPr>
          <w:rFonts w:ascii="Times New Roman" w:hAnsi="Times New Roman" w:cs="Times New Roman"/>
          <w:sz w:val="24"/>
          <w:szCs w:val="24"/>
        </w:rPr>
        <w:t>2</w:t>
      </w:r>
      <w:r w:rsidRPr="00EB0638">
        <w:rPr>
          <w:rFonts w:ascii="Times New Roman" w:hAnsi="Times New Roman" w:cs="Times New Roman"/>
          <w:sz w:val="24"/>
          <w:szCs w:val="24"/>
        </w:rPr>
        <w:t>8 G/J). Par contre, la population P''4, qui a une longue durée de germination (20 jours)</w:t>
      </w:r>
      <w:r w:rsidR="007271D4" w:rsidRPr="007271D4">
        <w:rPr>
          <w:rFonts w:ascii="Times New Roman" w:hAnsi="Times New Roman" w:cs="Times New Roman"/>
          <w:sz w:val="24"/>
          <w:szCs w:val="24"/>
        </w:rPr>
        <w:t xml:space="preserve"> </w:t>
      </w:r>
      <w:r w:rsidR="007271D4">
        <w:rPr>
          <w:rFonts w:ascii="Times New Roman" w:hAnsi="Times New Roman" w:cs="Times New Roman"/>
          <w:sz w:val="24"/>
          <w:szCs w:val="24"/>
        </w:rPr>
        <w:t>(Annexe 9)</w:t>
      </w:r>
      <w:r w:rsidRPr="00EB0638">
        <w:rPr>
          <w:rFonts w:ascii="Times New Roman" w:hAnsi="Times New Roman" w:cs="Times New Roman"/>
          <w:sz w:val="24"/>
          <w:szCs w:val="24"/>
        </w:rPr>
        <w:t>, présente une vitesse m</w:t>
      </w:r>
      <w:r w:rsidR="00AF6DA3">
        <w:rPr>
          <w:rFonts w:ascii="Times New Roman" w:hAnsi="Times New Roman" w:cs="Times New Roman"/>
          <w:sz w:val="24"/>
          <w:szCs w:val="24"/>
        </w:rPr>
        <w:t>oyenne de germination faible (0,</w:t>
      </w:r>
      <w:r w:rsidRPr="00EB0638">
        <w:rPr>
          <w:rFonts w:ascii="Times New Roman" w:hAnsi="Times New Roman" w:cs="Times New Roman"/>
          <w:sz w:val="24"/>
          <w:szCs w:val="24"/>
        </w:rPr>
        <w:t>0</w:t>
      </w:r>
      <w:r w:rsidR="00CE6119">
        <w:rPr>
          <w:rFonts w:ascii="Times New Roman" w:hAnsi="Times New Roman" w:cs="Times New Roman"/>
          <w:sz w:val="24"/>
          <w:szCs w:val="24"/>
        </w:rPr>
        <w:t>4 G/ jours). (Fig. 65 ; Annexe 10</w:t>
      </w:r>
      <w:r w:rsidRPr="00EB0638">
        <w:rPr>
          <w:rFonts w:ascii="Times New Roman" w:hAnsi="Times New Roman" w:cs="Times New Roman"/>
          <w:sz w:val="24"/>
          <w:szCs w:val="24"/>
        </w:rPr>
        <w:t>).</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indique une différence très hautement significative</w:t>
      </w:r>
      <w:r w:rsidR="00D63A1D">
        <w:rPr>
          <w:rFonts w:ascii="Times New Roman" w:hAnsi="Times New Roman" w:cs="Times New Roman"/>
          <w:sz w:val="24"/>
          <w:szCs w:val="24"/>
        </w:rPr>
        <w:t xml:space="preserve"> entre les populations (Annexe 10</w:t>
      </w:r>
      <w:r w:rsidRPr="00EB0638">
        <w:rPr>
          <w:rFonts w:ascii="Times New Roman" w:hAnsi="Times New Roman" w:cs="Times New Roman"/>
          <w:sz w:val="24"/>
          <w:szCs w:val="24"/>
        </w:rPr>
        <w:t>). La comparaison des moyennes permet de déterminer quatre groupes distincts (Fig. 65).</w:t>
      </w:r>
    </w:p>
    <w:p w:rsidR="004A2A5D" w:rsidRPr="00EB0638" w:rsidRDefault="004A2A5D" w:rsidP="008B3CEC">
      <w:pPr>
        <w:pStyle w:val="Paragraphedeliste"/>
        <w:numPr>
          <w:ilvl w:val="0"/>
          <w:numId w:val="26"/>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Capacité moyenne de germination en (%) (CG)</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meilleure valeur moyenne de</w:t>
      </w:r>
      <w:r w:rsidR="00AF6DA3">
        <w:rPr>
          <w:rFonts w:ascii="Times New Roman" w:hAnsi="Times New Roman" w:cs="Times New Roman"/>
          <w:sz w:val="24"/>
          <w:szCs w:val="24"/>
        </w:rPr>
        <w:t xml:space="preserve"> la capacité de germination (90,</w:t>
      </w:r>
      <w:r w:rsidRPr="00EB0638">
        <w:rPr>
          <w:rFonts w:ascii="Times New Roman" w:hAnsi="Times New Roman" w:cs="Times New Roman"/>
          <w:sz w:val="24"/>
          <w:szCs w:val="24"/>
        </w:rPr>
        <w:t>67%) est en</w:t>
      </w:r>
      <w:r w:rsidR="008366D8">
        <w:rPr>
          <w:rFonts w:ascii="Times New Roman" w:hAnsi="Times New Roman" w:cs="Times New Roman"/>
          <w:sz w:val="24"/>
          <w:szCs w:val="24"/>
        </w:rPr>
        <w:t>registrée par la population P''2</w:t>
      </w:r>
      <w:r w:rsidRPr="00EB0638">
        <w:rPr>
          <w:rFonts w:ascii="Times New Roman" w:hAnsi="Times New Roman" w:cs="Times New Roman"/>
          <w:sz w:val="24"/>
          <w:szCs w:val="24"/>
        </w:rPr>
        <w:t> ; alors que la population P''4 présente la valeur moyenne la plus faible, 6% (Fig. 66).</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a montré une différence très hautement significative. La comparaison des moyennes permet de déterminer deux groupes distincts ; le groupe A qui renferme les populations P''2 et P''3 et le groupe B qui représente les populations P''1 et P''4 (Anne</w:t>
      </w:r>
      <w:r w:rsidR="00D63A1D">
        <w:rPr>
          <w:rFonts w:ascii="Times New Roman" w:hAnsi="Times New Roman" w:cs="Times New Roman"/>
          <w:sz w:val="24"/>
          <w:szCs w:val="24"/>
        </w:rPr>
        <w:t>xe 10</w:t>
      </w:r>
      <w:r w:rsidRPr="00EB0638">
        <w:rPr>
          <w:rFonts w:ascii="Times New Roman" w:hAnsi="Times New Roman" w:cs="Times New Roman"/>
          <w:sz w:val="24"/>
          <w:szCs w:val="24"/>
        </w:rPr>
        <w:t>).</w:t>
      </w:r>
    </w:p>
    <w:p w:rsidR="004A2A5D" w:rsidRPr="00EB0638" w:rsidRDefault="004A2A5D" w:rsidP="008B3CEC">
      <w:pPr>
        <w:pStyle w:val="Paragraphedeliste"/>
        <w:numPr>
          <w:ilvl w:val="0"/>
          <w:numId w:val="26"/>
        </w:numPr>
        <w:spacing w:before="240" w:line="360" w:lineRule="auto"/>
        <w:contextualSpacing w:val="0"/>
        <w:jc w:val="both"/>
        <w:rPr>
          <w:rFonts w:ascii="Times New Roman" w:hAnsi="Times New Roman" w:cs="Times New Roman"/>
          <w:b/>
          <w:bCs/>
          <w:sz w:val="28"/>
          <w:szCs w:val="28"/>
        </w:rPr>
      </w:pPr>
      <w:r w:rsidRPr="00EB0638">
        <w:rPr>
          <w:rFonts w:ascii="Times New Roman" w:hAnsi="Times New Roman" w:cs="Times New Roman"/>
          <w:b/>
          <w:bCs/>
          <w:sz w:val="24"/>
          <w:szCs w:val="24"/>
        </w:rPr>
        <w:t>Valeur  germinative moyenne (VG)</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valeur germinative m</w:t>
      </w:r>
      <w:r w:rsidR="002B4DB3">
        <w:rPr>
          <w:rFonts w:ascii="Times New Roman" w:hAnsi="Times New Roman" w:cs="Times New Roman"/>
          <w:sz w:val="24"/>
          <w:szCs w:val="24"/>
        </w:rPr>
        <w:t>oyenne varie d’un maximum de 93</w:t>
      </w:r>
      <w:r w:rsidR="00AF6DA3">
        <w:rPr>
          <w:rFonts w:ascii="Times New Roman" w:hAnsi="Times New Roman" w:cs="Times New Roman"/>
          <w:sz w:val="24"/>
          <w:szCs w:val="24"/>
        </w:rPr>
        <w:t>,</w:t>
      </w:r>
      <w:r w:rsidRPr="00EB0638">
        <w:rPr>
          <w:rFonts w:ascii="Times New Roman" w:hAnsi="Times New Roman" w:cs="Times New Roman"/>
          <w:sz w:val="24"/>
          <w:szCs w:val="24"/>
        </w:rPr>
        <w:t>94 pour la po</w:t>
      </w:r>
      <w:r w:rsidR="00AF6DA3">
        <w:rPr>
          <w:rFonts w:ascii="Times New Roman" w:hAnsi="Times New Roman" w:cs="Times New Roman"/>
          <w:sz w:val="24"/>
          <w:szCs w:val="24"/>
        </w:rPr>
        <w:t>pulation P''2 à un minimum de 0,</w:t>
      </w:r>
      <w:r w:rsidRPr="00EB0638">
        <w:rPr>
          <w:rFonts w:ascii="Times New Roman" w:hAnsi="Times New Roman" w:cs="Times New Roman"/>
          <w:sz w:val="24"/>
          <w:szCs w:val="24"/>
        </w:rPr>
        <w:t>1 pour la population  P''4 (Fig. 67).</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met en évidence une différence très hautement significative entre les populations étudiées.  La comparaison des moyennes permet de déceler trois groupes homogènes. Le groupe A qui renferme la</w:t>
      </w:r>
      <w:r w:rsidR="006C14D6">
        <w:rPr>
          <w:rFonts w:ascii="Times New Roman" w:hAnsi="Times New Roman" w:cs="Times New Roman"/>
          <w:sz w:val="24"/>
          <w:szCs w:val="24"/>
        </w:rPr>
        <w:t xml:space="preserve"> population</w:t>
      </w:r>
      <w:r w:rsidRPr="00EB0638">
        <w:rPr>
          <w:rFonts w:ascii="Times New Roman" w:hAnsi="Times New Roman" w:cs="Times New Roman"/>
          <w:sz w:val="24"/>
          <w:szCs w:val="24"/>
        </w:rPr>
        <w:t xml:space="preserve"> P''2, le groupe B qui représente la population P''3 et le groupe C qui regroupe les po</w:t>
      </w:r>
      <w:r w:rsidR="00D63A1D">
        <w:rPr>
          <w:rFonts w:ascii="Times New Roman" w:hAnsi="Times New Roman" w:cs="Times New Roman"/>
          <w:sz w:val="24"/>
          <w:szCs w:val="24"/>
        </w:rPr>
        <w:t>pulations P''1 et P''4 (Annexe 10</w:t>
      </w:r>
      <w:r w:rsidRPr="00EB0638">
        <w:rPr>
          <w:rFonts w:ascii="Times New Roman" w:hAnsi="Times New Roman" w:cs="Times New Roman"/>
          <w:sz w:val="24"/>
          <w:szCs w:val="24"/>
        </w:rPr>
        <w:t xml:space="preserve">).  </w:t>
      </w:r>
    </w:p>
    <w:p w:rsidR="004A2A5D" w:rsidRPr="00EB0638" w:rsidRDefault="004A2A5D" w:rsidP="008B3CEC">
      <w:pPr>
        <w:spacing w:before="240" w:line="360" w:lineRule="auto"/>
        <w:jc w:val="center"/>
        <w:rPr>
          <w:rFonts w:ascii="Times New Roman" w:hAnsi="Times New Roman" w:cs="Times New Roman"/>
          <w:b/>
          <w:bCs/>
          <w:sz w:val="24"/>
          <w:szCs w:val="24"/>
        </w:rPr>
      </w:pPr>
      <w:r w:rsidRPr="00EB0638">
        <w:rPr>
          <w:rFonts w:ascii="Times New Roman" w:hAnsi="Times New Roman" w:cs="Times New Roman"/>
          <w:b/>
          <w:bCs/>
          <w:noProof/>
          <w:sz w:val="24"/>
          <w:szCs w:val="24"/>
        </w:rPr>
        <w:lastRenderedPageBreak/>
        <w:drawing>
          <wp:inline distT="0" distB="0" distL="0" distR="0">
            <wp:extent cx="5401610" cy="2343059"/>
            <wp:effectExtent l="19050" t="0" r="27640" b="91"/>
            <wp:docPr id="118"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4A2A5D" w:rsidRPr="00EB0638" w:rsidRDefault="00862AA3" w:rsidP="008B3CEC">
      <w:pPr>
        <w:pStyle w:val="Lgende"/>
        <w:spacing w:before="240" w:line="360" w:lineRule="auto"/>
        <w:jc w:val="center"/>
        <w:rPr>
          <w:rFonts w:asciiTheme="majorBidi" w:hAnsiTheme="majorBidi" w:cstheme="majorBidi"/>
          <w:color w:val="auto"/>
          <w:sz w:val="24"/>
          <w:szCs w:val="24"/>
        </w:rPr>
      </w:pPr>
      <w:bookmarkStart w:id="1624" w:name="_Toc252195002"/>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65</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:Vitesse moyenne de germination journalière (nombre de graines germées / jours).</w:t>
      </w:r>
      <w:bookmarkEnd w:id="1624"/>
    </w:p>
    <w:p w:rsidR="004A2A5D" w:rsidRPr="00EB0638" w:rsidRDefault="004A2A5D" w:rsidP="008B3CEC">
      <w:pPr>
        <w:spacing w:before="240" w:after="120" w:line="360" w:lineRule="auto"/>
        <w:jc w:val="center"/>
        <w:rPr>
          <w:rFonts w:ascii="Times New Roman" w:hAnsi="Times New Roman" w:cs="Times New Roman"/>
          <w:b/>
          <w:bCs/>
          <w:sz w:val="24"/>
          <w:szCs w:val="24"/>
        </w:rPr>
      </w:pPr>
      <w:r w:rsidRPr="00EB0638">
        <w:rPr>
          <w:rFonts w:ascii="Times New Roman" w:hAnsi="Times New Roman" w:cs="Times New Roman"/>
          <w:b/>
          <w:bCs/>
          <w:noProof/>
          <w:sz w:val="24"/>
          <w:szCs w:val="24"/>
        </w:rPr>
        <w:drawing>
          <wp:inline distT="0" distB="0" distL="0" distR="0">
            <wp:extent cx="5397699" cy="2336509"/>
            <wp:effectExtent l="19050" t="0" r="12501" b="6641"/>
            <wp:docPr id="119"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4A2A5D" w:rsidRPr="00EB0638" w:rsidRDefault="00862AA3" w:rsidP="008B3CEC">
      <w:pPr>
        <w:pStyle w:val="Lgende"/>
        <w:spacing w:before="240" w:line="360" w:lineRule="auto"/>
        <w:jc w:val="center"/>
        <w:rPr>
          <w:rFonts w:asciiTheme="majorBidi" w:hAnsiTheme="majorBidi" w:cstheme="majorBidi"/>
          <w:color w:val="auto"/>
          <w:sz w:val="24"/>
          <w:szCs w:val="24"/>
        </w:rPr>
      </w:pPr>
      <w:bookmarkStart w:id="1625" w:name="_Toc252195003"/>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66</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:Capacité moyenne de germination en (%).</w:t>
      </w:r>
      <w:bookmarkEnd w:id="1625"/>
    </w:p>
    <w:p w:rsidR="004A2A5D" w:rsidRPr="00EB0638" w:rsidRDefault="004A2A5D" w:rsidP="008B3CEC">
      <w:pPr>
        <w:spacing w:before="240" w:after="120" w:line="360" w:lineRule="auto"/>
        <w:jc w:val="center"/>
        <w:rPr>
          <w:rFonts w:ascii="Times New Roman" w:hAnsi="Times New Roman" w:cs="Times New Roman"/>
          <w:b/>
          <w:bCs/>
          <w:sz w:val="24"/>
          <w:szCs w:val="24"/>
        </w:rPr>
      </w:pPr>
      <w:r w:rsidRPr="00EB0638">
        <w:rPr>
          <w:rFonts w:ascii="Times New Roman" w:hAnsi="Times New Roman" w:cs="Times New Roman"/>
          <w:b/>
          <w:bCs/>
          <w:noProof/>
          <w:sz w:val="24"/>
          <w:szCs w:val="24"/>
        </w:rPr>
        <w:drawing>
          <wp:inline distT="0" distB="0" distL="0" distR="0">
            <wp:extent cx="5401610" cy="2343059"/>
            <wp:effectExtent l="19050" t="0" r="27640" b="91"/>
            <wp:docPr id="120"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4A2A5D" w:rsidRPr="00EB0638" w:rsidRDefault="00862AA3" w:rsidP="008B3CEC">
      <w:pPr>
        <w:pStyle w:val="Lgende"/>
        <w:spacing w:before="240" w:line="360" w:lineRule="auto"/>
        <w:jc w:val="center"/>
        <w:rPr>
          <w:color w:val="auto"/>
        </w:rPr>
      </w:pPr>
      <w:r w:rsidRPr="00EB0638">
        <w:rPr>
          <w:color w:val="auto"/>
        </w:rPr>
        <w:tab/>
      </w:r>
      <w:bookmarkStart w:id="1626" w:name="_Toc252195004"/>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67</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:Valeur germinative moyenne.</w:t>
      </w:r>
      <w:bookmarkEnd w:id="1626"/>
      <w:r w:rsidRPr="00EB0638">
        <w:rPr>
          <w:color w:val="auto"/>
        </w:rPr>
        <w:tab/>
      </w:r>
    </w:p>
    <w:p w:rsidR="00862AA3" w:rsidRPr="00EB0638" w:rsidRDefault="00862AA3" w:rsidP="008B3CEC">
      <w:pPr>
        <w:spacing w:before="240" w:line="360" w:lineRule="auto"/>
      </w:pPr>
    </w:p>
    <w:p w:rsidR="004A2A5D" w:rsidRPr="00EB0638" w:rsidRDefault="004A2A5D" w:rsidP="000210A0">
      <w:pPr>
        <w:pStyle w:val="Titre1"/>
        <w:numPr>
          <w:ilvl w:val="0"/>
          <w:numId w:val="51"/>
        </w:numPr>
        <w:spacing w:before="240" w:after="240" w:line="360" w:lineRule="auto"/>
        <w:rPr>
          <w:rFonts w:ascii="Times New Roman" w:hAnsi="Times New Roman"/>
          <w:color w:val="auto"/>
        </w:rPr>
      </w:pPr>
      <w:bookmarkStart w:id="1627" w:name="_Toc251855081"/>
      <w:bookmarkStart w:id="1628" w:name="_Toc251855491"/>
      <w:bookmarkStart w:id="1629" w:name="_Toc126492651"/>
      <w:bookmarkStart w:id="1630" w:name="_Toc126493066"/>
      <w:bookmarkStart w:id="1631" w:name="_Toc126570578"/>
      <w:bookmarkStart w:id="1632" w:name="_Toc126571892"/>
      <w:bookmarkStart w:id="1633" w:name="_Toc126572673"/>
      <w:bookmarkStart w:id="1634" w:name="_Toc126575310"/>
      <w:bookmarkStart w:id="1635" w:name="_Toc126575991"/>
      <w:bookmarkStart w:id="1636" w:name="_Toc126576868"/>
      <w:bookmarkStart w:id="1637" w:name="_Toc252094077"/>
      <w:bookmarkStart w:id="1638" w:name="_Toc252365466"/>
      <w:bookmarkStart w:id="1639" w:name="_Toc252365737"/>
      <w:bookmarkStart w:id="1640" w:name="_Toc252366282"/>
      <w:r w:rsidRPr="00EB0638">
        <w:rPr>
          <w:rFonts w:ascii="Times New Roman" w:hAnsi="Times New Roman"/>
          <w:color w:val="auto"/>
        </w:rPr>
        <w:t>Caract</w:t>
      </w:r>
      <w:r w:rsidR="000210A0">
        <w:rPr>
          <w:rFonts w:ascii="Times New Roman" w:hAnsi="Times New Roman"/>
          <w:color w:val="auto"/>
        </w:rPr>
        <w:t>ères</w:t>
      </w:r>
      <w:r w:rsidRPr="00EB0638">
        <w:rPr>
          <w:rFonts w:ascii="Times New Roman" w:hAnsi="Times New Roman"/>
          <w:color w:val="auto"/>
        </w:rPr>
        <w:t xml:space="preserve"> phénologiques</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rsidR="004A2A5D" w:rsidRPr="00EB0638" w:rsidRDefault="004A2A5D" w:rsidP="008B3CEC">
      <w:pPr>
        <w:pStyle w:val="Paragraphedeliste"/>
        <w:numPr>
          <w:ilvl w:val="0"/>
          <w:numId w:val="2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Levée (L)</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Chez la nigelle la levée est observée après un mois du semis ; les premiers pants levés sont enregistrés chez la population P''1 et P''4. </w:t>
      </w:r>
    </w:p>
    <w:p w:rsidR="004A2A5D" w:rsidRPr="00EB0638" w:rsidRDefault="004A2A5D" w:rsidP="008B3CEC">
      <w:pPr>
        <w:pStyle w:val="Paragraphedeliste"/>
        <w:numPr>
          <w:ilvl w:val="0"/>
          <w:numId w:val="2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Pourcentage moyen de levée (PL)</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pourcentage moyen de levée le plus important est celui de la population P''2 (16 %), par contre le plus faible pourcentage est</w:t>
      </w:r>
      <w:r w:rsidR="00AF6DA3">
        <w:rPr>
          <w:rFonts w:ascii="Times New Roman" w:hAnsi="Times New Roman" w:cs="Times New Roman"/>
          <w:sz w:val="24"/>
          <w:szCs w:val="24"/>
        </w:rPr>
        <w:t xml:space="preserve"> celui de la population P''3 (7,</w:t>
      </w:r>
      <w:r w:rsidR="006C02E5">
        <w:rPr>
          <w:rFonts w:ascii="Times New Roman" w:hAnsi="Times New Roman" w:cs="Times New Roman"/>
          <w:sz w:val="24"/>
          <w:szCs w:val="24"/>
        </w:rPr>
        <w:t>62</w:t>
      </w:r>
      <w:r w:rsidRPr="00EB0638">
        <w:rPr>
          <w:rFonts w:ascii="Times New Roman" w:hAnsi="Times New Roman" w:cs="Times New Roman"/>
          <w:sz w:val="24"/>
          <w:szCs w:val="24"/>
        </w:rPr>
        <w:t xml:space="preserve"> %) (Fig. 68).  </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montre une homogénéité de ce paramètre dans l’en</w:t>
      </w:r>
      <w:r w:rsidR="00D63A1D">
        <w:rPr>
          <w:rFonts w:ascii="Times New Roman" w:hAnsi="Times New Roman" w:cs="Times New Roman"/>
          <w:sz w:val="24"/>
          <w:szCs w:val="24"/>
        </w:rPr>
        <w:t>semble des populations (Annexe 10</w:t>
      </w:r>
      <w:r w:rsidRPr="00EB0638">
        <w:rPr>
          <w:rFonts w:ascii="Times New Roman" w:hAnsi="Times New Roman" w:cs="Times New Roman"/>
          <w:sz w:val="24"/>
          <w:szCs w:val="24"/>
        </w:rPr>
        <w:t xml:space="preserve">). </w:t>
      </w:r>
    </w:p>
    <w:p w:rsidR="004A2A5D" w:rsidRPr="00EB0638" w:rsidRDefault="004A2A5D" w:rsidP="008B3CEC">
      <w:pPr>
        <w:pStyle w:val="Paragraphedeliste"/>
        <w:numPr>
          <w:ilvl w:val="0"/>
          <w:numId w:val="2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Bouton floral (BF)</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n’indique aucune différence significative entre les populations. Ceci suggère une homogénéité de comportement, en ce qui</w:t>
      </w:r>
      <w:r w:rsidR="00D63A1D">
        <w:rPr>
          <w:rFonts w:ascii="Times New Roman" w:hAnsi="Times New Roman" w:cs="Times New Roman"/>
          <w:sz w:val="24"/>
          <w:szCs w:val="24"/>
        </w:rPr>
        <w:t xml:space="preserve"> concerne ce caractère (Annexe 10</w:t>
      </w:r>
      <w:r w:rsidRPr="00EB0638">
        <w:rPr>
          <w:rFonts w:ascii="Times New Roman" w:hAnsi="Times New Roman" w:cs="Times New Roman"/>
          <w:sz w:val="24"/>
          <w:szCs w:val="24"/>
        </w:rPr>
        <w:t>).</w:t>
      </w:r>
    </w:p>
    <w:p w:rsidR="004A2A5D" w:rsidRPr="00EB0638" w:rsidRDefault="004A2A5D" w:rsidP="008B3CEC">
      <w:pPr>
        <w:pStyle w:val="Paragraphedeliste"/>
        <w:numPr>
          <w:ilvl w:val="0"/>
          <w:numId w:val="2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Floraison : Début floraison (DF), Pleine Floraison (PF) et Fin Floraison (FF)</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met en évidence des différences non significatives entre les populations. Ce qui suggère une égalité entre les moyennes des caractères début floraison, pleine floraison, f</w:t>
      </w:r>
      <w:r w:rsidR="00D63A1D">
        <w:rPr>
          <w:rFonts w:ascii="Times New Roman" w:hAnsi="Times New Roman" w:cs="Times New Roman"/>
          <w:sz w:val="24"/>
          <w:szCs w:val="24"/>
        </w:rPr>
        <w:t>in floraison (Fig. 69 ; Annexe 10</w:t>
      </w:r>
      <w:r w:rsidRPr="00EB0638">
        <w:rPr>
          <w:rFonts w:ascii="Times New Roman" w:hAnsi="Times New Roman" w:cs="Times New Roman"/>
          <w:sz w:val="24"/>
          <w:szCs w:val="24"/>
        </w:rPr>
        <w:t>).</w:t>
      </w:r>
    </w:p>
    <w:p w:rsidR="004A2A5D" w:rsidRPr="00EB0638" w:rsidRDefault="004A2A5D" w:rsidP="008B3CEC">
      <w:pPr>
        <w:pStyle w:val="Paragraphedeliste"/>
        <w:numPr>
          <w:ilvl w:val="0"/>
          <w:numId w:val="2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Étalement de la floraison (ETF)</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durée entre le début floraison et </w:t>
      </w:r>
      <w:r w:rsidR="00AF6DA3">
        <w:rPr>
          <w:rFonts w:ascii="Times New Roman" w:hAnsi="Times New Roman" w:cs="Times New Roman"/>
          <w:sz w:val="24"/>
          <w:szCs w:val="24"/>
        </w:rPr>
        <w:t>la fin floraison varie entre 19,</w:t>
      </w:r>
      <w:r w:rsidRPr="00EB0638">
        <w:rPr>
          <w:rFonts w:ascii="Times New Roman" w:hAnsi="Times New Roman" w:cs="Times New Roman"/>
          <w:sz w:val="24"/>
          <w:szCs w:val="24"/>
        </w:rPr>
        <w:t>5 jours pour la population P''3 et 13 jours pour la population P''4(Fig. 70).</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a donné des différences significatives</w:t>
      </w:r>
      <w:r w:rsidR="00D63A1D">
        <w:rPr>
          <w:rFonts w:ascii="Times New Roman" w:hAnsi="Times New Roman" w:cs="Times New Roman"/>
          <w:sz w:val="24"/>
          <w:szCs w:val="24"/>
        </w:rPr>
        <w:t xml:space="preserve"> entre les populations (Annexe 10</w:t>
      </w:r>
      <w:r w:rsidRPr="00EB0638">
        <w:rPr>
          <w:rFonts w:ascii="Times New Roman" w:hAnsi="Times New Roman" w:cs="Times New Roman"/>
          <w:sz w:val="24"/>
          <w:szCs w:val="24"/>
        </w:rPr>
        <w:t>).</w:t>
      </w:r>
    </w:p>
    <w:p w:rsidR="004A2A5D" w:rsidRPr="00EB0638" w:rsidRDefault="004A2A5D" w:rsidP="008B3CEC">
      <w:pPr>
        <w:spacing w:before="240" w:line="360" w:lineRule="auto"/>
        <w:jc w:val="center"/>
        <w:rPr>
          <w:rFonts w:ascii="Times New Roman" w:hAnsi="Times New Roman" w:cs="Times New Roman"/>
          <w:sz w:val="24"/>
          <w:szCs w:val="24"/>
        </w:rPr>
      </w:pPr>
      <w:r w:rsidRPr="00EB0638">
        <w:rPr>
          <w:rFonts w:ascii="Times New Roman" w:hAnsi="Times New Roman" w:cs="Times New Roman"/>
          <w:noProof/>
          <w:sz w:val="24"/>
          <w:szCs w:val="24"/>
        </w:rPr>
        <w:lastRenderedPageBreak/>
        <w:drawing>
          <wp:inline distT="0" distB="0" distL="0" distR="0">
            <wp:extent cx="5402123" cy="2268000"/>
            <wp:effectExtent l="19050" t="0" r="27127" b="0"/>
            <wp:docPr id="12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4A2A5D" w:rsidRPr="00EB0638" w:rsidRDefault="00862AA3" w:rsidP="008B3CEC">
      <w:pPr>
        <w:pStyle w:val="Lgende"/>
        <w:spacing w:before="240" w:line="360" w:lineRule="auto"/>
        <w:jc w:val="center"/>
        <w:rPr>
          <w:rFonts w:asciiTheme="majorBidi" w:hAnsiTheme="majorBidi" w:cstheme="majorBidi"/>
          <w:color w:val="auto"/>
          <w:sz w:val="24"/>
          <w:szCs w:val="24"/>
        </w:rPr>
      </w:pPr>
      <w:bookmarkStart w:id="1641" w:name="_Toc252195005"/>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68</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:Pourcentage moyen de levée</w:t>
      </w:r>
      <w:r w:rsidR="00463B12" w:rsidRPr="00EB0638">
        <w:rPr>
          <w:rFonts w:asciiTheme="majorBidi" w:hAnsiTheme="majorBidi" w:cstheme="majorBidi"/>
          <w:color w:val="auto"/>
          <w:sz w:val="24"/>
          <w:szCs w:val="24"/>
        </w:rPr>
        <w:t>.</w:t>
      </w:r>
      <w:bookmarkEnd w:id="1641"/>
    </w:p>
    <w:p w:rsidR="004A2A5D" w:rsidRPr="00EB0638" w:rsidRDefault="004A2A5D" w:rsidP="008B3CEC">
      <w:pPr>
        <w:spacing w:before="240" w:line="360" w:lineRule="auto"/>
        <w:jc w:val="center"/>
        <w:rPr>
          <w:rFonts w:ascii="Times New Roman" w:hAnsi="Times New Roman" w:cs="Times New Roman"/>
          <w:sz w:val="24"/>
          <w:szCs w:val="24"/>
        </w:rPr>
      </w:pPr>
      <w:r w:rsidRPr="00EB0638">
        <w:rPr>
          <w:rFonts w:ascii="Times New Roman" w:hAnsi="Times New Roman" w:cs="Times New Roman"/>
          <w:noProof/>
          <w:sz w:val="24"/>
          <w:szCs w:val="24"/>
        </w:rPr>
        <w:drawing>
          <wp:inline distT="0" distB="0" distL="0" distR="0">
            <wp:extent cx="5402758" cy="2268000"/>
            <wp:effectExtent l="19050" t="0" r="26492" b="0"/>
            <wp:docPr id="12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4A2A5D" w:rsidRPr="00EB0638" w:rsidRDefault="00862AA3" w:rsidP="00A5547F">
      <w:pPr>
        <w:pStyle w:val="Lgende"/>
        <w:spacing w:before="240" w:line="360" w:lineRule="auto"/>
        <w:jc w:val="center"/>
        <w:rPr>
          <w:rFonts w:asciiTheme="majorBidi" w:hAnsiTheme="majorBidi" w:cstheme="majorBidi"/>
          <w:color w:val="auto"/>
          <w:sz w:val="24"/>
          <w:szCs w:val="24"/>
        </w:rPr>
      </w:pPr>
      <w:bookmarkStart w:id="1642" w:name="_Toc252195006"/>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69</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:Nombre moyen de jours entre le semis et le stade : bouton floral (BF), début floraison (DF), pleine floraison (PF) et fin floraison (FF).</w:t>
      </w:r>
      <w:bookmarkEnd w:id="1642"/>
    </w:p>
    <w:p w:rsidR="004A2A5D" w:rsidRPr="00EB0638" w:rsidRDefault="004A2A5D" w:rsidP="008B3CEC">
      <w:pPr>
        <w:spacing w:before="240" w:after="120" w:line="360" w:lineRule="auto"/>
        <w:jc w:val="center"/>
        <w:rPr>
          <w:rFonts w:ascii="Times New Roman" w:hAnsi="Times New Roman" w:cs="Times New Roman"/>
          <w:b/>
          <w:bCs/>
          <w:sz w:val="24"/>
          <w:szCs w:val="24"/>
        </w:rPr>
      </w:pPr>
      <w:r w:rsidRPr="00EB0638">
        <w:rPr>
          <w:rFonts w:ascii="Times New Roman" w:hAnsi="Times New Roman" w:cs="Times New Roman"/>
          <w:b/>
          <w:bCs/>
          <w:noProof/>
          <w:sz w:val="24"/>
          <w:szCs w:val="24"/>
        </w:rPr>
        <w:drawing>
          <wp:inline distT="0" distB="0" distL="0" distR="0">
            <wp:extent cx="5402123" cy="2268000"/>
            <wp:effectExtent l="19050" t="0" r="27127" b="0"/>
            <wp:docPr id="123"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62AA3" w:rsidRPr="00EB0638" w:rsidRDefault="00862AA3" w:rsidP="00A17FCD">
      <w:pPr>
        <w:pStyle w:val="Lgende"/>
        <w:spacing w:before="240" w:line="360" w:lineRule="auto"/>
        <w:jc w:val="center"/>
        <w:rPr>
          <w:rFonts w:asciiTheme="majorBidi" w:hAnsiTheme="majorBidi" w:cstheme="majorBidi"/>
          <w:color w:val="auto"/>
          <w:sz w:val="24"/>
          <w:szCs w:val="24"/>
        </w:rPr>
      </w:pPr>
      <w:bookmarkStart w:id="1643" w:name="_Toc252195007"/>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70</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:La durée moyenne de floraison (étalement).</w:t>
      </w:r>
      <w:bookmarkEnd w:id="1643"/>
    </w:p>
    <w:p w:rsidR="00A17FCD" w:rsidRPr="00EB0638" w:rsidRDefault="00A17FCD" w:rsidP="00A17FCD"/>
    <w:p w:rsidR="004A2A5D" w:rsidRPr="00EB0638" w:rsidRDefault="004A2A5D" w:rsidP="008B3CEC">
      <w:pPr>
        <w:pStyle w:val="Paragraphedeliste"/>
        <w:numPr>
          <w:ilvl w:val="0"/>
          <w:numId w:val="2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Formation des capsules (FCs)</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nombre moyen de jours entre le semis et la formation de capsules oscille entre 110 jours pour les populations P''1, P''2 et P''3 et 107 jours pour la population P''4 (Fig. 71).</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n’a donnée aucune différence significative entre les populations. Ce qui suggère une homogénéité de comportement de caractère</w:t>
      </w:r>
      <w:r w:rsidR="00D63A1D">
        <w:rPr>
          <w:rFonts w:ascii="Times New Roman" w:hAnsi="Times New Roman" w:cs="Times New Roman"/>
          <w:sz w:val="24"/>
          <w:szCs w:val="24"/>
        </w:rPr>
        <w:t xml:space="preserve"> formation de capsules (Annexe 10</w:t>
      </w:r>
      <w:r w:rsidRPr="00EB0638">
        <w:rPr>
          <w:rFonts w:ascii="Times New Roman" w:hAnsi="Times New Roman" w:cs="Times New Roman"/>
          <w:sz w:val="24"/>
          <w:szCs w:val="24"/>
        </w:rPr>
        <w:t>).</w:t>
      </w:r>
    </w:p>
    <w:p w:rsidR="004A2A5D" w:rsidRPr="00EB0638" w:rsidRDefault="004A2A5D" w:rsidP="008B3CEC">
      <w:pPr>
        <w:pStyle w:val="Paragraphedeliste"/>
        <w:numPr>
          <w:ilvl w:val="0"/>
          <w:numId w:val="27"/>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Maturité des capsules (M)</w:t>
      </w:r>
    </w:p>
    <w:p w:rsidR="004A2A5D" w:rsidRPr="00EB0638" w:rsidRDefault="004A2A5D" w:rsidP="005D337F">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P''</w:t>
      </w:r>
      <w:r w:rsidR="005D337F">
        <w:rPr>
          <w:rFonts w:ascii="Times New Roman" w:hAnsi="Times New Roman" w:cs="Times New Roman"/>
          <w:sz w:val="24"/>
          <w:szCs w:val="24"/>
        </w:rPr>
        <w:t>2 et P''3</w:t>
      </w:r>
      <w:r w:rsidRPr="00EB0638">
        <w:rPr>
          <w:rFonts w:ascii="Times New Roman" w:hAnsi="Times New Roman" w:cs="Times New Roman"/>
          <w:sz w:val="24"/>
          <w:szCs w:val="24"/>
        </w:rPr>
        <w:t xml:space="preserve"> ont enregistré un développement rapide entre </w:t>
      </w:r>
      <w:r w:rsidR="00A21F4C">
        <w:rPr>
          <w:rFonts w:ascii="Times New Roman" w:hAnsi="Times New Roman" w:cs="Times New Roman"/>
          <w:sz w:val="24"/>
          <w:szCs w:val="24"/>
        </w:rPr>
        <w:t>le stade semis et le stade  maturité</w:t>
      </w:r>
      <w:r w:rsidRPr="00EB0638">
        <w:rPr>
          <w:rFonts w:ascii="Times New Roman" w:hAnsi="Times New Roman" w:cs="Times New Roman"/>
          <w:sz w:val="24"/>
          <w:szCs w:val="24"/>
        </w:rPr>
        <w:t xml:space="preserve">. Elles présentent le nombre moyen de jours </w:t>
      </w:r>
      <w:r w:rsidR="005D337F">
        <w:rPr>
          <w:rFonts w:ascii="Times New Roman" w:hAnsi="Times New Roman" w:cs="Times New Roman"/>
          <w:sz w:val="24"/>
          <w:szCs w:val="24"/>
        </w:rPr>
        <w:t>le plus faible soit respectivement 126 et 124</w:t>
      </w:r>
      <w:r w:rsidRPr="00EB0638">
        <w:rPr>
          <w:rFonts w:ascii="Times New Roman" w:hAnsi="Times New Roman" w:cs="Times New Roman"/>
          <w:sz w:val="24"/>
          <w:szCs w:val="24"/>
        </w:rPr>
        <w:t xml:space="preserve"> jours</w:t>
      </w:r>
      <w:r w:rsidR="005D337F">
        <w:rPr>
          <w:rFonts w:ascii="Times New Roman" w:hAnsi="Times New Roman" w:cs="Times New Roman"/>
          <w:sz w:val="24"/>
          <w:szCs w:val="24"/>
        </w:rPr>
        <w:t>. L</w:t>
      </w:r>
      <w:r w:rsidRPr="00EB0638">
        <w:rPr>
          <w:rFonts w:ascii="Times New Roman" w:hAnsi="Times New Roman" w:cs="Times New Roman"/>
          <w:sz w:val="24"/>
          <w:szCs w:val="24"/>
        </w:rPr>
        <w:t>e no</w:t>
      </w:r>
      <w:r w:rsidR="005D337F">
        <w:rPr>
          <w:rFonts w:ascii="Times New Roman" w:hAnsi="Times New Roman" w:cs="Times New Roman"/>
          <w:sz w:val="24"/>
          <w:szCs w:val="24"/>
        </w:rPr>
        <w:t xml:space="preserve">mbre moyen de jours le plus élevé est enregistré pour les </w:t>
      </w:r>
      <w:r w:rsidRPr="00EB0638">
        <w:rPr>
          <w:rFonts w:ascii="Times New Roman" w:hAnsi="Times New Roman" w:cs="Times New Roman"/>
          <w:sz w:val="24"/>
          <w:szCs w:val="24"/>
        </w:rPr>
        <w:t xml:space="preserve"> population</w:t>
      </w:r>
      <w:r w:rsidR="005D337F">
        <w:rPr>
          <w:rFonts w:ascii="Times New Roman" w:hAnsi="Times New Roman" w:cs="Times New Roman"/>
          <w:sz w:val="24"/>
          <w:szCs w:val="24"/>
        </w:rPr>
        <w:t>s</w:t>
      </w:r>
      <w:r w:rsidRPr="00EB0638">
        <w:rPr>
          <w:rFonts w:ascii="Times New Roman" w:hAnsi="Times New Roman" w:cs="Times New Roman"/>
          <w:sz w:val="24"/>
          <w:szCs w:val="24"/>
        </w:rPr>
        <w:t xml:space="preserve"> P''4 </w:t>
      </w:r>
      <w:r w:rsidR="005D337F">
        <w:rPr>
          <w:rFonts w:ascii="Times New Roman" w:hAnsi="Times New Roman" w:cs="Times New Roman"/>
          <w:sz w:val="24"/>
          <w:szCs w:val="24"/>
        </w:rPr>
        <w:t>et P''1soit 133</w:t>
      </w:r>
      <w:r w:rsidRPr="00EB0638">
        <w:rPr>
          <w:rFonts w:ascii="Times New Roman" w:hAnsi="Times New Roman" w:cs="Times New Roman"/>
          <w:sz w:val="24"/>
          <w:szCs w:val="24"/>
        </w:rPr>
        <w:t xml:space="preserve"> jours (Fig. 71).</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a donné une différence très hautement significative. La comparaison des moyennes permet de faire ressortir deux groupes homogènes. Le groupe A qui représente les populations P''1 et P''4. Le groupe B qui est constitué par les populations</w:t>
      </w:r>
      <w:r w:rsidR="00D63A1D">
        <w:rPr>
          <w:rFonts w:ascii="Times New Roman" w:hAnsi="Times New Roman" w:cs="Times New Roman"/>
          <w:sz w:val="24"/>
          <w:szCs w:val="24"/>
        </w:rPr>
        <w:t xml:space="preserve"> P''2 et P''3 (Fig. 71; Annexe 10</w:t>
      </w:r>
      <w:r w:rsidRPr="00EB0638">
        <w:rPr>
          <w:rFonts w:ascii="Times New Roman" w:hAnsi="Times New Roman" w:cs="Times New Roman"/>
          <w:sz w:val="24"/>
          <w:szCs w:val="24"/>
        </w:rPr>
        <w:t>).</w:t>
      </w:r>
    </w:p>
    <w:p w:rsidR="004A2A5D" w:rsidRPr="00EB0638" w:rsidRDefault="004A2A5D" w:rsidP="00A17FCD">
      <w:pPr>
        <w:pStyle w:val="Titre1"/>
        <w:numPr>
          <w:ilvl w:val="0"/>
          <w:numId w:val="51"/>
        </w:numPr>
        <w:spacing w:before="240" w:after="240" w:line="360" w:lineRule="auto"/>
        <w:rPr>
          <w:rFonts w:ascii="Times New Roman" w:hAnsi="Times New Roman"/>
          <w:color w:val="auto"/>
        </w:rPr>
      </w:pPr>
      <w:bookmarkStart w:id="1644" w:name="_Toc251855082"/>
      <w:bookmarkStart w:id="1645" w:name="_Toc251855492"/>
      <w:bookmarkStart w:id="1646" w:name="_Toc126492652"/>
      <w:bookmarkStart w:id="1647" w:name="_Toc126493067"/>
      <w:bookmarkStart w:id="1648" w:name="_Toc126570579"/>
      <w:bookmarkStart w:id="1649" w:name="_Toc126571893"/>
      <w:bookmarkStart w:id="1650" w:name="_Toc126572674"/>
      <w:bookmarkStart w:id="1651" w:name="_Toc126575311"/>
      <w:bookmarkStart w:id="1652" w:name="_Toc126575992"/>
      <w:bookmarkStart w:id="1653" w:name="_Toc126576869"/>
      <w:bookmarkStart w:id="1654" w:name="_Toc252094078"/>
      <w:bookmarkStart w:id="1655" w:name="_Toc252365467"/>
      <w:bookmarkStart w:id="1656" w:name="_Toc252365738"/>
      <w:bookmarkStart w:id="1657" w:name="_Toc252366283"/>
      <w:r w:rsidRPr="00EB0638">
        <w:rPr>
          <w:rFonts w:ascii="Times New Roman" w:hAnsi="Times New Roman"/>
          <w:color w:val="auto"/>
        </w:rPr>
        <w:t>Caractères de développement végétatif</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rsidR="004A2A5D" w:rsidRPr="00EB0638" w:rsidRDefault="004A2A5D" w:rsidP="008B3CEC">
      <w:pPr>
        <w:pStyle w:val="Paragraphedeliste"/>
        <w:numPr>
          <w:ilvl w:val="0"/>
          <w:numId w:val="28"/>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Dynamique de croissance en hauteur (DCH)</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P''4 et P''2 présentent un développement rapide entre la première et la deuxième date de notation, suivies par les populations P''1 et P'3.</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A partir de la troisième date de notation et jusqu’à la dernière date de notation, les populations P''2 et P''3 ont enregistré un développement régulier et plus important que ceux des populations P''4 et P''1(Fig. 72).</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a donné des différences non significatives entre les populations pour la première date de notation et très hautement significative pour la deuxième, la troisième, la quatrième et la cinquième date de</w:t>
      </w:r>
      <w:r w:rsidR="00D63A1D">
        <w:rPr>
          <w:rFonts w:ascii="Times New Roman" w:hAnsi="Times New Roman" w:cs="Times New Roman"/>
          <w:sz w:val="24"/>
          <w:szCs w:val="24"/>
        </w:rPr>
        <w:t xml:space="preserve"> notation (Annexe 10</w:t>
      </w:r>
      <w:r w:rsidRPr="00EB0638">
        <w:rPr>
          <w:rFonts w:ascii="Times New Roman" w:hAnsi="Times New Roman" w:cs="Times New Roman"/>
          <w:sz w:val="24"/>
          <w:szCs w:val="24"/>
        </w:rPr>
        <w:t>).</w:t>
      </w:r>
    </w:p>
    <w:p w:rsidR="004A2A5D" w:rsidRPr="00EB0638" w:rsidRDefault="004A2A5D" w:rsidP="008B3CEC">
      <w:pPr>
        <w:spacing w:before="240" w:line="360" w:lineRule="auto"/>
        <w:jc w:val="center"/>
        <w:rPr>
          <w:rFonts w:ascii="Times New Roman" w:hAnsi="Times New Roman" w:cs="Times New Roman"/>
          <w:sz w:val="24"/>
          <w:szCs w:val="24"/>
        </w:rPr>
      </w:pPr>
      <w:r w:rsidRPr="00EB0638">
        <w:rPr>
          <w:rFonts w:ascii="Times New Roman" w:hAnsi="Times New Roman" w:cs="Times New Roman"/>
          <w:noProof/>
          <w:sz w:val="24"/>
          <w:szCs w:val="24"/>
        </w:rPr>
        <w:lastRenderedPageBreak/>
        <w:drawing>
          <wp:inline distT="0" distB="0" distL="0" distR="0">
            <wp:extent cx="5417515" cy="3242268"/>
            <wp:effectExtent l="19050" t="0" r="11735" b="0"/>
            <wp:docPr id="124"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62AA3" w:rsidRPr="00EB0638" w:rsidRDefault="00862AA3" w:rsidP="008B3CEC">
      <w:pPr>
        <w:pStyle w:val="Lgende"/>
        <w:spacing w:before="240" w:line="360" w:lineRule="auto"/>
        <w:jc w:val="center"/>
        <w:rPr>
          <w:rFonts w:asciiTheme="majorBidi" w:hAnsiTheme="majorBidi" w:cstheme="majorBidi"/>
          <w:color w:val="auto"/>
          <w:sz w:val="24"/>
          <w:szCs w:val="24"/>
        </w:rPr>
      </w:pPr>
      <w:bookmarkStart w:id="1658" w:name="_Toc252195008"/>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71</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 xml:space="preserve">:Nombre </w:t>
      </w:r>
      <w:r w:rsidR="00016FF2">
        <w:rPr>
          <w:rFonts w:asciiTheme="majorBidi" w:hAnsiTheme="majorBidi" w:cstheme="majorBidi"/>
          <w:color w:val="auto"/>
          <w:sz w:val="24"/>
          <w:szCs w:val="24"/>
        </w:rPr>
        <w:t xml:space="preserve">moyen </w:t>
      </w:r>
      <w:r w:rsidRPr="00EB0638">
        <w:rPr>
          <w:rFonts w:asciiTheme="majorBidi" w:hAnsiTheme="majorBidi" w:cstheme="majorBidi"/>
          <w:color w:val="auto"/>
          <w:sz w:val="24"/>
          <w:szCs w:val="24"/>
        </w:rPr>
        <w:t>de jours entre le semis et le stade formation (FCs) et maturité des capsules (M).</w:t>
      </w:r>
      <w:bookmarkEnd w:id="1658"/>
    </w:p>
    <w:p w:rsidR="004A2A5D" w:rsidRPr="00EB0638" w:rsidRDefault="004A2A5D" w:rsidP="008B3CEC">
      <w:pPr>
        <w:spacing w:before="240" w:line="360" w:lineRule="auto"/>
        <w:jc w:val="center"/>
        <w:rPr>
          <w:rFonts w:ascii="Times New Roman" w:hAnsi="Times New Roman" w:cs="Times New Roman"/>
          <w:sz w:val="24"/>
          <w:szCs w:val="24"/>
        </w:rPr>
      </w:pPr>
      <w:r w:rsidRPr="00EB0638">
        <w:rPr>
          <w:rFonts w:ascii="Times New Roman" w:hAnsi="Times New Roman" w:cs="Times New Roman"/>
          <w:noProof/>
          <w:sz w:val="24"/>
          <w:szCs w:val="24"/>
        </w:rPr>
        <w:drawing>
          <wp:inline distT="0" distB="0" distL="0" distR="0">
            <wp:extent cx="5417515" cy="3242268"/>
            <wp:effectExtent l="19050" t="0" r="11735" b="0"/>
            <wp:docPr id="125"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A2A5D" w:rsidRPr="00EB0638" w:rsidRDefault="00862AA3" w:rsidP="008B3CEC">
      <w:pPr>
        <w:pStyle w:val="Lgende"/>
        <w:spacing w:before="240" w:line="360" w:lineRule="auto"/>
        <w:jc w:val="center"/>
        <w:rPr>
          <w:rFonts w:asciiTheme="majorBidi" w:hAnsiTheme="majorBidi" w:cstheme="majorBidi"/>
          <w:color w:val="auto"/>
          <w:sz w:val="24"/>
          <w:szCs w:val="24"/>
        </w:rPr>
      </w:pPr>
      <w:bookmarkStart w:id="1659" w:name="_Toc252195009"/>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72</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:Les cinq hauteurs moyennes des plants en (cm).</w:t>
      </w:r>
      <w:bookmarkEnd w:id="1659"/>
    </w:p>
    <w:p w:rsidR="004A2A5D" w:rsidRPr="00EB0638" w:rsidRDefault="004A2A5D" w:rsidP="008B3CEC">
      <w:pPr>
        <w:spacing w:before="240" w:line="360" w:lineRule="auto"/>
        <w:jc w:val="center"/>
        <w:rPr>
          <w:rFonts w:ascii="Times New Roman" w:hAnsi="Times New Roman" w:cs="Times New Roman"/>
          <w:b/>
          <w:bCs/>
          <w:sz w:val="24"/>
          <w:szCs w:val="24"/>
        </w:rPr>
      </w:pPr>
    </w:p>
    <w:p w:rsidR="004A2A5D" w:rsidRPr="00EB0638" w:rsidRDefault="004A2A5D" w:rsidP="008B3CEC">
      <w:pPr>
        <w:spacing w:before="240" w:line="360" w:lineRule="auto"/>
        <w:jc w:val="center"/>
        <w:rPr>
          <w:rFonts w:ascii="Times New Roman" w:hAnsi="Times New Roman" w:cs="Times New Roman"/>
          <w:b/>
          <w:bCs/>
          <w:sz w:val="24"/>
          <w:szCs w:val="24"/>
        </w:rPr>
      </w:pPr>
    </w:p>
    <w:p w:rsidR="00862AA3" w:rsidRPr="00EB0638" w:rsidRDefault="00862AA3" w:rsidP="00A17FCD">
      <w:pPr>
        <w:spacing w:before="240" w:line="360" w:lineRule="auto"/>
        <w:rPr>
          <w:rFonts w:ascii="Times New Roman" w:hAnsi="Times New Roman" w:cs="Times New Roman"/>
          <w:b/>
          <w:bCs/>
          <w:sz w:val="24"/>
          <w:szCs w:val="24"/>
        </w:rPr>
      </w:pPr>
    </w:p>
    <w:p w:rsidR="004A2A5D" w:rsidRPr="00EB0638" w:rsidRDefault="004A2A5D" w:rsidP="008B3CEC">
      <w:pPr>
        <w:pStyle w:val="Paragraphedeliste"/>
        <w:numPr>
          <w:ilvl w:val="0"/>
          <w:numId w:val="28"/>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lastRenderedPageBreak/>
        <w:t>Vitesse moyenne de croissance en hauteur (VCH)</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vitesse m</w:t>
      </w:r>
      <w:r w:rsidR="00AF6DA3">
        <w:rPr>
          <w:rFonts w:ascii="Times New Roman" w:hAnsi="Times New Roman" w:cs="Times New Roman"/>
          <w:sz w:val="24"/>
          <w:szCs w:val="24"/>
        </w:rPr>
        <w:t>oyenne de croissance</w:t>
      </w:r>
      <w:r w:rsidR="009B3C98">
        <w:rPr>
          <w:rFonts w:ascii="Times New Roman" w:hAnsi="Times New Roman" w:cs="Times New Roman"/>
          <w:sz w:val="24"/>
          <w:szCs w:val="24"/>
        </w:rPr>
        <w:t xml:space="preserve"> en hauteur</w:t>
      </w:r>
      <w:r w:rsidR="00AF6DA3">
        <w:rPr>
          <w:rFonts w:ascii="Times New Roman" w:hAnsi="Times New Roman" w:cs="Times New Roman"/>
          <w:sz w:val="24"/>
          <w:szCs w:val="24"/>
        </w:rPr>
        <w:t xml:space="preserve"> varie de 0,</w:t>
      </w:r>
      <w:r w:rsidRPr="00EB0638">
        <w:rPr>
          <w:rFonts w:ascii="Times New Roman" w:hAnsi="Times New Roman" w:cs="Times New Roman"/>
          <w:sz w:val="24"/>
          <w:szCs w:val="24"/>
        </w:rPr>
        <w:t>7 cm/jour</w:t>
      </w:r>
      <w:r w:rsidR="00AF6DA3">
        <w:rPr>
          <w:rFonts w:ascii="Times New Roman" w:hAnsi="Times New Roman" w:cs="Times New Roman"/>
          <w:sz w:val="24"/>
          <w:szCs w:val="24"/>
        </w:rPr>
        <w:t>s chez la population P''3 et 0,</w:t>
      </w:r>
      <w:r w:rsidRPr="00EB0638">
        <w:rPr>
          <w:rFonts w:ascii="Times New Roman" w:hAnsi="Times New Roman" w:cs="Times New Roman"/>
          <w:sz w:val="24"/>
          <w:szCs w:val="24"/>
        </w:rPr>
        <w:t xml:space="preserve">42 cm/jours pour la population P''1 (Fig. 73). </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L’analyse de variance montre une différence très hautement significative entre les populations, on distingue </w:t>
      </w:r>
      <w:r w:rsidR="00D63A1D">
        <w:rPr>
          <w:rFonts w:ascii="Times New Roman" w:hAnsi="Times New Roman" w:cs="Times New Roman"/>
          <w:sz w:val="24"/>
          <w:szCs w:val="24"/>
        </w:rPr>
        <w:t>deux groupes homogènes (Annexe 10</w:t>
      </w:r>
      <w:r w:rsidRPr="00EB0638">
        <w:rPr>
          <w:rFonts w:ascii="Times New Roman" w:hAnsi="Times New Roman" w:cs="Times New Roman"/>
          <w:sz w:val="24"/>
          <w:szCs w:val="24"/>
        </w:rPr>
        <w:t xml:space="preserve">). </w:t>
      </w:r>
    </w:p>
    <w:p w:rsidR="004A2A5D" w:rsidRPr="00EB0638" w:rsidRDefault="004A2A5D" w:rsidP="00A17FCD">
      <w:pPr>
        <w:pStyle w:val="Titre1"/>
        <w:numPr>
          <w:ilvl w:val="0"/>
          <w:numId w:val="51"/>
        </w:numPr>
        <w:spacing w:before="240" w:after="240" w:line="360" w:lineRule="auto"/>
        <w:rPr>
          <w:rFonts w:ascii="Times New Roman" w:hAnsi="Times New Roman"/>
          <w:color w:val="auto"/>
        </w:rPr>
      </w:pPr>
      <w:bookmarkStart w:id="1660" w:name="_Toc251855083"/>
      <w:bookmarkStart w:id="1661" w:name="_Toc251855493"/>
      <w:bookmarkStart w:id="1662" w:name="_Toc126492653"/>
      <w:bookmarkStart w:id="1663" w:name="_Toc126493068"/>
      <w:bookmarkStart w:id="1664" w:name="_Toc126570580"/>
      <w:bookmarkStart w:id="1665" w:name="_Toc126571894"/>
      <w:bookmarkStart w:id="1666" w:name="_Toc126572675"/>
      <w:bookmarkStart w:id="1667" w:name="_Toc126575312"/>
      <w:bookmarkStart w:id="1668" w:name="_Toc126575993"/>
      <w:bookmarkStart w:id="1669" w:name="_Toc126576870"/>
      <w:bookmarkStart w:id="1670" w:name="_Toc252094079"/>
      <w:bookmarkStart w:id="1671" w:name="_Toc252365468"/>
      <w:bookmarkStart w:id="1672" w:name="_Toc252365739"/>
      <w:bookmarkStart w:id="1673" w:name="_Toc252366284"/>
      <w:r w:rsidRPr="00EB0638">
        <w:rPr>
          <w:rFonts w:ascii="Times New Roman" w:hAnsi="Times New Roman"/>
          <w:color w:val="auto"/>
        </w:rPr>
        <w:t>Etude biométrique</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rsidR="004A2A5D" w:rsidRPr="00EB0638" w:rsidRDefault="004A2A5D" w:rsidP="008B3CEC">
      <w:pPr>
        <w:spacing w:before="240" w:after="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récolte a été effectuée le 9 juin, après la maturation complète des plants. </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ramifications primaires (NR1)</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P''2 présente le nombre moyen de ram</w:t>
      </w:r>
      <w:r w:rsidR="00AF6DA3">
        <w:rPr>
          <w:rFonts w:ascii="Times New Roman" w:hAnsi="Times New Roman" w:cs="Times New Roman"/>
          <w:sz w:val="24"/>
          <w:szCs w:val="24"/>
        </w:rPr>
        <w:t>ifications le plus élevé avec 5,</w:t>
      </w:r>
      <w:r w:rsidRPr="00EB0638">
        <w:rPr>
          <w:rFonts w:ascii="Times New Roman" w:hAnsi="Times New Roman" w:cs="Times New Roman"/>
          <w:sz w:val="24"/>
          <w:szCs w:val="24"/>
        </w:rPr>
        <w:t>17. Alors que les populations P''1 et P''4 constituent un deuxième groupe avec resp</w:t>
      </w:r>
      <w:r w:rsidR="00AF6DA3">
        <w:rPr>
          <w:rFonts w:ascii="Times New Roman" w:hAnsi="Times New Roman" w:cs="Times New Roman"/>
          <w:sz w:val="24"/>
          <w:szCs w:val="24"/>
        </w:rPr>
        <w:t>ectivement un nombre moyen de 3,75 et 4,</w:t>
      </w:r>
      <w:r w:rsidRPr="00EB0638">
        <w:rPr>
          <w:rFonts w:ascii="Times New Roman" w:hAnsi="Times New Roman" w:cs="Times New Roman"/>
          <w:sz w:val="24"/>
          <w:szCs w:val="24"/>
        </w:rPr>
        <w:t xml:space="preserve">4 ramifications (Fig. 74). </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En effet, l’analyse de variance décèle un effet inter population hautement significative. La comparaison des moyennes permet de déterminer deux groupes homogènes qui se </w:t>
      </w:r>
      <w:r w:rsidR="00D63A1D">
        <w:rPr>
          <w:rFonts w:ascii="Times New Roman" w:hAnsi="Times New Roman" w:cs="Times New Roman"/>
          <w:sz w:val="24"/>
          <w:szCs w:val="24"/>
        </w:rPr>
        <w:t>chevauchent. (Figure 74; Annexe ,10</w:t>
      </w:r>
      <w:r w:rsidRPr="00EB0638">
        <w:rPr>
          <w:rFonts w:ascii="Times New Roman" w:hAnsi="Times New Roman" w:cs="Times New Roman"/>
          <w:sz w:val="24"/>
          <w:szCs w:val="24"/>
        </w:rPr>
        <w:t>).</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ramifications secondaires (NR2)</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nombre moyen de ramificati</w:t>
      </w:r>
      <w:r w:rsidR="00AF6DA3">
        <w:rPr>
          <w:rFonts w:ascii="Times New Roman" w:hAnsi="Times New Roman" w:cs="Times New Roman"/>
          <w:sz w:val="24"/>
          <w:szCs w:val="24"/>
        </w:rPr>
        <w:t>ons secondaires oscille entre 5,</w:t>
      </w:r>
      <w:r w:rsidRPr="00EB0638">
        <w:rPr>
          <w:rFonts w:ascii="Times New Roman" w:hAnsi="Times New Roman" w:cs="Times New Roman"/>
          <w:sz w:val="24"/>
          <w:szCs w:val="24"/>
        </w:rPr>
        <w:t xml:space="preserve">77 pour la population P''3 et 2 pour la population P''1 (Fig. 74). </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décèle un effet inter population très hautement significative. La comparaison des moyennes permet de déterminer deux groupes qui s</w:t>
      </w:r>
      <w:r w:rsidR="00D63A1D">
        <w:rPr>
          <w:rFonts w:ascii="Times New Roman" w:hAnsi="Times New Roman" w:cs="Times New Roman"/>
          <w:sz w:val="24"/>
          <w:szCs w:val="24"/>
        </w:rPr>
        <w:t>e chevauchent (Fig. 74; Annexe 10</w:t>
      </w:r>
      <w:r w:rsidRPr="00EB0638">
        <w:rPr>
          <w:rFonts w:ascii="Times New Roman" w:hAnsi="Times New Roman" w:cs="Times New Roman"/>
          <w:sz w:val="24"/>
          <w:szCs w:val="24"/>
        </w:rPr>
        <w:t>).</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ramifications tertiaires (NR3)</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indique des différences significatives entre les</w:t>
      </w:r>
      <w:r w:rsidR="00D63A1D">
        <w:rPr>
          <w:rFonts w:ascii="Times New Roman" w:hAnsi="Times New Roman" w:cs="Times New Roman"/>
          <w:sz w:val="24"/>
          <w:szCs w:val="24"/>
        </w:rPr>
        <w:t xml:space="preserve"> populations (Fig. 74 ; Annexe 10</w:t>
      </w:r>
      <w:r w:rsidRPr="00EB0638">
        <w:rPr>
          <w:rFonts w:ascii="Times New Roman" w:hAnsi="Times New Roman" w:cs="Times New Roman"/>
          <w:sz w:val="24"/>
          <w:szCs w:val="24"/>
        </w:rPr>
        <w:t xml:space="preserve">). </w:t>
      </w:r>
    </w:p>
    <w:p w:rsidR="00A17FCD" w:rsidRPr="00EB0638" w:rsidRDefault="004A2A5D" w:rsidP="00A17FCD">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total de ramifications (NTR)</w:t>
      </w:r>
    </w:p>
    <w:p w:rsidR="004A2A5D" w:rsidRPr="00EB0638" w:rsidRDefault="004A2A5D" w:rsidP="00A17FCD">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nombre moyen le plus élevé est enregistré par la populatio</w:t>
      </w:r>
      <w:r w:rsidR="00AF6DA3">
        <w:rPr>
          <w:rFonts w:ascii="Times New Roman" w:hAnsi="Times New Roman" w:cs="Times New Roman"/>
          <w:sz w:val="24"/>
          <w:szCs w:val="24"/>
        </w:rPr>
        <w:t>n P''3 avec 12,</w:t>
      </w:r>
      <w:r w:rsidRPr="00EB0638">
        <w:rPr>
          <w:rFonts w:ascii="Times New Roman" w:hAnsi="Times New Roman" w:cs="Times New Roman"/>
          <w:sz w:val="24"/>
          <w:szCs w:val="24"/>
        </w:rPr>
        <w:t>87 ramifications, alors que la plus faible valeur moyenne de ce caractère est représenté</w:t>
      </w:r>
      <w:r w:rsidR="00AF6DA3">
        <w:rPr>
          <w:rFonts w:ascii="Times New Roman" w:hAnsi="Times New Roman" w:cs="Times New Roman"/>
          <w:sz w:val="24"/>
          <w:szCs w:val="24"/>
        </w:rPr>
        <w:t>e par la population P''1 avec 7,</w:t>
      </w:r>
      <w:r w:rsidRPr="00EB0638">
        <w:rPr>
          <w:rFonts w:ascii="Times New Roman" w:hAnsi="Times New Roman" w:cs="Times New Roman"/>
          <w:sz w:val="24"/>
          <w:szCs w:val="24"/>
        </w:rPr>
        <w:t>47 ramifications (Fig. 74).</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lastRenderedPageBreak/>
        <w:t xml:space="preserve">       </w:t>
      </w:r>
      <w:r w:rsidRPr="00EB0638">
        <w:rPr>
          <w:rFonts w:ascii="Times New Roman" w:hAnsi="Times New Roman" w:cs="Times New Roman"/>
          <w:noProof/>
          <w:sz w:val="24"/>
          <w:szCs w:val="24"/>
        </w:rPr>
        <w:drawing>
          <wp:inline distT="0" distB="0" distL="0" distR="0">
            <wp:extent cx="5407467" cy="3242268"/>
            <wp:effectExtent l="19050" t="0" r="21783" b="0"/>
            <wp:docPr id="126"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4A2A5D" w:rsidRPr="00EB0638" w:rsidRDefault="00862AA3" w:rsidP="008B3CEC">
      <w:pPr>
        <w:pStyle w:val="Lgende"/>
        <w:spacing w:before="240" w:line="360" w:lineRule="auto"/>
        <w:jc w:val="center"/>
        <w:rPr>
          <w:rFonts w:asciiTheme="majorBidi" w:hAnsiTheme="majorBidi" w:cstheme="majorBidi"/>
          <w:color w:val="auto"/>
          <w:sz w:val="24"/>
          <w:szCs w:val="24"/>
        </w:rPr>
      </w:pPr>
      <w:bookmarkStart w:id="1674" w:name="_Toc252195010"/>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73</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:Vitesse moyenne de croissance en hauteur (cm/j).</w:t>
      </w:r>
      <w:bookmarkEnd w:id="1674"/>
    </w:p>
    <w:p w:rsidR="004A2A5D" w:rsidRPr="00EB0638" w:rsidRDefault="004A2A5D" w:rsidP="008B3CEC">
      <w:pPr>
        <w:spacing w:before="240" w:line="360" w:lineRule="auto"/>
        <w:jc w:val="center"/>
        <w:rPr>
          <w:rFonts w:ascii="Times New Roman" w:hAnsi="Times New Roman" w:cs="Times New Roman"/>
          <w:sz w:val="24"/>
          <w:szCs w:val="24"/>
        </w:rPr>
      </w:pPr>
      <w:r w:rsidRPr="00EB0638">
        <w:rPr>
          <w:rFonts w:ascii="Times New Roman" w:hAnsi="Times New Roman" w:cs="Times New Roman"/>
          <w:noProof/>
          <w:sz w:val="24"/>
          <w:szCs w:val="24"/>
        </w:rPr>
        <w:drawing>
          <wp:inline distT="0" distB="0" distL="0" distR="0">
            <wp:extent cx="5397699" cy="3238203"/>
            <wp:effectExtent l="18297" t="12161" r="13254" b="7186"/>
            <wp:docPr id="137"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4A2A5D" w:rsidRPr="00EB0638" w:rsidRDefault="00862AA3" w:rsidP="008B3CEC">
      <w:pPr>
        <w:pStyle w:val="Lgende"/>
        <w:spacing w:before="240" w:line="360" w:lineRule="auto"/>
        <w:jc w:val="center"/>
        <w:rPr>
          <w:rFonts w:asciiTheme="majorBidi" w:hAnsiTheme="majorBidi" w:cstheme="majorBidi"/>
          <w:color w:val="auto"/>
          <w:sz w:val="24"/>
          <w:szCs w:val="24"/>
        </w:rPr>
      </w:pPr>
      <w:bookmarkStart w:id="1675" w:name="_Toc252195011"/>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74</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:Nombre moyen de ramifications primaires (NR1), secondaires (NR2), tertiaires (NR3) et total (NTR) par plant.</w:t>
      </w:r>
      <w:bookmarkEnd w:id="1675"/>
    </w:p>
    <w:p w:rsidR="004A2A5D" w:rsidRPr="00EB0638" w:rsidRDefault="004A2A5D" w:rsidP="00A17FCD">
      <w:pPr>
        <w:spacing w:before="240" w:line="360" w:lineRule="auto"/>
        <w:rPr>
          <w:rFonts w:ascii="Times New Roman" w:hAnsi="Times New Roman" w:cs="Times New Roman"/>
          <w:b/>
          <w:bCs/>
          <w:sz w:val="24"/>
          <w:szCs w:val="24"/>
        </w:rPr>
      </w:pPr>
    </w:p>
    <w:p w:rsidR="004A2A5D" w:rsidRPr="002F4810"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lastRenderedPageBreak/>
        <w:t>L’analyse de variance a montré des différences hautement significatives</w:t>
      </w:r>
      <w:r w:rsidR="009A6FE4">
        <w:rPr>
          <w:rFonts w:ascii="Times New Roman" w:hAnsi="Times New Roman" w:cs="Times New Roman"/>
          <w:sz w:val="24"/>
          <w:szCs w:val="24"/>
        </w:rPr>
        <w:t xml:space="preserve"> entre les populations (Annexe 10</w:t>
      </w:r>
      <w:r w:rsidRPr="00EB0638">
        <w:rPr>
          <w:rFonts w:ascii="Times New Roman" w:hAnsi="Times New Roman" w:cs="Times New Roman"/>
          <w:sz w:val="24"/>
          <w:szCs w:val="24"/>
        </w:rPr>
        <w:t xml:space="preserve">). La comparaison des moyennes permet de faire ressortir deux groupes qui se chevauchent </w:t>
      </w:r>
      <w:r w:rsidRPr="002F4810">
        <w:rPr>
          <w:rFonts w:ascii="Times New Roman" w:hAnsi="Times New Roman" w:cs="Times New Roman"/>
          <w:sz w:val="24"/>
          <w:szCs w:val="24"/>
        </w:rPr>
        <w:t xml:space="preserve">(Fig. 74). </w:t>
      </w:r>
    </w:p>
    <w:p w:rsidR="004A2A5D" w:rsidRPr="002F4810"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2F4810">
        <w:rPr>
          <w:rFonts w:ascii="Times New Roman" w:hAnsi="Times New Roman" w:cs="Times New Roman"/>
          <w:b/>
          <w:bCs/>
          <w:sz w:val="24"/>
          <w:szCs w:val="24"/>
        </w:rPr>
        <w:t>Nombre moyen de capsules par plant (NCsP)</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P''3 est caractérisée par le plus grand nombre moy</w:t>
      </w:r>
      <w:r w:rsidR="00AF6DA3">
        <w:rPr>
          <w:rFonts w:ascii="Times New Roman" w:hAnsi="Times New Roman" w:cs="Times New Roman"/>
          <w:sz w:val="24"/>
          <w:szCs w:val="24"/>
        </w:rPr>
        <w:t>en de capsules par plants (13,</w:t>
      </w:r>
      <w:r w:rsidR="00E44A9F">
        <w:rPr>
          <w:rFonts w:ascii="Times New Roman" w:hAnsi="Times New Roman" w:cs="Times New Roman"/>
          <w:sz w:val="24"/>
          <w:szCs w:val="24"/>
        </w:rPr>
        <w:t>82</w:t>
      </w:r>
      <w:r w:rsidRPr="00EB0638">
        <w:rPr>
          <w:rFonts w:ascii="Times New Roman" w:hAnsi="Times New Roman" w:cs="Times New Roman"/>
          <w:sz w:val="24"/>
          <w:szCs w:val="24"/>
        </w:rPr>
        <w:t xml:space="preserve">), par </w:t>
      </w:r>
      <w:r w:rsidR="00514144">
        <w:rPr>
          <w:rFonts w:ascii="Times New Roman" w:hAnsi="Times New Roman" w:cs="Times New Roman"/>
          <w:sz w:val="24"/>
          <w:szCs w:val="24"/>
        </w:rPr>
        <w:t xml:space="preserve"> </w:t>
      </w:r>
      <w:r w:rsidRPr="00EB0638">
        <w:rPr>
          <w:rFonts w:ascii="Times New Roman" w:hAnsi="Times New Roman" w:cs="Times New Roman"/>
          <w:sz w:val="24"/>
          <w:szCs w:val="24"/>
        </w:rPr>
        <w:t>rapport à la population P''1 qui présente la valeur la plus faible avec 8 capsules (Fig. 75).</w:t>
      </w:r>
    </w:p>
    <w:p w:rsidR="00514144"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a donné des différences hautement significatives</w:t>
      </w:r>
      <w:r w:rsidR="009A6FE4">
        <w:rPr>
          <w:rFonts w:ascii="Times New Roman" w:hAnsi="Times New Roman" w:cs="Times New Roman"/>
          <w:sz w:val="24"/>
          <w:szCs w:val="24"/>
        </w:rPr>
        <w:t xml:space="preserve"> entre les populations (Annexe 10</w:t>
      </w:r>
      <w:r w:rsidRPr="00EB0638">
        <w:rPr>
          <w:rFonts w:ascii="Times New Roman" w:hAnsi="Times New Roman" w:cs="Times New Roman"/>
          <w:sz w:val="24"/>
          <w:szCs w:val="24"/>
        </w:rPr>
        <w:t xml:space="preserve">). La comparaison des moyennes permet d’y déceler deux groupes qui se chevauchent </w:t>
      </w:r>
    </w:p>
    <w:p w:rsidR="004A2A5D" w:rsidRPr="00EB0638" w:rsidRDefault="004A2A5D" w:rsidP="00514144">
      <w:p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 xml:space="preserve">(Fig. 75). </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Poids moyen de capsules par plant (PCsP)</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indique des différences non significatives</w:t>
      </w:r>
      <w:r w:rsidR="009A6FE4">
        <w:rPr>
          <w:rFonts w:ascii="Times New Roman" w:hAnsi="Times New Roman" w:cs="Times New Roman"/>
          <w:sz w:val="24"/>
          <w:szCs w:val="24"/>
        </w:rPr>
        <w:t xml:space="preserve"> entre les populations (</w:t>
      </w:r>
      <w:r w:rsidR="00D73BA8" w:rsidRPr="00EB0638">
        <w:rPr>
          <w:rFonts w:ascii="Times New Roman" w:hAnsi="Times New Roman" w:cs="Times New Roman"/>
          <w:sz w:val="24"/>
          <w:szCs w:val="24"/>
        </w:rPr>
        <w:t>Fig</w:t>
      </w:r>
      <w:r w:rsidR="00D73BA8">
        <w:rPr>
          <w:rFonts w:ascii="Times New Roman" w:hAnsi="Times New Roman" w:cs="Times New Roman"/>
          <w:sz w:val="24"/>
          <w:szCs w:val="24"/>
        </w:rPr>
        <w:t xml:space="preserve">. 76, </w:t>
      </w:r>
      <w:r w:rsidR="009A6FE4">
        <w:rPr>
          <w:rFonts w:ascii="Times New Roman" w:hAnsi="Times New Roman" w:cs="Times New Roman"/>
          <w:sz w:val="24"/>
          <w:szCs w:val="24"/>
        </w:rPr>
        <w:t>Annexe 10</w:t>
      </w:r>
      <w:r w:rsidRPr="00EB0638">
        <w:rPr>
          <w:rFonts w:ascii="Times New Roman" w:hAnsi="Times New Roman" w:cs="Times New Roman"/>
          <w:sz w:val="24"/>
          <w:szCs w:val="24"/>
        </w:rPr>
        <w:t xml:space="preserve">). </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Longueur moyenne de la capsule (LCs)</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w:t>
      </w:r>
      <w:smartTag w:uri="urn:schemas-microsoft-com:office:smarttags" w:element="metricconverter">
        <w:smartTagPr>
          <w:attr w:name="ProductID" w:val="1 a"/>
        </w:smartTagPr>
        <w:r w:rsidRPr="00EB0638">
          <w:rPr>
            <w:rFonts w:ascii="Times New Roman" w:hAnsi="Times New Roman" w:cs="Times New Roman"/>
            <w:sz w:val="24"/>
            <w:szCs w:val="24"/>
          </w:rPr>
          <w:t>1 a</w:t>
        </w:r>
      </w:smartTag>
      <w:r w:rsidRPr="00EB0638">
        <w:rPr>
          <w:rFonts w:ascii="Times New Roman" w:hAnsi="Times New Roman" w:cs="Times New Roman"/>
          <w:sz w:val="24"/>
          <w:szCs w:val="24"/>
        </w:rPr>
        <w:t xml:space="preserve"> donné les fruits les plus longs</w:t>
      </w:r>
      <w:r w:rsidR="00AF6DA3">
        <w:rPr>
          <w:rFonts w:ascii="Times New Roman" w:hAnsi="Times New Roman" w:cs="Times New Roman"/>
          <w:sz w:val="24"/>
          <w:szCs w:val="24"/>
        </w:rPr>
        <w:t>, avec une moyenne de 12,</w:t>
      </w:r>
      <w:r w:rsidRPr="00EB0638">
        <w:rPr>
          <w:rFonts w:ascii="Times New Roman" w:hAnsi="Times New Roman" w:cs="Times New Roman"/>
          <w:sz w:val="24"/>
          <w:szCs w:val="24"/>
        </w:rPr>
        <w:t>83 mm, par contre la population P''3 est caractérisée par les</w:t>
      </w:r>
      <w:r w:rsidR="00AF6DA3">
        <w:rPr>
          <w:rFonts w:ascii="Times New Roman" w:hAnsi="Times New Roman" w:cs="Times New Roman"/>
          <w:sz w:val="24"/>
          <w:szCs w:val="24"/>
        </w:rPr>
        <w:t xml:space="preserve"> fruits les plus courts avec 11,</w:t>
      </w:r>
      <w:r w:rsidRPr="00EB0638">
        <w:rPr>
          <w:rFonts w:ascii="Times New Roman" w:hAnsi="Times New Roman" w:cs="Times New Roman"/>
          <w:sz w:val="24"/>
          <w:szCs w:val="24"/>
        </w:rPr>
        <w:t>17 mm</w:t>
      </w:r>
      <w:r w:rsidR="00C2581C">
        <w:rPr>
          <w:rFonts w:ascii="Times New Roman" w:hAnsi="Times New Roman" w:cs="Times New Roman"/>
          <w:sz w:val="24"/>
          <w:szCs w:val="24"/>
        </w:rPr>
        <w:t>. Les</w:t>
      </w:r>
      <w:r w:rsidRPr="00EB0638">
        <w:rPr>
          <w:rFonts w:ascii="Times New Roman" w:hAnsi="Times New Roman" w:cs="Times New Roman"/>
          <w:sz w:val="24"/>
          <w:szCs w:val="24"/>
        </w:rPr>
        <w:t xml:space="preserve"> population</w:t>
      </w:r>
      <w:r w:rsidR="00C2581C">
        <w:rPr>
          <w:rFonts w:ascii="Times New Roman" w:hAnsi="Times New Roman" w:cs="Times New Roman"/>
          <w:sz w:val="24"/>
          <w:szCs w:val="24"/>
        </w:rPr>
        <w:t xml:space="preserve">s </w:t>
      </w:r>
      <w:r w:rsidRPr="00EB0638">
        <w:rPr>
          <w:rFonts w:ascii="Times New Roman" w:hAnsi="Times New Roman" w:cs="Times New Roman"/>
          <w:sz w:val="24"/>
          <w:szCs w:val="24"/>
        </w:rPr>
        <w:t xml:space="preserve"> </w:t>
      </w:r>
      <w:r w:rsidR="00C2581C">
        <w:rPr>
          <w:rFonts w:ascii="Times New Roman" w:hAnsi="Times New Roman" w:cs="Times New Roman"/>
          <w:sz w:val="24"/>
          <w:szCs w:val="24"/>
        </w:rPr>
        <w:t xml:space="preserve">P''2 et </w:t>
      </w:r>
      <w:r w:rsidRPr="00EB0638">
        <w:rPr>
          <w:rFonts w:ascii="Times New Roman" w:hAnsi="Times New Roman" w:cs="Times New Roman"/>
          <w:sz w:val="24"/>
          <w:szCs w:val="24"/>
        </w:rPr>
        <w:t>P''</w:t>
      </w:r>
      <w:r w:rsidR="00C2581C">
        <w:rPr>
          <w:rFonts w:ascii="Times New Roman" w:hAnsi="Times New Roman" w:cs="Times New Roman"/>
          <w:sz w:val="24"/>
          <w:szCs w:val="24"/>
        </w:rPr>
        <w:t>4 ont</w:t>
      </w:r>
      <w:r w:rsidRPr="00EB0638">
        <w:rPr>
          <w:rFonts w:ascii="Times New Roman" w:hAnsi="Times New Roman" w:cs="Times New Roman"/>
          <w:sz w:val="24"/>
          <w:szCs w:val="24"/>
        </w:rPr>
        <w:t xml:space="preserve"> présenté</w:t>
      </w:r>
      <w:r w:rsidR="00C2581C">
        <w:rPr>
          <w:rFonts w:ascii="Times New Roman" w:hAnsi="Times New Roman" w:cs="Times New Roman"/>
          <w:sz w:val="24"/>
          <w:szCs w:val="24"/>
        </w:rPr>
        <w:t>es des valeurs interm</w:t>
      </w:r>
      <w:r w:rsidR="00AF6DA3">
        <w:rPr>
          <w:rFonts w:ascii="Times New Roman" w:hAnsi="Times New Roman" w:cs="Times New Roman"/>
          <w:sz w:val="24"/>
          <w:szCs w:val="24"/>
        </w:rPr>
        <w:t>édiaires avec respectivement 12,</w:t>
      </w:r>
      <w:r w:rsidR="00C2581C">
        <w:rPr>
          <w:rFonts w:ascii="Times New Roman" w:hAnsi="Times New Roman" w:cs="Times New Roman"/>
          <w:sz w:val="24"/>
          <w:szCs w:val="24"/>
        </w:rPr>
        <w:t xml:space="preserve">02 et </w:t>
      </w:r>
      <w:r w:rsidR="00AF6DA3">
        <w:rPr>
          <w:rFonts w:ascii="Times New Roman" w:hAnsi="Times New Roman" w:cs="Times New Roman"/>
          <w:sz w:val="24"/>
          <w:szCs w:val="24"/>
        </w:rPr>
        <w:t xml:space="preserve"> 11,</w:t>
      </w:r>
      <w:r w:rsidRPr="00EB0638">
        <w:rPr>
          <w:rFonts w:ascii="Times New Roman" w:hAnsi="Times New Roman" w:cs="Times New Roman"/>
          <w:sz w:val="24"/>
          <w:szCs w:val="24"/>
        </w:rPr>
        <w:t xml:space="preserve">55 mm (Fig. 76).  </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indique des différences hautement significatives entre les populations (Anne</w:t>
      </w:r>
      <w:r w:rsidR="009A6FE4">
        <w:rPr>
          <w:rFonts w:ascii="Times New Roman" w:hAnsi="Times New Roman" w:cs="Times New Roman"/>
          <w:sz w:val="24"/>
          <w:szCs w:val="24"/>
        </w:rPr>
        <w:t>xe 10</w:t>
      </w:r>
      <w:r w:rsidRPr="00EB0638">
        <w:rPr>
          <w:rFonts w:ascii="Times New Roman" w:hAnsi="Times New Roman" w:cs="Times New Roman"/>
          <w:sz w:val="24"/>
          <w:szCs w:val="24"/>
        </w:rPr>
        <w:t>). On distingue deux groupes qui se chevauchent (Fig. 76).</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Diamètre moyen de la capsule (DCs)</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n’indique aucunes différences significatives</w:t>
      </w:r>
      <w:r w:rsidR="009A6FE4">
        <w:rPr>
          <w:rFonts w:ascii="Times New Roman" w:hAnsi="Times New Roman" w:cs="Times New Roman"/>
          <w:sz w:val="24"/>
          <w:szCs w:val="24"/>
        </w:rPr>
        <w:t xml:space="preserve"> entre les populations (Annexe 10</w:t>
      </w:r>
      <w:r w:rsidRPr="00EB0638">
        <w:rPr>
          <w:rFonts w:ascii="Times New Roman" w:hAnsi="Times New Roman" w:cs="Times New Roman"/>
          <w:sz w:val="24"/>
          <w:szCs w:val="24"/>
        </w:rPr>
        <w:t>). La moyenne gén</w:t>
      </w:r>
      <w:r w:rsidR="00AF6DA3">
        <w:rPr>
          <w:rFonts w:ascii="Times New Roman" w:hAnsi="Times New Roman" w:cs="Times New Roman"/>
          <w:sz w:val="24"/>
          <w:szCs w:val="24"/>
        </w:rPr>
        <w:t>érale de ce caractère est de 10,</w:t>
      </w:r>
      <w:r w:rsidRPr="00EB0638">
        <w:rPr>
          <w:rFonts w:ascii="Times New Roman" w:hAnsi="Times New Roman" w:cs="Times New Roman"/>
          <w:sz w:val="24"/>
          <w:szCs w:val="24"/>
        </w:rPr>
        <w:t>31 mm (Fig. 77).</w:t>
      </w: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4A2A5D" w:rsidRPr="00EB0638" w:rsidRDefault="004A2A5D" w:rsidP="006630A5">
      <w:pPr>
        <w:spacing w:before="240" w:line="360" w:lineRule="auto"/>
        <w:jc w:val="both"/>
        <w:rPr>
          <w:rFonts w:ascii="Times New Roman" w:hAnsi="Times New Roman" w:cs="Times New Roman"/>
          <w:sz w:val="24"/>
          <w:szCs w:val="24"/>
        </w:rPr>
      </w:pP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noProof/>
          <w:sz w:val="24"/>
          <w:szCs w:val="24"/>
        </w:rPr>
        <w:lastRenderedPageBreak/>
        <w:drawing>
          <wp:inline distT="0" distB="0" distL="0" distR="0">
            <wp:extent cx="5397699" cy="2336509"/>
            <wp:effectExtent l="18297" t="12199" r="13254" b="3967"/>
            <wp:docPr id="127"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4A2A5D" w:rsidRPr="00EB0638" w:rsidRDefault="00862AA3" w:rsidP="008B3CEC">
      <w:pPr>
        <w:pStyle w:val="Lgende"/>
        <w:spacing w:before="240" w:line="360" w:lineRule="auto"/>
        <w:jc w:val="center"/>
        <w:rPr>
          <w:rFonts w:asciiTheme="majorBidi" w:hAnsiTheme="majorBidi" w:cstheme="majorBidi"/>
          <w:color w:val="auto"/>
          <w:sz w:val="24"/>
          <w:szCs w:val="24"/>
        </w:rPr>
      </w:pPr>
      <w:bookmarkStart w:id="1676" w:name="_Toc252195012"/>
      <w:r w:rsidRPr="002F4810">
        <w:rPr>
          <w:rFonts w:asciiTheme="majorBidi" w:hAnsiTheme="majorBidi" w:cstheme="majorBidi"/>
          <w:color w:val="auto"/>
          <w:sz w:val="24"/>
          <w:szCs w:val="24"/>
        </w:rPr>
        <w:t xml:space="preserve">Fig. </w:t>
      </w:r>
      <w:r w:rsidR="00811D6A" w:rsidRPr="002F4810">
        <w:rPr>
          <w:rFonts w:asciiTheme="majorBidi" w:hAnsiTheme="majorBidi" w:cstheme="majorBidi"/>
          <w:color w:val="auto"/>
          <w:sz w:val="24"/>
          <w:szCs w:val="24"/>
        </w:rPr>
        <w:fldChar w:fldCharType="begin"/>
      </w:r>
      <w:r w:rsidRPr="002F4810">
        <w:rPr>
          <w:rFonts w:asciiTheme="majorBidi" w:hAnsiTheme="majorBidi" w:cstheme="majorBidi"/>
          <w:color w:val="auto"/>
          <w:sz w:val="24"/>
          <w:szCs w:val="24"/>
        </w:rPr>
        <w:instrText xml:space="preserve"> SEQ Figure \* ARABIC </w:instrText>
      </w:r>
      <w:r w:rsidR="00811D6A" w:rsidRPr="002F4810">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75</w:t>
      </w:r>
      <w:r w:rsidR="00811D6A" w:rsidRPr="002F4810">
        <w:rPr>
          <w:rFonts w:asciiTheme="majorBidi" w:hAnsiTheme="majorBidi" w:cstheme="majorBidi"/>
          <w:color w:val="auto"/>
          <w:sz w:val="24"/>
          <w:szCs w:val="24"/>
        </w:rPr>
        <w:fldChar w:fldCharType="end"/>
      </w:r>
      <w:r w:rsidRPr="002F4810">
        <w:rPr>
          <w:rFonts w:asciiTheme="majorBidi" w:hAnsiTheme="majorBidi" w:cstheme="majorBidi"/>
          <w:color w:val="auto"/>
          <w:sz w:val="24"/>
          <w:szCs w:val="24"/>
        </w:rPr>
        <w:t>:Nombre moyen de capsules par plant.</w:t>
      </w:r>
      <w:bookmarkEnd w:id="1676"/>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noProof/>
          <w:sz w:val="24"/>
          <w:szCs w:val="24"/>
        </w:rPr>
        <w:drawing>
          <wp:inline distT="0" distB="0" distL="0" distR="0">
            <wp:extent cx="5397699" cy="2336509"/>
            <wp:effectExtent l="19050" t="0" r="12501" b="6641"/>
            <wp:docPr id="128"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4A2A5D" w:rsidRPr="00EB0638" w:rsidRDefault="00862AA3" w:rsidP="008B3CEC">
      <w:pPr>
        <w:pStyle w:val="Lgende"/>
        <w:spacing w:before="240" w:line="360" w:lineRule="auto"/>
        <w:jc w:val="center"/>
        <w:rPr>
          <w:rFonts w:asciiTheme="majorBidi" w:hAnsiTheme="majorBidi" w:cstheme="majorBidi"/>
          <w:color w:val="auto"/>
          <w:sz w:val="24"/>
          <w:szCs w:val="24"/>
        </w:rPr>
      </w:pPr>
      <w:bookmarkStart w:id="1677" w:name="_Toc252195013"/>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76</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:Poids moyen de capsules</w:t>
      </w:r>
      <w:r w:rsidR="00952481">
        <w:rPr>
          <w:rFonts w:asciiTheme="majorBidi" w:hAnsiTheme="majorBidi" w:cstheme="majorBidi"/>
          <w:color w:val="auto"/>
          <w:sz w:val="24"/>
          <w:szCs w:val="24"/>
        </w:rPr>
        <w:t xml:space="preserve"> par plant en (</w:t>
      </w:r>
      <w:r w:rsidRPr="00EB0638">
        <w:rPr>
          <w:rFonts w:asciiTheme="majorBidi" w:hAnsiTheme="majorBidi" w:cstheme="majorBidi"/>
          <w:color w:val="auto"/>
          <w:sz w:val="24"/>
          <w:szCs w:val="24"/>
        </w:rPr>
        <w:t>g).</w:t>
      </w:r>
      <w:bookmarkEnd w:id="1677"/>
    </w:p>
    <w:p w:rsidR="004A2A5D" w:rsidRPr="00EB0638" w:rsidRDefault="004A2A5D" w:rsidP="008B3CEC">
      <w:pPr>
        <w:spacing w:before="240" w:line="360" w:lineRule="auto"/>
        <w:rPr>
          <w:rFonts w:ascii="Times New Roman" w:hAnsi="Times New Roman" w:cs="Times New Roman"/>
          <w:sz w:val="24"/>
          <w:szCs w:val="24"/>
        </w:rPr>
      </w:pPr>
      <w:r w:rsidRPr="00EB0638">
        <w:rPr>
          <w:rFonts w:ascii="Times New Roman" w:hAnsi="Times New Roman" w:cs="Times New Roman"/>
          <w:sz w:val="24"/>
          <w:szCs w:val="24"/>
        </w:rPr>
        <w:t xml:space="preserve">     </w:t>
      </w:r>
      <w:r w:rsidRPr="00EB0638">
        <w:rPr>
          <w:rFonts w:ascii="Times New Roman" w:hAnsi="Times New Roman" w:cs="Times New Roman"/>
          <w:noProof/>
          <w:sz w:val="24"/>
          <w:szCs w:val="24"/>
        </w:rPr>
        <w:drawing>
          <wp:inline distT="0" distB="0" distL="0" distR="0">
            <wp:extent cx="5397699" cy="2336509"/>
            <wp:effectExtent l="19050" t="0" r="12501" b="6641"/>
            <wp:docPr id="129"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4A2A5D" w:rsidRPr="00EB0638" w:rsidRDefault="00862AA3" w:rsidP="008B3CEC">
      <w:pPr>
        <w:pStyle w:val="Lgende"/>
        <w:spacing w:before="240" w:line="360" w:lineRule="auto"/>
        <w:jc w:val="center"/>
        <w:rPr>
          <w:rFonts w:asciiTheme="majorBidi" w:hAnsiTheme="majorBidi" w:cstheme="majorBidi"/>
          <w:color w:val="auto"/>
          <w:sz w:val="24"/>
          <w:szCs w:val="24"/>
        </w:rPr>
      </w:pPr>
      <w:bookmarkStart w:id="1678" w:name="_Toc252195014"/>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77</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 xml:space="preserve">:Longueur (LCs) et diamètre (DCs) </w:t>
      </w:r>
      <w:r w:rsidR="005B1114">
        <w:rPr>
          <w:rFonts w:asciiTheme="majorBidi" w:hAnsiTheme="majorBidi" w:cstheme="majorBidi"/>
          <w:color w:val="auto"/>
          <w:sz w:val="24"/>
          <w:szCs w:val="24"/>
        </w:rPr>
        <w:t xml:space="preserve">moyens </w:t>
      </w:r>
      <w:r w:rsidRPr="00EB0638">
        <w:rPr>
          <w:rFonts w:asciiTheme="majorBidi" w:hAnsiTheme="majorBidi" w:cstheme="majorBidi"/>
          <w:color w:val="auto"/>
          <w:sz w:val="24"/>
          <w:szCs w:val="24"/>
        </w:rPr>
        <w:t>d’une capsule en (mm).</w:t>
      </w:r>
      <w:bookmarkEnd w:id="1678"/>
    </w:p>
    <w:p w:rsidR="004A2A5D" w:rsidRPr="00EB0638" w:rsidRDefault="004A2A5D" w:rsidP="008B3CEC">
      <w:pPr>
        <w:spacing w:before="240" w:after="0" w:line="360" w:lineRule="auto"/>
        <w:jc w:val="both"/>
        <w:rPr>
          <w:rFonts w:ascii="Times New Roman" w:hAnsi="Times New Roman" w:cs="Times New Roman"/>
          <w:b/>
          <w:bCs/>
          <w:sz w:val="24"/>
          <w:szCs w:val="24"/>
        </w:rPr>
      </w:pP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valves par capsules (NVC)</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révèle une différence hautement significative</w:t>
      </w:r>
      <w:r w:rsidR="009817E2">
        <w:rPr>
          <w:rFonts w:ascii="Times New Roman" w:hAnsi="Times New Roman" w:cs="Times New Roman"/>
          <w:sz w:val="24"/>
          <w:szCs w:val="24"/>
        </w:rPr>
        <w:t xml:space="preserve"> entre les populations (Annexe 10</w:t>
      </w:r>
      <w:r w:rsidRPr="00EB0638">
        <w:rPr>
          <w:rFonts w:ascii="Times New Roman" w:hAnsi="Times New Roman" w:cs="Times New Roman"/>
          <w:sz w:val="24"/>
          <w:szCs w:val="24"/>
        </w:rPr>
        <w:t>). La moyenne la plus élevée est n</w:t>
      </w:r>
      <w:r w:rsidR="0046467A">
        <w:rPr>
          <w:rFonts w:ascii="Times New Roman" w:hAnsi="Times New Roman" w:cs="Times New Roman"/>
          <w:sz w:val="24"/>
          <w:szCs w:val="24"/>
        </w:rPr>
        <w:t>otée chez la population P''4 (5,</w:t>
      </w:r>
      <w:r w:rsidRPr="00EB0638">
        <w:rPr>
          <w:rFonts w:ascii="Times New Roman" w:hAnsi="Times New Roman" w:cs="Times New Roman"/>
          <w:sz w:val="24"/>
          <w:szCs w:val="24"/>
        </w:rPr>
        <w:t>62</w:t>
      </w:r>
      <w:r w:rsidR="009817E2">
        <w:rPr>
          <w:rFonts w:ascii="Times New Roman" w:hAnsi="Times New Roman" w:cs="Times New Roman"/>
          <w:sz w:val="24"/>
          <w:szCs w:val="24"/>
        </w:rPr>
        <w:t xml:space="preserve"> valves</w:t>
      </w:r>
      <w:r w:rsidRPr="00EB0638">
        <w:rPr>
          <w:rFonts w:ascii="Times New Roman" w:hAnsi="Times New Roman" w:cs="Times New Roman"/>
          <w:sz w:val="24"/>
          <w:szCs w:val="24"/>
        </w:rPr>
        <w:t>) représentant le groupe homogène A.</w:t>
      </w:r>
      <w:r w:rsidR="0046467A">
        <w:rPr>
          <w:rFonts w:ascii="Times New Roman" w:hAnsi="Times New Roman" w:cs="Times New Roman"/>
          <w:sz w:val="24"/>
          <w:szCs w:val="24"/>
        </w:rPr>
        <w:t xml:space="preserve"> Alors que la faible moyenne (5,</w:t>
      </w:r>
      <w:r w:rsidRPr="00EB0638">
        <w:rPr>
          <w:rFonts w:ascii="Times New Roman" w:hAnsi="Times New Roman" w:cs="Times New Roman"/>
          <w:sz w:val="24"/>
          <w:szCs w:val="24"/>
        </w:rPr>
        <w:t>23  valves) est enregistrée par la population P''</w:t>
      </w:r>
      <w:r w:rsidR="009A6FE4">
        <w:rPr>
          <w:rFonts w:ascii="Times New Roman" w:hAnsi="Times New Roman" w:cs="Times New Roman"/>
          <w:sz w:val="24"/>
          <w:szCs w:val="24"/>
        </w:rPr>
        <w:t>1 (groupe C) (Fig. 78 ; Annexe 10</w:t>
      </w:r>
      <w:r w:rsidRPr="00EB0638">
        <w:rPr>
          <w:rFonts w:ascii="Times New Roman" w:hAnsi="Times New Roman" w:cs="Times New Roman"/>
          <w:sz w:val="24"/>
          <w:szCs w:val="24"/>
        </w:rPr>
        <w:t>).</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graines saines (NGRS)</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population P''2 est celle qui se distingue par une production </w:t>
      </w:r>
      <w:r w:rsidR="0046467A">
        <w:rPr>
          <w:rFonts w:ascii="Times New Roman" w:hAnsi="Times New Roman" w:cs="Times New Roman"/>
          <w:sz w:val="24"/>
          <w:szCs w:val="24"/>
        </w:rPr>
        <w:t>importante de graine saines (76,</w:t>
      </w:r>
      <w:r w:rsidRPr="00EB0638">
        <w:rPr>
          <w:rFonts w:ascii="Times New Roman" w:hAnsi="Times New Roman" w:cs="Times New Roman"/>
          <w:sz w:val="24"/>
          <w:szCs w:val="24"/>
        </w:rPr>
        <w:t>82 graines), alors que la population P''1 produit un nombre moyen f</w:t>
      </w:r>
      <w:r w:rsidR="0046467A">
        <w:rPr>
          <w:rFonts w:ascii="Times New Roman" w:hAnsi="Times New Roman" w:cs="Times New Roman"/>
          <w:sz w:val="24"/>
          <w:szCs w:val="24"/>
        </w:rPr>
        <w:t>aible de graines saines avec 66,</w:t>
      </w:r>
      <w:r w:rsidRPr="00EB0638">
        <w:rPr>
          <w:rFonts w:ascii="Times New Roman" w:hAnsi="Times New Roman" w:cs="Times New Roman"/>
          <w:sz w:val="24"/>
          <w:szCs w:val="24"/>
        </w:rPr>
        <w:t>8 graines (Fig. 79).</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L’analyse de variance n’indique aucunes différences significatives </w:t>
      </w:r>
      <w:r w:rsidR="009A6FE4">
        <w:rPr>
          <w:rFonts w:ascii="Times New Roman" w:hAnsi="Times New Roman" w:cs="Times New Roman"/>
          <w:sz w:val="24"/>
          <w:szCs w:val="24"/>
        </w:rPr>
        <w:t>entre les populations (Annexe 10)</w:t>
      </w:r>
      <w:r w:rsidRPr="00EB0638">
        <w:rPr>
          <w:rFonts w:ascii="Times New Roman" w:hAnsi="Times New Roman" w:cs="Times New Roman"/>
          <w:sz w:val="24"/>
          <w:szCs w:val="24"/>
        </w:rPr>
        <w:t>.</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de graines avortées et échaudées (NGRAE)</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L’analyse de variance révèle une différence </w:t>
      </w:r>
      <w:r w:rsidR="00703B03">
        <w:rPr>
          <w:rFonts w:ascii="Times New Roman" w:hAnsi="Times New Roman" w:cs="Times New Roman"/>
          <w:sz w:val="24"/>
          <w:szCs w:val="24"/>
        </w:rPr>
        <w:t xml:space="preserve">très </w:t>
      </w:r>
      <w:r w:rsidRPr="00EB0638">
        <w:rPr>
          <w:rFonts w:ascii="Times New Roman" w:hAnsi="Times New Roman" w:cs="Times New Roman"/>
          <w:sz w:val="24"/>
          <w:szCs w:val="24"/>
        </w:rPr>
        <w:t>hautement significative</w:t>
      </w:r>
      <w:r w:rsidR="009A6FE4">
        <w:rPr>
          <w:rFonts w:ascii="Times New Roman" w:hAnsi="Times New Roman" w:cs="Times New Roman"/>
          <w:sz w:val="24"/>
          <w:szCs w:val="24"/>
        </w:rPr>
        <w:t xml:space="preserve"> entre les populations (Annexe 10</w:t>
      </w:r>
      <w:r w:rsidRPr="00EB0638">
        <w:rPr>
          <w:rFonts w:ascii="Times New Roman" w:hAnsi="Times New Roman" w:cs="Times New Roman"/>
          <w:sz w:val="24"/>
          <w:szCs w:val="24"/>
        </w:rPr>
        <w:t>).</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population P''1 représente le </w:t>
      </w:r>
      <w:r w:rsidR="00A96FB5">
        <w:rPr>
          <w:rFonts w:ascii="Times New Roman" w:hAnsi="Times New Roman" w:cs="Times New Roman"/>
          <w:sz w:val="24"/>
          <w:szCs w:val="24"/>
        </w:rPr>
        <w:t>groupe A avec une moyenne de 12,</w:t>
      </w:r>
      <w:r w:rsidRPr="00EB0638">
        <w:rPr>
          <w:rFonts w:ascii="Times New Roman" w:hAnsi="Times New Roman" w:cs="Times New Roman"/>
          <w:sz w:val="24"/>
          <w:szCs w:val="24"/>
        </w:rPr>
        <w:t>3 graines avortées et échaudées. La population P''</w:t>
      </w:r>
      <w:r w:rsidR="0046467A">
        <w:rPr>
          <w:rFonts w:ascii="Times New Roman" w:hAnsi="Times New Roman" w:cs="Times New Roman"/>
          <w:sz w:val="24"/>
          <w:szCs w:val="24"/>
        </w:rPr>
        <w:t>4 appartient au groupe B avec 8,</w:t>
      </w:r>
      <w:r w:rsidRPr="00EB0638">
        <w:rPr>
          <w:rFonts w:ascii="Times New Roman" w:hAnsi="Times New Roman" w:cs="Times New Roman"/>
          <w:sz w:val="24"/>
          <w:szCs w:val="24"/>
        </w:rPr>
        <w:t>7 graines avortées et échaudées. La population  P''</w:t>
      </w:r>
      <w:r w:rsidR="0046467A">
        <w:rPr>
          <w:rFonts w:ascii="Times New Roman" w:hAnsi="Times New Roman" w:cs="Times New Roman"/>
          <w:sz w:val="24"/>
          <w:szCs w:val="24"/>
        </w:rPr>
        <w:t>2 représente le groupe C avec 4,</w:t>
      </w:r>
      <w:r w:rsidRPr="00EB0638">
        <w:rPr>
          <w:rFonts w:ascii="Times New Roman" w:hAnsi="Times New Roman" w:cs="Times New Roman"/>
          <w:sz w:val="24"/>
          <w:szCs w:val="24"/>
        </w:rPr>
        <w:t>27 graines avortées et échaudées et la population P''</w:t>
      </w:r>
      <w:smartTag w:uri="urn:schemas-microsoft-com:office:smarttags" w:element="metricconverter">
        <w:smartTagPr>
          <w:attr w:name="ProductID" w:val="3 a"/>
        </w:smartTagPr>
        <w:r w:rsidRPr="00EB0638">
          <w:rPr>
            <w:rFonts w:ascii="Times New Roman" w:hAnsi="Times New Roman" w:cs="Times New Roman"/>
            <w:sz w:val="24"/>
            <w:szCs w:val="24"/>
          </w:rPr>
          <w:t>3 a</w:t>
        </w:r>
      </w:smartTag>
      <w:r w:rsidRPr="00EB0638">
        <w:rPr>
          <w:rFonts w:ascii="Times New Roman" w:hAnsi="Times New Roman" w:cs="Times New Roman"/>
          <w:sz w:val="24"/>
          <w:szCs w:val="24"/>
        </w:rPr>
        <w:t xml:space="preserve"> une</w:t>
      </w:r>
      <w:r w:rsidR="00BC21E7">
        <w:rPr>
          <w:rFonts w:ascii="Times New Roman" w:hAnsi="Times New Roman" w:cs="Times New Roman"/>
          <w:sz w:val="24"/>
          <w:szCs w:val="24"/>
        </w:rPr>
        <w:t xml:space="preserve"> valeur intermédiaire entre P''4</w:t>
      </w:r>
      <w:r w:rsidR="00A96FB5">
        <w:rPr>
          <w:rFonts w:ascii="Times New Roman" w:hAnsi="Times New Roman" w:cs="Times New Roman"/>
          <w:sz w:val="24"/>
          <w:szCs w:val="24"/>
        </w:rPr>
        <w:t xml:space="preserve"> et P''2 (groupe BC avec 7</w:t>
      </w:r>
      <w:r w:rsidR="0046467A">
        <w:rPr>
          <w:rFonts w:ascii="Times New Roman" w:hAnsi="Times New Roman" w:cs="Times New Roman"/>
          <w:sz w:val="24"/>
          <w:szCs w:val="24"/>
        </w:rPr>
        <w:t>,</w:t>
      </w:r>
      <w:r w:rsidRPr="00EB0638">
        <w:rPr>
          <w:rFonts w:ascii="Times New Roman" w:hAnsi="Times New Roman" w:cs="Times New Roman"/>
          <w:sz w:val="24"/>
          <w:szCs w:val="24"/>
        </w:rPr>
        <w:t>07 graines avortées et échaudées) (Fig. 79).</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Nombre moyen total de graines (NTGR)</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meilleure production totale de graines est enregist</w:t>
      </w:r>
      <w:r w:rsidR="0046467A">
        <w:rPr>
          <w:rFonts w:ascii="Times New Roman" w:hAnsi="Times New Roman" w:cs="Times New Roman"/>
          <w:sz w:val="24"/>
          <w:szCs w:val="24"/>
        </w:rPr>
        <w:t>rée par la population P''4  (83,</w:t>
      </w:r>
      <w:r w:rsidRPr="00EB0638">
        <w:rPr>
          <w:rFonts w:ascii="Times New Roman" w:hAnsi="Times New Roman" w:cs="Times New Roman"/>
          <w:sz w:val="24"/>
          <w:szCs w:val="24"/>
        </w:rPr>
        <w:t>1 graines). Alors que la population P''3 produit un nombre moye</w:t>
      </w:r>
      <w:r w:rsidR="0046467A">
        <w:rPr>
          <w:rFonts w:ascii="Times New Roman" w:hAnsi="Times New Roman" w:cs="Times New Roman"/>
          <w:sz w:val="24"/>
          <w:szCs w:val="24"/>
        </w:rPr>
        <w:t>n de graines minimal qui est 77,</w:t>
      </w:r>
      <w:r w:rsidRPr="00EB0638">
        <w:rPr>
          <w:rFonts w:ascii="Times New Roman" w:hAnsi="Times New Roman" w:cs="Times New Roman"/>
          <w:sz w:val="24"/>
          <w:szCs w:val="24"/>
        </w:rPr>
        <w:t>27 graines (Fig. 79).</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ne révèle aucune différence significative</w:t>
      </w:r>
      <w:r w:rsidR="009A6FE4">
        <w:rPr>
          <w:rFonts w:ascii="Times New Roman" w:hAnsi="Times New Roman" w:cs="Times New Roman"/>
          <w:sz w:val="24"/>
          <w:szCs w:val="24"/>
        </w:rPr>
        <w:t xml:space="preserve"> entre les populations (Annexe 10</w:t>
      </w:r>
      <w:r w:rsidRPr="00EB0638">
        <w:rPr>
          <w:rFonts w:ascii="Times New Roman" w:hAnsi="Times New Roman" w:cs="Times New Roman"/>
          <w:sz w:val="24"/>
          <w:szCs w:val="24"/>
        </w:rPr>
        <w:t>).</w:t>
      </w: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FF10A7" w:rsidRPr="00EB0638" w:rsidRDefault="00FF7FD3" w:rsidP="005535E2">
      <w:pPr>
        <w:spacing w:before="24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A2A5D" w:rsidRPr="00EB0638">
        <w:rPr>
          <w:rFonts w:ascii="Times New Roman" w:hAnsi="Times New Roman" w:cs="Times New Roman"/>
          <w:noProof/>
          <w:sz w:val="24"/>
          <w:szCs w:val="24"/>
        </w:rPr>
        <w:drawing>
          <wp:inline distT="0" distB="0" distL="0" distR="0">
            <wp:extent cx="5397699" cy="3238202"/>
            <wp:effectExtent l="18297" t="12161" r="13254" b="7187"/>
            <wp:docPr id="130"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4A2A5D" w:rsidRPr="00EB0638" w:rsidRDefault="00FF10A7" w:rsidP="005535E2">
      <w:pPr>
        <w:pStyle w:val="Lgende"/>
        <w:spacing w:before="240" w:line="360" w:lineRule="auto"/>
        <w:jc w:val="center"/>
        <w:rPr>
          <w:rFonts w:asciiTheme="majorBidi" w:hAnsiTheme="majorBidi" w:cstheme="majorBidi"/>
          <w:color w:val="auto"/>
          <w:sz w:val="24"/>
          <w:szCs w:val="24"/>
        </w:rPr>
      </w:pPr>
      <w:bookmarkStart w:id="1679" w:name="_Toc252195015"/>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78</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:Nombre moyen de valves par capsule.</w:t>
      </w:r>
      <w:bookmarkEnd w:id="1679"/>
    </w:p>
    <w:p w:rsidR="004A2A5D" w:rsidRPr="00EB0638" w:rsidRDefault="004A2A5D" w:rsidP="008B3CEC">
      <w:pPr>
        <w:spacing w:before="240" w:line="360" w:lineRule="auto"/>
        <w:jc w:val="center"/>
        <w:rPr>
          <w:rFonts w:ascii="Times New Roman" w:hAnsi="Times New Roman" w:cs="Times New Roman"/>
          <w:sz w:val="24"/>
          <w:szCs w:val="24"/>
        </w:rPr>
      </w:pPr>
      <w:r w:rsidRPr="00EB0638">
        <w:rPr>
          <w:rFonts w:ascii="Times New Roman" w:hAnsi="Times New Roman" w:cs="Times New Roman"/>
          <w:noProof/>
          <w:sz w:val="24"/>
          <w:szCs w:val="24"/>
        </w:rPr>
        <w:drawing>
          <wp:inline distT="0" distB="0" distL="0" distR="0">
            <wp:extent cx="5422195" cy="3239911"/>
            <wp:effectExtent l="19050" t="0" r="26105" b="0"/>
            <wp:docPr id="131" name="Graphiqu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4A2A5D" w:rsidRPr="00EB0638" w:rsidRDefault="00FF10A7" w:rsidP="008B3CEC">
      <w:pPr>
        <w:pStyle w:val="Lgende"/>
        <w:spacing w:before="240" w:line="360" w:lineRule="auto"/>
        <w:jc w:val="center"/>
        <w:rPr>
          <w:rFonts w:asciiTheme="majorBidi" w:hAnsiTheme="majorBidi" w:cstheme="majorBidi"/>
          <w:color w:val="auto"/>
          <w:sz w:val="24"/>
          <w:szCs w:val="24"/>
        </w:rPr>
      </w:pPr>
      <w:bookmarkStart w:id="1680" w:name="_Toc252195016"/>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79</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 xml:space="preserve">:Nombre </w:t>
      </w:r>
      <w:r w:rsidR="002822A1">
        <w:rPr>
          <w:rFonts w:asciiTheme="majorBidi" w:hAnsiTheme="majorBidi" w:cstheme="majorBidi"/>
          <w:color w:val="auto"/>
          <w:sz w:val="24"/>
          <w:szCs w:val="24"/>
        </w:rPr>
        <w:t xml:space="preserve">moyen </w:t>
      </w:r>
      <w:r w:rsidRPr="00EB0638">
        <w:rPr>
          <w:rFonts w:asciiTheme="majorBidi" w:hAnsiTheme="majorBidi" w:cstheme="majorBidi"/>
          <w:color w:val="auto"/>
          <w:sz w:val="24"/>
          <w:szCs w:val="24"/>
        </w:rPr>
        <w:t>de graines saines (NGRS), avortées-échaudées (NGRAE</w:t>
      </w:r>
      <w:r w:rsidR="00F934BC">
        <w:rPr>
          <w:rFonts w:asciiTheme="majorBidi" w:hAnsiTheme="majorBidi" w:cstheme="majorBidi"/>
          <w:color w:val="auto"/>
          <w:sz w:val="24"/>
          <w:szCs w:val="24"/>
        </w:rPr>
        <w:t>) et totales (NGRT) par capsule</w:t>
      </w:r>
      <w:r w:rsidRPr="00EB0638">
        <w:rPr>
          <w:rFonts w:asciiTheme="majorBidi" w:hAnsiTheme="majorBidi" w:cstheme="majorBidi"/>
          <w:color w:val="auto"/>
          <w:sz w:val="24"/>
          <w:szCs w:val="24"/>
        </w:rPr>
        <w:t>.</w:t>
      </w:r>
      <w:bookmarkEnd w:id="1680"/>
    </w:p>
    <w:p w:rsidR="004A2A5D" w:rsidRPr="00EB0638" w:rsidRDefault="004A2A5D" w:rsidP="008B3CEC">
      <w:pPr>
        <w:spacing w:before="240" w:after="0" w:line="360" w:lineRule="auto"/>
        <w:jc w:val="center"/>
        <w:rPr>
          <w:rFonts w:ascii="Times New Roman" w:hAnsi="Times New Roman" w:cs="Times New Roman"/>
          <w:b/>
          <w:bCs/>
          <w:sz w:val="24"/>
          <w:szCs w:val="24"/>
        </w:rPr>
      </w:pPr>
    </w:p>
    <w:p w:rsidR="004A2A5D" w:rsidRPr="00EB0638" w:rsidRDefault="004A2A5D" w:rsidP="008B3CEC">
      <w:pPr>
        <w:spacing w:before="240" w:after="0" w:line="360" w:lineRule="auto"/>
        <w:jc w:val="center"/>
        <w:rPr>
          <w:rFonts w:ascii="Times New Roman" w:hAnsi="Times New Roman" w:cs="Times New Roman"/>
          <w:b/>
          <w:bCs/>
          <w:sz w:val="24"/>
          <w:szCs w:val="24"/>
        </w:rPr>
      </w:pPr>
    </w:p>
    <w:p w:rsidR="004A2A5D" w:rsidRPr="00EB0638" w:rsidRDefault="004A2A5D" w:rsidP="008B3CEC">
      <w:pPr>
        <w:spacing w:before="240" w:after="0" w:line="360" w:lineRule="auto"/>
        <w:jc w:val="both"/>
        <w:rPr>
          <w:rFonts w:ascii="Times New Roman" w:hAnsi="Times New Roman" w:cs="Times New Roman"/>
          <w:sz w:val="24"/>
          <w:szCs w:val="24"/>
        </w:rPr>
      </w:pPr>
    </w:p>
    <w:p w:rsidR="004A2A5D" w:rsidRPr="002F4810"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2F4810">
        <w:rPr>
          <w:rFonts w:ascii="Times New Roman" w:hAnsi="Times New Roman" w:cs="Times New Roman"/>
          <w:b/>
          <w:bCs/>
          <w:sz w:val="24"/>
          <w:szCs w:val="24"/>
        </w:rPr>
        <w:t>Poids moyen d’une capsule (PCs)</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présentent des moye</w:t>
      </w:r>
      <w:r w:rsidR="0046467A">
        <w:rPr>
          <w:rFonts w:ascii="Times New Roman" w:hAnsi="Times New Roman" w:cs="Times New Roman"/>
          <w:sz w:val="24"/>
          <w:szCs w:val="24"/>
        </w:rPr>
        <w:t>nnes semblables variant entre 0,28 et 0,</w:t>
      </w:r>
      <w:r w:rsidR="00952481">
        <w:rPr>
          <w:rFonts w:ascii="Times New Roman" w:hAnsi="Times New Roman" w:cs="Times New Roman"/>
          <w:sz w:val="24"/>
          <w:szCs w:val="24"/>
        </w:rPr>
        <w:t xml:space="preserve">31 </w:t>
      </w:r>
      <w:r w:rsidRPr="00EB0638">
        <w:rPr>
          <w:rFonts w:ascii="Times New Roman" w:hAnsi="Times New Roman" w:cs="Times New Roman"/>
          <w:sz w:val="24"/>
          <w:szCs w:val="24"/>
        </w:rPr>
        <w:t>g (Fig. 80).</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variance n’a donné aucune différence significative</w:t>
      </w:r>
      <w:r w:rsidR="009A6FE4">
        <w:rPr>
          <w:rFonts w:ascii="Times New Roman" w:hAnsi="Times New Roman" w:cs="Times New Roman"/>
          <w:sz w:val="24"/>
          <w:szCs w:val="24"/>
        </w:rPr>
        <w:t xml:space="preserve"> entre les populations (Annexe 10</w:t>
      </w:r>
      <w:r w:rsidRPr="00EB0638">
        <w:rPr>
          <w:rFonts w:ascii="Times New Roman" w:hAnsi="Times New Roman" w:cs="Times New Roman"/>
          <w:sz w:val="24"/>
          <w:szCs w:val="24"/>
        </w:rPr>
        <w:t>).</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Poids moyen de graines saines par capsule (PGRSCs)</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L’analyse de variance n’indique aucune différence significative entre les populations. Ceci suggère une homogénéité des moyennes, en ce qui concerne </w:t>
      </w:r>
      <w:r w:rsidR="009A6FE4">
        <w:rPr>
          <w:rFonts w:ascii="Times New Roman" w:hAnsi="Times New Roman" w:cs="Times New Roman"/>
          <w:sz w:val="24"/>
          <w:szCs w:val="24"/>
        </w:rPr>
        <w:t>ce caractère (Fig. 80 ; Annexe 10</w:t>
      </w:r>
      <w:r w:rsidRPr="00EB0638">
        <w:rPr>
          <w:rFonts w:ascii="Times New Roman" w:hAnsi="Times New Roman" w:cs="Times New Roman"/>
          <w:sz w:val="24"/>
          <w:szCs w:val="24"/>
        </w:rPr>
        <w:t>).</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Poids moyen de 1000 graines (P1000)</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Les résultats de ce caractère semblent homogènes pour les populations étudiées (Fig. 81).  </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En effet, l’analyse de la variance ne révèle aucune différence significative</w:t>
      </w:r>
      <w:r w:rsidR="009A6FE4">
        <w:rPr>
          <w:rFonts w:ascii="Times New Roman" w:hAnsi="Times New Roman" w:cs="Times New Roman"/>
          <w:sz w:val="24"/>
          <w:szCs w:val="24"/>
        </w:rPr>
        <w:t xml:space="preserve"> entre les populations (Annexe 10</w:t>
      </w:r>
      <w:r w:rsidRPr="00EB0638">
        <w:rPr>
          <w:rFonts w:ascii="Times New Roman" w:hAnsi="Times New Roman" w:cs="Times New Roman"/>
          <w:sz w:val="24"/>
          <w:szCs w:val="24"/>
        </w:rPr>
        <w:t>).</w:t>
      </w:r>
    </w:p>
    <w:p w:rsidR="004A2A5D" w:rsidRPr="00EB0638" w:rsidRDefault="004A2A5D" w:rsidP="008B3CEC">
      <w:pPr>
        <w:pStyle w:val="Paragraphedeliste"/>
        <w:numPr>
          <w:ilvl w:val="0"/>
          <w:numId w:val="29"/>
        </w:numPr>
        <w:spacing w:before="240" w:line="360" w:lineRule="auto"/>
        <w:contextualSpacing w:val="0"/>
        <w:jc w:val="both"/>
        <w:rPr>
          <w:rFonts w:ascii="Times New Roman" w:hAnsi="Times New Roman" w:cs="Times New Roman"/>
          <w:b/>
          <w:bCs/>
          <w:sz w:val="24"/>
          <w:szCs w:val="24"/>
        </w:rPr>
      </w:pPr>
      <w:r w:rsidRPr="00EB0638">
        <w:rPr>
          <w:rFonts w:ascii="Times New Roman" w:hAnsi="Times New Roman" w:cs="Times New Roman"/>
          <w:b/>
          <w:bCs/>
          <w:sz w:val="24"/>
          <w:szCs w:val="24"/>
        </w:rPr>
        <w:t>Rendement moyen en graines estimé par parcelle (RGP)</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rendement moy</w:t>
      </w:r>
      <w:r w:rsidR="0046467A">
        <w:rPr>
          <w:rFonts w:ascii="Times New Roman" w:hAnsi="Times New Roman" w:cs="Times New Roman"/>
          <w:sz w:val="24"/>
          <w:szCs w:val="24"/>
        </w:rPr>
        <w:t>en général parcellaire est de 0,</w:t>
      </w:r>
      <w:r w:rsidRPr="00EB0638">
        <w:rPr>
          <w:rFonts w:ascii="Times New Roman" w:hAnsi="Times New Roman" w:cs="Times New Roman"/>
          <w:sz w:val="24"/>
          <w:szCs w:val="24"/>
        </w:rPr>
        <w:t>12 kg (Fig. 82).</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L’analyse de la variance a donné des différences non significatives entre les populations. Ceci suggère une homogénéité c</w:t>
      </w:r>
      <w:r w:rsidR="009A6FE4">
        <w:rPr>
          <w:rFonts w:ascii="Times New Roman" w:hAnsi="Times New Roman" w:cs="Times New Roman"/>
          <w:sz w:val="24"/>
          <w:szCs w:val="24"/>
        </w:rPr>
        <w:t>oncernant ce caractère (Annexe 10</w:t>
      </w:r>
      <w:r w:rsidRPr="00EB0638">
        <w:rPr>
          <w:rFonts w:ascii="Times New Roman" w:hAnsi="Times New Roman" w:cs="Times New Roman"/>
          <w:sz w:val="24"/>
          <w:szCs w:val="24"/>
        </w:rPr>
        <w:t>).</w:t>
      </w: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4A2A5D" w:rsidRPr="00EB0638" w:rsidRDefault="004A2A5D" w:rsidP="008B3CEC">
      <w:pPr>
        <w:spacing w:before="240" w:line="360" w:lineRule="auto"/>
        <w:ind w:firstLine="284"/>
        <w:jc w:val="both"/>
        <w:rPr>
          <w:rFonts w:ascii="Times New Roman" w:hAnsi="Times New Roman" w:cs="Times New Roman"/>
          <w:sz w:val="24"/>
          <w:szCs w:val="24"/>
        </w:rPr>
      </w:pPr>
    </w:p>
    <w:p w:rsidR="00FF10A7" w:rsidRPr="000E391A" w:rsidRDefault="00581F9C" w:rsidP="000E391A">
      <w:pPr>
        <w:spacing w:before="240" w:after="0" w:line="360" w:lineRule="auto"/>
        <w:jc w:val="center"/>
        <w:rPr>
          <w:rFonts w:ascii="Times New Roman" w:hAnsi="Times New Roman" w:cs="Times New Roman"/>
          <w:noProof/>
          <w:sz w:val="24"/>
          <w:szCs w:val="24"/>
        </w:rPr>
      </w:pPr>
      <w:r w:rsidRPr="00581F9C">
        <w:rPr>
          <w:rFonts w:ascii="Times New Roman" w:hAnsi="Times New Roman" w:cs="Times New Roman"/>
          <w:noProof/>
          <w:sz w:val="24"/>
          <w:szCs w:val="24"/>
        </w:rPr>
        <w:lastRenderedPageBreak/>
        <w:drawing>
          <wp:inline distT="0" distB="0" distL="0" distR="0">
            <wp:extent cx="5468240" cy="2458193"/>
            <wp:effectExtent l="19050" t="0" r="18160" b="0"/>
            <wp:docPr id="2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4A2A5D" w:rsidRPr="00EB0638" w:rsidRDefault="00FF10A7" w:rsidP="008B3CEC">
      <w:pPr>
        <w:pStyle w:val="Lgende"/>
        <w:spacing w:before="240" w:line="360" w:lineRule="auto"/>
        <w:jc w:val="center"/>
        <w:rPr>
          <w:rFonts w:asciiTheme="majorBidi" w:hAnsiTheme="majorBidi" w:cstheme="majorBidi"/>
          <w:color w:val="auto"/>
          <w:sz w:val="24"/>
          <w:szCs w:val="24"/>
        </w:rPr>
      </w:pPr>
      <w:bookmarkStart w:id="1681" w:name="_Toc252195017"/>
      <w:r w:rsidRPr="00EF0273">
        <w:rPr>
          <w:rFonts w:asciiTheme="majorBidi" w:hAnsiTheme="majorBidi" w:cstheme="majorBidi"/>
          <w:color w:val="auto"/>
          <w:sz w:val="24"/>
          <w:szCs w:val="24"/>
        </w:rPr>
        <w:t xml:space="preserve">Fig. </w:t>
      </w:r>
      <w:r w:rsidR="00811D6A" w:rsidRPr="00EF0273">
        <w:rPr>
          <w:rFonts w:asciiTheme="majorBidi" w:hAnsiTheme="majorBidi" w:cstheme="majorBidi"/>
          <w:color w:val="auto"/>
          <w:sz w:val="24"/>
          <w:szCs w:val="24"/>
        </w:rPr>
        <w:fldChar w:fldCharType="begin"/>
      </w:r>
      <w:r w:rsidRPr="00EF0273">
        <w:rPr>
          <w:rFonts w:asciiTheme="majorBidi" w:hAnsiTheme="majorBidi" w:cstheme="majorBidi"/>
          <w:color w:val="auto"/>
          <w:sz w:val="24"/>
          <w:szCs w:val="24"/>
        </w:rPr>
        <w:instrText xml:space="preserve"> SEQ Figure \* ARABIC </w:instrText>
      </w:r>
      <w:r w:rsidR="00811D6A" w:rsidRPr="00EF0273">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80</w:t>
      </w:r>
      <w:r w:rsidR="00811D6A" w:rsidRPr="00EF0273">
        <w:rPr>
          <w:rFonts w:asciiTheme="majorBidi" w:hAnsiTheme="majorBidi" w:cstheme="majorBidi"/>
          <w:color w:val="auto"/>
          <w:sz w:val="24"/>
          <w:szCs w:val="24"/>
        </w:rPr>
        <w:fldChar w:fldCharType="end"/>
      </w:r>
      <w:r w:rsidRPr="00EF0273">
        <w:rPr>
          <w:rFonts w:asciiTheme="majorBidi" w:hAnsiTheme="majorBidi" w:cstheme="majorBidi"/>
          <w:color w:val="auto"/>
          <w:sz w:val="24"/>
          <w:szCs w:val="24"/>
        </w:rPr>
        <w:t xml:space="preserve">:Poids </w:t>
      </w:r>
      <w:r w:rsidR="00FE40F9" w:rsidRPr="00EF0273">
        <w:rPr>
          <w:rFonts w:asciiTheme="majorBidi" w:hAnsiTheme="majorBidi" w:cstheme="majorBidi"/>
          <w:color w:val="auto"/>
          <w:sz w:val="24"/>
          <w:szCs w:val="24"/>
        </w:rPr>
        <w:t>moyen d’une capsule (PCs) et de</w:t>
      </w:r>
      <w:r w:rsidR="00C30E74" w:rsidRPr="00EF0273">
        <w:rPr>
          <w:rFonts w:asciiTheme="majorBidi" w:hAnsiTheme="majorBidi" w:cstheme="majorBidi"/>
          <w:color w:val="auto"/>
          <w:sz w:val="24"/>
          <w:szCs w:val="24"/>
        </w:rPr>
        <w:t>s</w:t>
      </w:r>
      <w:r w:rsidRPr="00EF0273">
        <w:rPr>
          <w:rFonts w:asciiTheme="majorBidi" w:hAnsiTheme="majorBidi" w:cstheme="majorBidi"/>
          <w:color w:val="auto"/>
          <w:sz w:val="24"/>
          <w:szCs w:val="24"/>
        </w:rPr>
        <w:t xml:space="preserve"> graines </w:t>
      </w:r>
      <w:r w:rsidR="00952481" w:rsidRPr="00EF0273">
        <w:rPr>
          <w:rFonts w:asciiTheme="majorBidi" w:hAnsiTheme="majorBidi" w:cstheme="majorBidi"/>
          <w:color w:val="auto"/>
          <w:sz w:val="24"/>
          <w:szCs w:val="24"/>
        </w:rPr>
        <w:t>saines (PGRS</w:t>
      </w:r>
      <w:r w:rsidR="000E391A">
        <w:rPr>
          <w:rFonts w:asciiTheme="majorBidi" w:hAnsiTheme="majorBidi" w:cstheme="majorBidi"/>
          <w:color w:val="auto"/>
          <w:sz w:val="24"/>
          <w:szCs w:val="24"/>
        </w:rPr>
        <w:t>Cs</w:t>
      </w:r>
      <w:r w:rsidR="00952481" w:rsidRPr="00EF0273">
        <w:rPr>
          <w:rFonts w:asciiTheme="majorBidi" w:hAnsiTheme="majorBidi" w:cstheme="majorBidi"/>
          <w:color w:val="auto"/>
          <w:sz w:val="24"/>
          <w:szCs w:val="24"/>
        </w:rPr>
        <w:t>) par capsules en (</w:t>
      </w:r>
      <w:r w:rsidRPr="00EF0273">
        <w:rPr>
          <w:rFonts w:asciiTheme="majorBidi" w:hAnsiTheme="majorBidi" w:cstheme="majorBidi"/>
          <w:color w:val="auto"/>
          <w:sz w:val="24"/>
          <w:szCs w:val="24"/>
        </w:rPr>
        <w:t>g).</w:t>
      </w:r>
      <w:bookmarkEnd w:id="1681"/>
    </w:p>
    <w:p w:rsidR="00FF10A7" w:rsidRPr="00EB0638" w:rsidRDefault="004A2A5D" w:rsidP="008B3CEC">
      <w:pPr>
        <w:spacing w:before="240" w:after="0" w:line="360" w:lineRule="auto"/>
        <w:jc w:val="center"/>
        <w:rPr>
          <w:rFonts w:ascii="Times New Roman" w:hAnsi="Times New Roman" w:cs="Times New Roman"/>
          <w:sz w:val="24"/>
          <w:szCs w:val="24"/>
        </w:rPr>
      </w:pPr>
      <w:r w:rsidRPr="00EB0638">
        <w:rPr>
          <w:rFonts w:ascii="Times New Roman" w:hAnsi="Times New Roman" w:cs="Times New Roman"/>
          <w:noProof/>
          <w:sz w:val="24"/>
          <w:szCs w:val="24"/>
        </w:rPr>
        <w:drawing>
          <wp:inline distT="0" distB="0" distL="0" distR="0">
            <wp:extent cx="5383397" cy="2268000"/>
            <wp:effectExtent l="19050" t="0" r="26803" b="0"/>
            <wp:docPr id="133"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4A2A5D" w:rsidRPr="00EB0638" w:rsidRDefault="00FF10A7" w:rsidP="00073983">
      <w:pPr>
        <w:pStyle w:val="Lgende"/>
        <w:spacing w:before="240" w:line="360" w:lineRule="auto"/>
        <w:jc w:val="center"/>
        <w:rPr>
          <w:rFonts w:asciiTheme="majorBidi" w:hAnsiTheme="majorBidi" w:cstheme="majorBidi"/>
          <w:color w:val="auto"/>
          <w:sz w:val="24"/>
          <w:szCs w:val="24"/>
        </w:rPr>
      </w:pPr>
      <w:bookmarkStart w:id="1682" w:name="_Toc252195018"/>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81</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w:t>
      </w:r>
      <w:bookmarkEnd w:id="1682"/>
      <w:r w:rsidR="00073983" w:rsidRPr="00073983">
        <w:rPr>
          <w:rFonts w:ascii="Times New Roman" w:hAnsi="Times New Roman" w:cs="Times New Roman"/>
          <w:sz w:val="24"/>
          <w:szCs w:val="24"/>
        </w:rPr>
        <w:t xml:space="preserve"> </w:t>
      </w:r>
      <w:r w:rsidR="00073983" w:rsidRPr="00073983">
        <w:rPr>
          <w:rFonts w:asciiTheme="majorBidi" w:hAnsiTheme="majorBidi" w:cstheme="majorBidi"/>
          <w:color w:val="auto"/>
          <w:sz w:val="24"/>
          <w:szCs w:val="24"/>
        </w:rPr>
        <w:t>Poids moyen de 1000 graines</w:t>
      </w:r>
      <w:r w:rsidR="00794D9B">
        <w:rPr>
          <w:rFonts w:asciiTheme="majorBidi" w:hAnsiTheme="majorBidi" w:cstheme="majorBidi"/>
          <w:color w:val="auto"/>
          <w:sz w:val="24"/>
          <w:szCs w:val="24"/>
        </w:rPr>
        <w:t xml:space="preserve"> en (</w:t>
      </w:r>
      <w:r w:rsidR="00073983">
        <w:rPr>
          <w:rFonts w:asciiTheme="majorBidi" w:hAnsiTheme="majorBidi" w:cstheme="majorBidi"/>
          <w:color w:val="auto"/>
          <w:sz w:val="24"/>
          <w:szCs w:val="24"/>
        </w:rPr>
        <w:t>g)</w:t>
      </w:r>
    </w:p>
    <w:p w:rsidR="004A2A5D" w:rsidRPr="00EB0638" w:rsidRDefault="004A2A5D" w:rsidP="008B3CEC">
      <w:pPr>
        <w:spacing w:before="240" w:after="0" w:line="360" w:lineRule="auto"/>
        <w:jc w:val="center"/>
        <w:rPr>
          <w:rFonts w:ascii="Times New Roman" w:hAnsi="Times New Roman" w:cs="Times New Roman"/>
          <w:b/>
          <w:bCs/>
          <w:sz w:val="24"/>
          <w:szCs w:val="24"/>
        </w:rPr>
      </w:pPr>
      <w:r w:rsidRPr="00EB0638">
        <w:rPr>
          <w:rFonts w:ascii="Times New Roman" w:hAnsi="Times New Roman" w:cs="Times New Roman"/>
          <w:b/>
          <w:bCs/>
          <w:noProof/>
          <w:sz w:val="24"/>
          <w:szCs w:val="24"/>
        </w:rPr>
        <w:drawing>
          <wp:inline distT="0" distB="0" distL="0" distR="0">
            <wp:extent cx="5402758" cy="2268000"/>
            <wp:effectExtent l="19050" t="0" r="26492" b="0"/>
            <wp:docPr id="134"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4A2A5D" w:rsidRPr="00EB0638" w:rsidRDefault="00FF10A7" w:rsidP="008B3CEC">
      <w:pPr>
        <w:pStyle w:val="Lgende"/>
        <w:spacing w:before="240" w:line="360" w:lineRule="auto"/>
        <w:jc w:val="center"/>
        <w:rPr>
          <w:rFonts w:asciiTheme="majorBidi" w:hAnsiTheme="majorBidi" w:cstheme="majorBidi"/>
          <w:color w:val="auto"/>
          <w:sz w:val="24"/>
          <w:szCs w:val="24"/>
        </w:rPr>
      </w:pPr>
      <w:bookmarkStart w:id="1683" w:name="_Toc252195019"/>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82</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:Rendement moyen en graines estimé par parcelle en (kg).</w:t>
      </w:r>
      <w:bookmarkEnd w:id="1683"/>
    </w:p>
    <w:p w:rsidR="00FF10A7" w:rsidRPr="00EB0638" w:rsidRDefault="00FF10A7" w:rsidP="008B3CEC">
      <w:pPr>
        <w:spacing w:before="240" w:line="360" w:lineRule="auto"/>
        <w:jc w:val="both"/>
        <w:rPr>
          <w:rFonts w:ascii="Times New Roman" w:hAnsi="Times New Roman" w:cs="Times New Roman"/>
          <w:b/>
          <w:bCs/>
          <w:sz w:val="24"/>
          <w:szCs w:val="24"/>
        </w:rPr>
      </w:pPr>
    </w:p>
    <w:p w:rsidR="004A2A5D" w:rsidRPr="00EB0638" w:rsidRDefault="004A2A5D" w:rsidP="00DA0812">
      <w:pPr>
        <w:pStyle w:val="Titre1"/>
        <w:numPr>
          <w:ilvl w:val="0"/>
          <w:numId w:val="51"/>
        </w:numPr>
        <w:spacing w:before="240" w:after="240" w:line="360" w:lineRule="auto"/>
        <w:rPr>
          <w:rFonts w:ascii="Times New Roman" w:hAnsi="Times New Roman"/>
          <w:color w:val="auto"/>
        </w:rPr>
      </w:pPr>
      <w:bookmarkStart w:id="1684" w:name="_Toc126576871"/>
      <w:bookmarkStart w:id="1685" w:name="_Toc252094080"/>
      <w:bookmarkStart w:id="1686" w:name="_Toc252365469"/>
      <w:bookmarkStart w:id="1687" w:name="_Toc252365740"/>
      <w:bookmarkStart w:id="1688" w:name="_Toc252366285"/>
      <w:r w:rsidRPr="00EB0638">
        <w:rPr>
          <w:rFonts w:ascii="Times New Roman" w:hAnsi="Times New Roman"/>
          <w:color w:val="auto"/>
        </w:rPr>
        <w:t>Matrice des corrélations</w:t>
      </w:r>
      <w:bookmarkEnd w:id="1684"/>
      <w:bookmarkEnd w:id="1685"/>
      <w:bookmarkEnd w:id="1686"/>
      <w:bookmarkEnd w:id="1687"/>
      <w:bookmarkEnd w:id="1688"/>
    </w:p>
    <w:p w:rsidR="004A2A5D" w:rsidRPr="00EB0638" w:rsidRDefault="004A2A5D" w:rsidP="008B3CEC">
      <w:pPr>
        <w:tabs>
          <w:tab w:val="left" w:pos="2127"/>
        </w:tabs>
        <w:spacing w:before="240" w:line="360" w:lineRule="auto"/>
        <w:ind w:left="360"/>
        <w:jc w:val="both"/>
        <w:rPr>
          <w:rFonts w:ascii="Times New Roman" w:hAnsi="Times New Roman" w:cs="Times New Roman"/>
          <w:sz w:val="24"/>
          <w:szCs w:val="24"/>
        </w:rPr>
      </w:pPr>
      <w:r w:rsidRPr="00EB0638">
        <w:rPr>
          <w:rFonts w:ascii="Times New Roman" w:hAnsi="Times New Roman" w:cs="Times New Roman"/>
          <w:sz w:val="24"/>
          <w:szCs w:val="24"/>
        </w:rPr>
        <w:t>D’après la m</w:t>
      </w:r>
      <w:r w:rsidR="009A6FE4">
        <w:rPr>
          <w:rFonts w:ascii="Times New Roman" w:hAnsi="Times New Roman" w:cs="Times New Roman"/>
          <w:sz w:val="24"/>
          <w:szCs w:val="24"/>
        </w:rPr>
        <w:t>atrice de corrélation (Annexe 11</w:t>
      </w:r>
      <w:r w:rsidRPr="00EB0638">
        <w:rPr>
          <w:rFonts w:ascii="Times New Roman" w:hAnsi="Times New Roman" w:cs="Times New Roman"/>
          <w:sz w:val="24"/>
          <w:szCs w:val="24"/>
        </w:rPr>
        <w:t>), on a remarqué que :</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La vitesse moyenne de germination journalière et la valeur germinative moyenne sont corrélées positivement avec le stade bouton florale, le début floraison, la fin floraison, la formation des capsules et la vitesse moyenne de croissance en hauteur, ainsi que la durée de floraison, le nombre moyen de ramifications primaires, secondaires totales, de capsules par plant, le poids moyen des capsules, le rendement moyen parcellaire estimé en graines, et négativement au stade maturité, diamètre d’une capsule, nombre moyen de graines avortées et échaudées, poids moyen de graines saines et de 1000 graines.</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La capacité moyenne de germination est corrélée positivement avec la vitesse moyenne de germination journalière, la valeur germinative moyenne, le stade bouton florale, le début floraison, la fin floraison, la formation des capsules, la vitesse moyenne de croissance en hauteur, la durée de floraison, le nombre moyen de ramifications primaires, tertiaires, totales, de capsules par plant et négativement au stade maturité, diamètre d’une capsule, nombre moyen total de graines, de graines avortées et échaudées et le poids moyen de graines saines.</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pourcentage moyen de levée est corrélé positivement avec le stade pleine floraison, la longueur et le poids moyen d’une capsule, le rendement moyen parcellaire estimé en graines et négativement au poids moyen de 1000 graines.</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Les populations tardives au stade bouton floral et début floraison présentent une longue durée entre le stade semis et le stade fin floraison et formation des capsules ; la vitesse moyenne de croissance en hauteur, la durée de floraison, le nombre moyen de ramifications primaires, secondaires et totales, et de capsules par plant, le poids moyen des capsules sont élevés. Par contre, ces populations sont caractérisées par un stade précoce à la pleine floraison et à la maturité, des petites capsules avec un nombre moyen de graines avortées et échaudées faibles.</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 stade pleine floraison et le stade maturité sont corrélés positivement avec la longueur et le diamètre moyens d’une capsule, le nombre moyen total de graines, le poids moyen de la capsule, des graines saines et négativement à la vitesse moyenne de croissance en hauteur, la durée de floraison, le nombre moyen de ramifications totales, secondaires et des capsules par plant.</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lastRenderedPageBreak/>
        <w:t>La vitesse moyenne de croissance en hauteur est corrélée positivement avec la durée de floraison, le nombre moyen de ramifications totales, primaires et secondaires, le nombre et le poids moyens des capsules, et négativement à la longueur, le diamètre moyen de la capsule, le nombre moyen de graines avortées et échaudées et le poids moyen de graines saines.</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Les populations tardives au stade fin floraison et à la formation des capsules présentent une vitesse moyenne de croissance en hauteur, une durée de floraison, un nombre moyen de ramifications tertiaires importants, mais elles sont caractérisées par une précocité à la maturité, le diamètre de la capsule, le nombre moyen total de graines et le poids moyen de graines saines faibles.</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Les populations qui présentent une longue durée de floraison ont un nombre moyen de ramifications secondaires, tertiaires, totales, et de capsules par plant élevés, mais le diamètre moyen d’une capsule et le nombre moyen de valves par capsule sont faibles. Ce dernier caractère est corrélé positivement au nombre moyen de graines saines.</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Les populations qui sont caractérisées par des petites capsules ont données un nombre moyen important de ramifications totales et de capsules.</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Les capsules à faible longueur sont lourdes et présentent beaucoup de valves et de graines.</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Les populations qui produisent un nombre moyen de ramifications primaires et secondaires importants sont celles qui donnent un nombre moyen total de ramifications, de capsules, de graines saines et de poids moyen de capsules importants, mais leurs capsules sont de petite longueur.</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 xml:space="preserve">Des corrélations significatives de signe négatives existent entre le nombre moyen de ramifications tertiaires et le poids moyen des capsules par plant, le diamètre moyen d’une capsule, le nombre moyen de valves et de graines saines. </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 xml:space="preserve">Des corrélations positives existent entre le nombre moyen total de graines, le poids moyen d’une capsule et de graines saines. </w:t>
      </w:r>
    </w:p>
    <w:p w:rsidR="004A2A5D" w:rsidRPr="00EB0638" w:rsidRDefault="004A2A5D" w:rsidP="008B3CEC">
      <w:pPr>
        <w:numPr>
          <w:ilvl w:val="0"/>
          <w:numId w:val="39"/>
        </w:num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 xml:space="preserve">Le poids moyen de 1000 graines est corrélé positivement avec le nombre moyen de graines avortées et échaudées et négativement à la vitesse moyenne de germination, la valeur germinative moyenne, le pourcentage moyen de graines levées, le nombre moyen total de graines, le poids moyen d’une capsule et le rendement moyen estimé en graines. Par contre, ce </w:t>
      </w:r>
      <w:r w:rsidRPr="00EB0638">
        <w:rPr>
          <w:rFonts w:ascii="Times New Roman" w:hAnsi="Times New Roman" w:cs="Times New Roman"/>
          <w:sz w:val="24"/>
          <w:szCs w:val="24"/>
        </w:rPr>
        <w:lastRenderedPageBreak/>
        <w:t>dernier caractère est corrélé positivement avec le poids moyen d’une capsule et négativement au nombre moyen de graines avortées et échaudées.</w:t>
      </w:r>
    </w:p>
    <w:p w:rsidR="004A2A5D" w:rsidRPr="00EB0638" w:rsidRDefault="004A2A5D" w:rsidP="00DA0812">
      <w:pPr>
        <w:pStyle w:val="Titre1"/>
        <w:numPr>
          <w:ilvl w:val="0"/>
          <w:numId w:val="51"/>
        </w:numPr>
        <w:spacing w:before="240" w:after="240" w:line="360" w:lineRule="auto"/>
        <w:rPr>
          <w:rFonts w:ascii="Times New Roman" w:hAnsi="Times New Roman"/>
          <w:color w:val="auto"/>
        </w:rPr>
      </w:pPr>
      <w:bookmarkStart w:id="1689" w:name="_Toc126576872"/>
      <w:bookmarkStart w:id="1690" w:name="_Toc252094081"/>
      <w:bookmarkStart w:id="1691" w:name="_Toc252365470"/>
      <w:bookmarkStart w:id="1692" w:name="_Toc252365741"/>
      <w:bookmarkStart w:id="1693" w:name="_Toc252366286"/>
      <w:r w:rsidRPr="00EB0638">
        <w:rPr>
          <w:rFonts w:ascii="Times New Roman" w:hAnsi="Times New Roman"/>
          <w:color w:val="auto"/>
        </w:rPr>
        <w:t>Analyse en composantes principales</w:t>
      </w:r>
      <w:bookmarkEnd w:id="1689"/>
      <w:bookmarkEnd w:id="1690"/>
      <w:bookmarkEnd w:id="1691"/>
      <w:bookmarkEnd w:id="1692"/>
      <w:bookmarkEnd w:id="1693"/>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variations expliquées par les trois axes princ</w:t>
      </w:r>
      <w:r w:rsidR="00F25258">
        <w:rPr>
          <w:rFonts w:ascii="Times New Roman" w:hAnsi="Times New Roman" w:cs="Times New Roman"/>
          <w:sz w:val="24"/>
          <w:szCs w:val="24"/>
        </w:rPr>
        <w:t>ipaux sont respectivement de 53,</w:t>
      </w:r>
      <w:r w:rsidRPr="00EB0638">
        <w:rPr>
          <w:rFonts w:ascii="Times New Roman" w:hAnsi="Times New Roman" w:cs="Times New Roman"/>
          <w:sz w:val="24"/>
          <w:szCs w:val="24"/>
        </w:rPr>
        <w:t>99 % de l’inf</w:t>
      </w:r>
      <w:r w:rsidR="00F25258">
        <w:rPr>
          <w:rFonts w:ascii="Times New Roman" w:hAnsi="Times New Roman" w:cs="Times New Roman"/>
          <w:sz w:val="24"/>
          <w:szCs w:val="24"/>
        </w:rPr>
        <w:t>ormation par le premier axe, 30,72 % par le deuxième axe et 15,</w:t>
      </w:r>
      <w:r w:rsidRPr="00EB0638">
        <w:rPr>
          <w:rFonts w:ascii="Times New Roman" w:hAnsi="Times New Roman" w:cs="Times New Roman"/>
          <w:sz w:val="24"/>
          <w:szCs w:val="24"/>
        </w:rPr>
        <w:t>29 % par le troisième. Le plant 1-2 fourn</w:t>
      </w:r>
      <w:r w:rsidR="00F25258">
        <w:rPr>
          <w:rFonts w:ascii="Times New Roman" w:hAnsi="Times New Roman" w:cs="Times New Roman"/>
          <w:sz w:val="24"/>
          <w:szCs w:val="24"/>
        </w:rPr>
        <w:t>it le maximum d’information (84,</w:t>
      </w:r>
      <w:r w:rsidRPr="00EB0638">
        <w:rPr>
          <w:rFonts w:ascii="Times New Roman" w:hAnsi="Times New Roman" w:cs="Times New Roman"/>
          <w:sz w:val="24"/>
          <w:szCs w:val="24"/>
        </w:rPr>
        <w:t>71%) suiv</w:t>
      </w:r>
      <w:r w:rsidR="00F25258">
        <w:rPr>
          <w:rFonts w:ascii="Times New Roman" w:hAnsi="Times New Roman" w:cs="Times New Roman"/>
          <w:sz w:val="24"/>
          <w:szCs w:val="24"/>
        </w:rPr>
        <w:t>i du plan 1-3 (69,</w:t>
      </w:r>
      <w:r w:rsidRPr="00EB0638">
        <w:rPr>
          <w:rFonts w:ascii="Times New Roman" w:hAnsi="Times New Roman" w:cs="Times New Roman"/>
          <w:sz w:val="24"/>
          <w:szCs w:val="24"/>
        </w:rPr>
        <w:t>28%). Nous retiendrons le plan 1-2 qui permet d’expliquer le maximum de l’information totale (Fig. 83).</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L’axe 1 est déterminé positivement par :</w:t>
      </w:r>
    </w:p>
    <w:p w:rsidR="004A2A5D" w:rsidRPr="00EB0638" w:rsidRDefault="004A2A5D" w:rsidP="008B3CEC">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Vitesse de croissance en hauteur ;</w:t>
      </w:r>
    </w:p>
    <w:p w:rsidR="004A2A5D" w:rsidRPr="00EB0638" w:rsidRDefault="004A2A5D" w:rsidP="008B3CEC">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début floraison ;</w:t>
      </w:r>
    </w:p>
    <w:p w:rsidR="004A2A5D" w:rsidRPr="00EB0638" w:rsidRDefault="004A2A5D" w:rsidP="008B3CEC">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total de ramifications ;</w:t>
      </w:r>
    </w:p>
    <w:p w:rsidR="004A2A5D" w:rsidRPr="00EB0638" w:rsidRDefault="004A2A5D" w:rsidP="008B3CEC">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La vitesse de germination journalière ;</w:t>
      </w:r>
    </w:p>
    <w:p w:rsidR="004A2A5D" w:rsidRPr="00EB0638" w:rsidRDefault="004A2A5D" w:rsidP="008B3CEC">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La valeur germinative, la capacité de germination et le nombre moyen de capsules par plant ;</w:t>
      </w:r>
    </w:p>
    <w:p w:rsidR="004A2A5D" w:rsidRPr="00EB0638" w:rsidRDefault="004A2A5D" w:rsidP="008B3CEC">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La durée moyenne de floraison, le stade fin floraison ;</w:t>
      </w:r>
    </w:p>
    <w:p w:rsidR="004A2A5D" w:rsidRPr="00EB0638" w:rsidRDefault="004A2A5D" w:rsidP="008B3CEC">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de ramifications primaires et secondaire ;</w:t>
      </w:r>
    </w:p>
    <w:p w:rsidR="004A2A5D" w:rsidRPr="00EB0638" w:rsidRDefault="004A2A5D" w:rsidP="008B3CEC">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pois moyen de capsules par plant et le stade formation des capsules.</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Et négativement par les variables :</w:t>
      </w:r>
    </w:p>
    <w:p w:rsidR="004A2A5D" w:rsidRPr="00EB0638" w:rsidRDefault="004A2A5D" w:rsidP="00CA4D82">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stade maturité et le diamètre de la capsule ;</w:t>
      </w:r>
    </w:p>
    <w:p w:rsidR="004A2A5D" w:rsidRPr="00EB0638" w:rsidRDefault="004A2A5D" w:rsidP="00CA4D82">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poids moyen de graines saines, le poids moyen de graines saines, le nombre de graines avortées et échaudées et le stade pleine levée ;</w:t>
      </w:r>
    </w:p>
    <w:p w:rsidR="004A2A5D" w:rsidRPr="00EB0638" w:rsidRDefault="004A2A5D" w:rsidP="00CA4D82">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poids moyen de la capsule, le nombre moyen total de graines et la longueur moyenne de la capsule.</w:t>
      </w:r>
    </w:p>
    <w:p w:rsidR="004A2A5D" w:rsidRPr="00EB0638" w:rsidRDefault="004A2A5D" w:rsidP="008B3CEC">
      <w:pPr>
        <w:pStyle w:val="Paragraphedeliste"/>
        <w:spacing w:before="240" w:line="360" w:lineRule="auto"/>
        <w:ind w:left="0" w:firstLine="284"/>
        <w:jc w:val="both"/>
        <w:rPr>
          <w:rFonts w:ascii="Times New Roman" w:hAnsi="Times New Roman" w:cs="Times New Roman"/>
          <w:sz w:val="24"/>
          <w:szCs w:val="24"/>
        </w:rPr>
      </w:pPr>
      <w:r w:rsidRPr="00EB0638">
        <w:rPr>
          <w:rFonts w:ascii="Times New Roman" w:hAnsi="Times New Roman" w:cs="Times New Roman"/>
          <w:sz w:val="24"/>
          <w:szCs w:val="24"/>
        </w:rPr>
        <w:t>L’axe 2 est déterminé positivement par :</w:t>
      </w:r>
    </w:p>
    <w:p w:rsidR="004A2A5D" w:rsidRPr="00EB0638" w:rsidRDefault="004A2A5D" w:rsidP="00CA4D82">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de ramifications tertiaires, le poids moyen de 1000 graines ;</w:t>
      </w:r>
    </w:p>
    <w:p w:rsidR="004A2A5D" w:rsidRPr="00EB0638" w:rsidRDefault="004A2A5D" w:rsidP="00CA4D82">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lastRenderedPageBreak/>
        <w:t xml:space="preserve"> Le nombre moyen de graines avortées et échaudées et le stade formation des capsules.</w:t>
      </w:r>
    </w:p>
    <w:p w:rsidR="004A2A5D" w:rsidRPr="00EB0638" w:rsidRDefault="004A2A5D" w:rsidP="008B3CEC">
      <w:pPr>
        <w:spacing w:before="240" w:line="360" w:lineRule="auto"/>
        <w:jc w:val="both"/>
        <w:rPr>
          <w:rFonts w:ascii="Times New Roman" w:hAnsi="Times New Roman" w:cs="Times New Roman"/>
          <w:sz w:val="24"/>
          <w:szCs w:val="24"/>
        </w:rPr>
      </w:pPr>
      <w:r w:rsidRPr="00EB0638">
        <w:rPr>
          <w:rFonts w:ascii="Times New Roman" w:hAnsi="Times New Roman" w:cs="Times New Roman"/>
          <w:sz w:val="24"/>
          <w:szCs w:val="24"/>
        </w:rPr>
        <w:t>Et négativement par :</w:t>
      </w:r>
    </w:p>
    <w:p w:rsidR="004A2A5D" w:rsidRPr="00EB0638" w:rsidRDefault="004A2A5D" w:rsidP="00CA4D82">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de valves et de graines saines par capsule ;</w:t>
      </w:r>
    </w:p>
    <w:p w:rsidR="004A2A5D" w:rsidRPr="00EB0638" w:rsidRDefault="004A2A5D" w:rsidP="00CA4D82">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nombre moyen total de graines et le poids moyen de la capsule ;</w:t>
      </w:r>
    </w:p>
    <w:p w:rsidR="004A2A5D" w:rsidRPr="00EB0638" w:rsidRDefault="004A2A5D" w:rsidP="00CA4D82">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Le rendement moyen parcellaire estimé en graines, le poids moyen des capsules par plants ;</w:t>
      </w:r>
    </w:p>
    <w:p w:rsidR="004A2A5D" w:rsidRPr="00EB0638" w:rsidRDefault="004A2A5D" w:rsidP="00CA4D82">
      <w:pPr>
        <w:pStyle w:val="Paragraphedeliste"/>
        <w:numPr>
          <w:ilvl w:val="0"/>
          <w:numId w:val="33"/>
        </w:numPr>
        <w:spacing w:before="240" w:line="360" w:lineRule="auto"/>
        <w:contextualSpacing w:val="0"/>
        <w:jc w:val="both"/>
        <w:rPr>
          <w:rFonts w:ascii="Times New Roman" w:hAnsi="Times New Roman" w:cs="Times New Roman"/>
          <w:sz w:val="24"/>
          <w:szCs w:val="24"/>
        </w:rPr>
      </w:pPr>
      <w:r w:rsidRPr="00EB0638">
        <w:rPr>
          <w:rFonts w:ascii="Times New Roman" w:hAnsi="Times New Roman" w:cs="Times New Roman"/>
          <w:sz w:val="24"/>
          <w:szCs w:val="24"/>
        </w:rPr>
        <w:t xml:space="preserve">Le poids moyen de graines saines et le nombre de ramifications primaires. </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nuage des individus projetés sur le plant factoriel 1*2 permet de distinguer deux groupes opposés (Fig. 84).</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P''2 et P''3, du groupe 1, ont une tardiveté au stade bouton floral, début floraison et fin floraison ; par ailleurs, la durée de floraison est longue, la capacité de germination, la vitesse de germination, la vitesse de croissance en hauteur, le poids moyen de capsules par plant sont élevés. Ces populations produisent beaucoup de ramifications primaires, secondaires, totales et de capsules.</w:t>
      </w:r>
    </w:p>
    <w:p w:rsidR="004A2A5D" w:rsidRPr="00EB0638" w:rsidRDefault="004A2A5D"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Les populations P''2 et P''3 s’opposent aux populations P''1 et P''4. Ces deux dernières ont une longue durée entre le stade semis, le stade pleine floraison et le stade maturité. Elles se distinguent aussi par un nombre important de graines avortées et échaudées. Le diamètre moyen de la capsule, le poids moyen de 1000 graines sont élevés, </w:t>
      </w:r>
    </w:p>
    <w:p w:rsidR="004A2A5D" w:rsidRPr="00EB0638" w:rsidRDefault="004A2A5D" w:rsidP="008B3CEC">
      <w:pPr>
        <w:spacing w:before="240" w:line="360" w:lineRule="auto"/>
        <w:ind w:firstLine="284"/>
        <w:jc w:val="both"/>
        <w:rPr>
          <w:rFonts w:ascii="Times New Roman" w:hAnsi="Times New Roman" w:cs="Times New Roman"/>
          <w:b/>
          <w:bCs/>
          <w:sz w:val="24"/>
          <w:szCs w:val="24"/>
        </w:rPr>
      </w:pPr>
      <w:r w:rsidRPr="00EB0638">
        <w:rPr>
          <w:rFonts w:ascii="Times New Roman" w:hAnsi="Times New Roman" w:cs="Times New Roman"/>
          <w:sz w:val="24"/>
          <w:szCs w:val="24"/>
        </w:rPr>
        <w:t>Ces résultats confirment ceux obtenus par l’analyse de variance.</w:t>
      </w:r>
    </w:p>
    <w:p w:rsidR="004A2A5D" w:rsidRPr="00EB0638" w:rsidRDefault="004A2A5D" w:rsidP="008B3CEC">
      <w:p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br w:type="page"/>
      </w:r>
    </w:p>
    <w:p w:rsidR="004A2A5D" w:rsidRPr="00EB0638" w:rsidRDefault="00710636" w:rsidP="008B3CEC">
      <w:pPr>
        <w:spacing w:before="240" w:after="120" w:line="36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6215496" cy="7582994"/>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srcRect/>
                    <a:stretch>
                      <a:fillRect/>
                    </a:stretch>
                  </pic:blipFill>
                  <pic:spPr bwMode="auto">
                    <a:xfrm>
                      <a:off x="0" y="0"/>
                      <a:ext cx="6219303" cy="7587639"/>
                    </a:xfrm>
                    <a:prstGeom prst="rect">
                      <a:avLst/>
                    </a:prstGeom>
                    <a:noFill/>
                    <a:ln w="9525">
                      <a:noFill/>
                      <a:miter lim="800000"/>
                      <a:headEnd/>
                      <a:tailEnd/>
                    </a:ln>
                  </pic:spPr>
                </pic:pic>
              </a:graphicData>
            </a:graphic>
          </wp:inline>
        </w:drawing>
      </w:r>
    </w:p>
    <w:p w:rsidR="004A2A5D" w:rsidRPr="00EB0638" w:rsidRDefault="00FF10A7" w:rsidP="008B3CEC">
      <w:pPr>
        <w:pStyle w:val="Lgende"/>
        <w:spacing w:before="240" w:line="360" w:lineRule="auto"/>
        <w:jc w:val="center"/>
        <w:rPr>
          <w:rFonts w:asciiTheme="majorBidi" w:hAnsiTheme="majorBidi" w:cstheme="majorBidi"/>
          <w:color w:val="auto"/>
          <w:sz w:val="24"/>
          <w:szCs w:val="24"/>
        </w:rPr>
      </w:pPr>
      <w:bookmarkStart w:id="1694" w:name="_Toc252195020"/>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83</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:Analyse en composante principales, projection des variables sur le plan factoriel (1*2) (</w:t>
      </w:r>
      <w:r w:rsidRPr="00EB0638">
        <w:rPr>
          <w:rFonts w:asciiTheme="majorBidi" w:hAnsiTheme="majorBidi" w:cstheme="majorBidi"/>
          <w:i/>
          <w:iCs/>
          <w:color w:val="auto"/>
          <w:sz w:val="24"/>
          <w:szCs w:val="24"/>
        </w:rPr>
        <w:t>Nigella sativa</w:t>
      </w:r>
      <w:r w:rsidRPr="00EB0638">
        <w:rPr>
          <w:rFonts w:asciiTheme="majorBidi" w:hAnsiTheme="majorBidi" w:cstheme="majorBidi"/>
          <w:color w:val="auto"/>
          <w:sz w:val="24"/>
          <w:szCs w:val="24"/>
        </w:rPr>
        <w:t xml:space="preserve"> L.).</w:t>
      </w:r>
      <w:bookmarkEnd w:id="1694"/>
    </w:p>
    <w:p w:rsidR="004A2A5D" w:rsidRPr="00EB0638" w:rsidRDefault="00710636" w:rsidP="00710636">
      <w:pPr>
        <w:tabs>
          <w:tab w:val="left" w:pos="3179"/>
        </w:tabs>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4A2A5D" w:rsidRPr="00EB0638" w:rsidRDefault="004A2A5D" w:rsidP="008B3CEC">
      <w:pPr>
        <w:spacing w:before="240" w:line="360" w:lineRule="auto"/>
        <w:jc w:val="center"/>
        <w:rPr>
          <w:rFonts w:ascii="Times New Roman" w:hAnsi="Times New Roman" w:cs="Times New Roman"/>
          <w:b/>
          <w:bCs/>
          <w:sz w:val="24"/>
          <w:szCs w:val="24"/>
        </w:rPr>
      </w:pPr>
      <w:r w:rsidRPr="00EB0638">
        <w:rPr>
          <w:rFonts w:ascii="Times New Roman" w:hAnsi="Times New Roman" w:cs="Times New Roman"/>
          <w:b/>
          <w:bCs/>
          <w:noProof/>
          <w:sz w:val="24"/>
          <w:szCs w:val="24"/>
        </w:rPr>
        <w:lastRenderedPageBreak/>
        <w:drawing>
          <wp:inline distT="0" distB="0" distL="0" distR="0">
            <wp:extent cx="6210300" cy="6972300"/>
            <wp:effectExtent l="38100" t="57150" r="114300" b="95250"/>
            <wp:docPr id="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2"/>
                    <a:srcRect/>
                    <a:stretch>
                      <a:fillRect/>
                    </a:stretch>
                  </pic:blipFill>
                  <pic:spPr bwMode="auto">
                    <a:xfrm>
                      <a:off x="0" y="0"/>
                      <a:ext cx="6210300" cy="697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A5D" w:rsidRPr="00EB0638" w:rsidRDefault="00FF10A7" w:rsidP="008B3CEC">
      <w:pPr>
        <w:pStyle w:val="Lgende"/>
        <w:spacing w:before="240" w:line="360" w:lineRule="auto"/>
        <w:jc w:val="center"/>
        <w:rPr>
          <w:rFonts w:asciiTheme="majorBidi" w:hAnsiTheme="majorBidi" w:cstheme="majorBidi"/>
          <w:color w:val="auto"/>
          <w:sz w:val="24"/>
          <w:szCs w:val="24"/>
        </w:rPr>
      </w:pPr>
      <w:bookmarkStart w:id="1695" w:name="_Toc252195021"/>
      <w:r w:rsidRPr="00EB0638">
        <w:rPr>
          <w:rFonts w:asciiTheme="majorBidi" w:hAnsiTheme="majorBidi" w:cstheme="majorBidi"/>
          <w:color w:val="auto"/>
          <w:sz w:val="24"/>
          <w:szCs w:val="24"/>
        </w:rPr>
        <w:t xml:space="preserve">Fig. </w:t>
      </w:r>
      <w:r w:rsidR="00811D6A" w:rsidRPr="00EB0638">
        <w:rPr>
          <w:rFonts w:asciiTheme="majorBidi" w:hAnsiTheme="majorBidi" w:cstheme="majorBidi"/>
          <w:color w:val="auto"/>
          <w:sz w:val="24"/>
          <w:szCs w:val="24"/>
        </w:rPr>
        <w:fldChar w:fldCharType="begin"/>
      </w:r>
      <w:r w:rsidRPr="00EB0638">
        <w:rPr>
          <w:rFonts w:asciiTheme="majorBidi" w:hAnsiTheme="majorBidi" w:cstheme="majorBidi"/>
          <w:color w:val="auto"/>
          <w:sz w:val="24"/>
          <w:szCs w:val="24"/>
        </w:rPr>
        <w:instrText xml:space="preserve"> SEQ Figure \* ARABIC </w:instrText>
      </w:r>
      <w:r w:rsidR="00811D6A" w:rsidRPr="00EB0638">
        <w:rPr>
          <w:rFonts w:asciiTheme="majorBidi" w:hAnsiTheme="majorBidi" w:cstheme="majorBidi"/>
          <w:color w:val="auto"/>
          <w:sz w:val="24"/>
          <w:szCs w:val="24"/>
        </w:rPr>
        <w:fldChar w:fldCharType="separate"/>
      </w:r>
      <w:r w:rsidR="00A860F6">
        <w:rPr>
          <w:rFonts w:asciiTheme="majorBidi" w:hAnsiTheme="majorBidi" w:cstheme="majorBidi"/>
          <w:noProof/>
          <w:color w:val="auto"/>
          <w:sz w:val="24"/>
          <w:szCs w:val="24"/>
        </w:rPr>
        <w:t>84</w:t>
      </w:r>
      <w:r w:rsidR="00811D6A" w:rsidRPr="00EB0638">
        <w:rPr>
          <w:rFonts w:asciiTheme="majorBidi" w:hAnsiTheme="majorBidi" w:cstheme="majorBidi"/>
          <w:color w:val="auto"/>
          <w:sz w:val="24"/>
          <w:szCs w:val="24"/>
        </w:rPr>
        <w:fldChar w:fldCharType="end"/>
      </w:r>
      <w:r w:rsidRPr="00EB0638">
        <w:rPr>
          <w:rFonts w:asciiTheme="majorBidi" w:hAnsiTheme="majorBidi" w:cstheme="majorBidi"/>
          <w:color w:val="auto"/>
          <w:sz w:val="24"/>
          <w:szCs w:val="24"/>
        </w:rPr>
        <w:t>:Analyse en composante principales, projection des individus sur le plan factoriel (1*2) (</w:t>
      </w:r>
      <w:r w:rsidRPr="00EB0638">
        <w:rPr>
          <w:rFonts w:asciiTheme="majorBidi" w:hAnsiTheme="majorBidi" w:cstheme="majorBidi"/>
          <w:i/>
          <w:iCs/>
          <w:color w:val="auto"/>
          <w:sz w:val="24"/>
          <w:szCs w:val="24"/>
        </w:rPr>
        <w:t>Nigella sativa</w:t>
      </w:r>
      <w:r w:rsidRPr="00EB0638">
        <w:rPr>
          <w:rFonts w:asciiTheme="majorBidi" w:hAnsiTheme="majorBidi" w:cstheme="majorBidi"/>
          <w:color w:val="auto"/>
          <w:sz w:val="24"/>
          <w:szCs w:val="24"/>
        </w:rPr>
        <w:t xml:space="preserve"> L.).</w:t>
      </w:r>
      <w:bookmarkEnd w:id="1695"/>
    </w:p>
    <w:p w:rsidR="004A2A5D" w:rsidRPr="00EB0638" w:rsidRDefault="004A2A5D" w:rsidP="00555F9D">
      <w:pPr>
        <w:spacing w:before="240" w:line="360" w:lineRule="auto"/>
        <w:ind w:left="2124"/>
        <w:jc w:val="center"/>
        <w:rPr>
          <w:rFonts w:ascii="Times New Roman" w:hAnsi="Times New Roman" w:cs="Times New Roman"/>
          <w:b/>
          <w:bCs/>
          <w:sz w:val="24"/>
          <w:szCs w:val="24"/>
        </w:rPr>
        <w:sectPr w:rsidR="004A2A5D" w:rsidRPr="00EB0638" w:rsidSect="00063900">
          <w:headerReference w:type="default" r:id="rId133"/>
          <w:pgSz w:w="11906" w:h="16838"/>
          <w:pgMar w:top="993" w:right="849" w:bottom="1135" w:left="1134" w:header="708" w:footer="708" w:gutter="0"/>
          <w:cols w:space="708"/>
          <w:docGrid w:linePitch="360"/>
        </w:sectPr>
      </w:pPr>
    </w:p>
    <w:p w:rsidR="00820CED" w:rsidRPr="00EB0638" w:rsidRDefault="00E57725" w:rsidP="00794D9B">
      <w:pPr>
        <w:pStyle w:val="Titre"/>
        <w:spacing w:line="360" w:lineRule="auto"/>
        <w:rPr>
          <w:rFonts w:asciiTheme="majorBidi" w:hAnsiTheme="majorBidi" w:cstheme="majorBidi"/>
          <w:sz w:val="28"/>
          <w:szCs w:val="28"/>
        </w:rPr>
      </w:pPr>
      <w:bookmarkStart w:id="1696" w:name="_Toc126576873"/>
      <w:bookmarkStart w:id="1697" w:name="_Toc252094082"/>
      <w:bookmarkStart w:id="1698" w:name="_Toc252365471"/>
      <w:bookmarkStart w:id="1699" w:name="_Toc252365742"/>
      <w:bookmarkStart w:id="1700" w:name="_Toc252366287"/>
      <w:r w:rsidRPr="00EB0638">
        <w:rPr>
          <w:rFonts w:asciiTheme="majorBidi" w:hAnsiTheme="majorBidi" w:cstheme="majorBidi"/>
          <w:sz w:val="28"/>
          <w:szCs w:val="28"/>
        </w:rPr>
        <w:lastRenderedPageBreak/>
        <w:t xml:space="preserve">Chapitre IV : </w:t>
      </w:r>
      <w:bookmarkEnd w:id="1696"/>
      <w:bookmarkEnd w:id="1697"/>
      <w:bookmarkEnd w:id="1698"/>
      <w:bookmarkEnd w:id="1699"/>
      <w:bookmarkEnd w:id="1700"/>
      <w:r w:rsidR="00794D9B">
        <w:rPr>
          <w:rFonts w:asciiTheme="majorBidi" w:hAnsiTheme="majorBidi" w:cstheme="majorBidi"/>
          <w:sz w:val="28"/>
          <w:szCs w:val="28"/>
        </w:rPr>
        <w:t>Discussion</w:t>
      </w:r>
    </w:p>
    <w:p w:rsidR="001404F7" w:rsidRPr="00EB0638" w:rsidRDefault="001404F7" w:rsidP="008B3CEC">
      <w:pPr>
        <w:pStyle w:val="Titre"/>
        <w:spacing w:line="360" w:lineRule="auto"/>
        <w:ind w:left="360"/>
        <w:rPr>
          <w:rFonts w:ascii="Times New Roman" w:hAnsi="Times New Roman"/>
          <w:sz w:val="28"/>
          <w:szCs w:val="28"/>
        </w:rPr>
      </w:pPr>
      <w:bookmarkStart w:id="1701" w:name="_Toc252094083"/>
      <w:bookmarkStart w:id="1702" w:name="_Toc252365472"/>
      <w:bookmarkStart w:id="1703" w:name="_Toc252365743"/>
      <w:bookmarkStart w:id="1704" w:name="_Toc252366288"/>
      <w:r w:rsidRPr="00EB0638">
        <w:rPr>
          <w:rFonts w:ascii="Times New Roman" w:hAnsi="Times New Roman"/>
          <w:sz w:val="28"/>
          <w:szCs w:val="28"/>
        </w:rPr>
        <w:t>FENUGREC (</w:t>
      </w:r>
      <w:r w:rsidRPr="00EB0638">
        <w:rPr>
          <w:rFonts w:ascii="Times New Roman" w:hAnsi="Times New Roman"/>
          <w:i/>
          <w:iCs/>
          <w:sz w:val="28"/>
          <w:szCs w:val="28"/>
        </w:rPr>
        <w:t>Trigonella foenum graecum</w:t>
      </w:r>
      <w:r w:rsidRPr="00EB0638">
        <w:rPr>
          <w:rFonts w:ascii="Times New Roman" w:hAnsi="Times New Roman"/>
          <w:sz w:val="28"/>
          <w:szCs w:val="28"/>
        </w:rPr>
        <w:t xml:space="preserve"> L.)</w:t>
      </w:r>
      <w:bookmarkEnd w:id="1701"/>
      <w:bookmarkEnd w:id="1702"/>
      <w:bookmarkEnd w:id="1703"/>
      <w:bookmarkEnd w:id="1704"/>
    </w:p>
    <w:p w:rsidR="00624433" w:rsidRPr="00EB0638" w:rsidRDefault="00624433" w:rsidP="008B3CEC">
      <w:pPr>
        <w:pStyle w:val="Paragraphedeliste"/>
        <w:numPr>
          <w:ilvl w:val="0"/>
          <w:numId w:val="42"/>
        </w:numPr>
        <w:spacing w:before="240" w:line="360" w:lineRule="auto"/>
        <w:jc w:val="both"/>
        <w:rPr>
          <w:rFonts w:ascii="Times New Roman" w:hAnsi="Times New Roman" w:cs="Times New Roman"/>
          <w:b/>
          <w:sz w:val="24"/>
          <w:szCs w:val="24"/>
        </w:rPr>
      </w:pPr>
      <w:r w:rsidRPr="00EB0638">
        <w:rPr>
          <w:rFonts w:ascii="Times New Roman" w:hAnsi="Times New Roman" w:cs="Times New Roman"/>
          <w:b/>
          <w:sz w:val="24"/>
          <w:szCs w:val="24"/>
        </w:rPr>
        <w:t>Germination</w:t>
      </w:r>
    </w:p>
    <w:p w:rsidR="00624433" w:rsidRPr="00EB0638" w:rsidRDefault="00624433" w:rsidP="008B3CEC">
      <w:pPr>
        <w:spacing w:before="240"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graines de fenugrec ont une capacité germinative moyenne de 96.38%. Cette valeur indique une bonne aptitude à germer.</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valeurs moyennes de la vitesse de germination journalière, de la capacité de germination et de la valeur germinative ont montré une hétérogénéité entre les populations étudiées ; les populations P1 et P3 présentent les valeurs les plus élevées.</w:t>
      </w:r>
    </w:p>
    <w:p w:rsidR="00624433" w:rsidRPr="00EB0638" w:rsidRDefault="00B37135" w:rsidP="00AD6B8B">
      <w:pPr>
        <w:pStyle w:val="Paragraphedeliste"/>
        <w:numPr>
          <w:ilvl w:val="0"/>
          <w:numId w:val="42"/>
        </w:num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Caractères</w:t>
      </w:r>
      <w:r w:rsidR="00624433" w:rsidRPr="00EB0638">
        <w:rPr>
          <w:rFonts w:ascii="Times New Roman" w:hAnsi="Times New Roman" w:cs="Times New Roman"/>
          <w:b/>
          <w:sz w:val="24"/>
          <w:szCs w:val="24"/>
        </w:rPr>
        <w:t xml:space="preserve"> phénologiques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variabilité entre populations pour le caractère levée et pleine levée est considérable, cette variabilité est due à la qualité de semences (DUCREUX, 2002 ; PETER </w:t>
      </w:r>
      <w:r w:rsidRPr="00EB0638">
        <w:rPr>
          <w:rFonts w:ascii="Times New Roman" w:hAnsi="Times New Roman" w:cs="Times New Roman"/>
          <w:i/>
          <w:iCs/>
          <w:sz w:val="24"/>
          <w:szCs w:val="24"/>
        </w:rPr>
        <w:t>et al.</w:t>
      </w:r>
      <w:r w:rsidRPr="00EB0638">
        <w:rPr>
          <w:rFonts w:ascii="Times New Roman" w:hAnsi="Times New Roman" w:cs="Times New Roman"/>
          <w:sz w:val="24"/>
          <w:szCs w:val="24"/>
        </w:rPr>
        <w:t>, 2003 ; REGER,2007 ; OZENDA, 2000 ET HOPKINS, 2003).</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levée et la pleine levée chez les populations P3, P1 et P2 est plus précoce que chez les autres populations. La levée était relativement précoce en comparaison avec les résultants de TCHOKETCH-KEBIR (1987) qui indique une levée en 20 jours. BENMOUHAMED (1990) a noté la levée </w:t>
      </w:r>
      <w:r w:rsidR="00CB1958">
        <w:rPr>
          <w:rFonts w:ascii="Times New Roman" w:hAnsi="Times New Roman" w:cs="Times New Roman"/>
          <w:sz w:val="24"/>
          <w:szCs w:val="24"/>
        </w:rPr>
        <w:t xml:space="preserve">en </w:t>
      </w:r>
      <w:r w:rsidRPr="00EB0638">
        <w:rPr>
          <w:rFonts w:ascii="Times New Roman" w:hAnsi="Times New Roman" w:cs="Times New Roman"/>
          <w:sz w:val="24"/>
          <w:szCs w:val="24"/>
        </w:rPr>
        <w:t>10 jours après le semis. Par contre BENMOUHAME</w:t>
      </w:r>
      <w:r w:rsidR="00E72AFD">
        <w:rPr>
          <w:rFonts w:ascii="Times New Roman" w:hAnsi="Times New Roman" w:cs="Times New Roman"/>
          <w:sz w:val="24"/>
          <w:szCs w:val="24"/>
        </w:rPr>
        <w:t>D (1998) a enregistré la levée en 1</w:t>
      </w:r>
      <w:r w:rsidRPr="00EB0638">
        <w:rPr>
          <w:rFonts w:ascii="Times New Roman" w:hAnsi="Times New Roman" w:cs="Times New Roman"/>
          <w:sz w:val="24"/>
          <w:szCs w:val="24"/>
        </w:rPr>
        <w:t>5 jours après le semis.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pourcentage moyen de levée atteint est souvent appréciable pour la majorité des populations, dont les populations P3 et P1 présentent la valeur la plus élevée. Ce résultat est nettement supérieur à celui de BENMOUHAMED (1990) sur les générations G0 e</w:t>
      </w:r>
      <w:r w:rsidR="00CB1958">
        <w:rPr>
          <w:rFonts w:ascii="Times New Roman" w:hAnsi="Times New Roman" w:cs="Times New Roman"/>
          <w:sz w:val="24"/>
          <w:szCs w:val="24"/>
        </w:rPr>
        <w:t>t G1 de certaines populations de</w:t>
      </w:r>
      <w:r w:rsidRPr="00EB0638">
        <w:rPr>
          <w:rFonts w:ascii="Times New Roman" w:hAnsi="Times New Roman" w:cs="Times New Roman"/>
          <w:sz w:val="24"/>
          <w:szCs w:val="24"/>
        </w:rPr>
        <w:t xml:space="preserve"> fenugrec</w:t>
      </w:r>
      <w:r w:rsidR="00D41594">
        <w:rPr>
          <w:rFonts w:ascii="Times New Roman" w:hAnsi="Times New Roman" w:cs="Times New Roman"/>
          <w:sz w:val="24"/>
          <w:szCs w:val="24"/>
        </w:rPr>
        <w:t xml:space="preserve"> avec respectivement 77,11% et 79,44%.</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floraison est intimement liée aux conditions climatiques. On a remarqué une homogénéité du comportement entre les populations concernant ce caractère. La période entre le semis et le début floraison, la pleine floraison et la fin floraison est plus courte en comparaison avec les résultats obtenus par BENMOUHAMED (1998) qui </w:t>
      </w:r>
      <w:r w:rsidR="0046467A">
        <w:rPr>
          <w:rFonts w:ascii="Times New Roman" w:hAnsi="Times New Roman" w:cs="Times New Roman"/>
          <w:sz w:val="24"/>
          <w:szCs w:val="24"/>
        </w:rPr>
        <w:t>indique un début floraison à 73,</w:t>
      </w:r>
      <w:r w:rsidRPr="00EB0638">
        <w:rPr>
          <w:rFonts w:ascii="Times New Roman" w:hAnsi="Times New Roman" w:cs="Times New Roman"/>
          <w:sz w:val="24"/>
          <w:szCs w:val="24"/>
        </w:rPr>
        <w:t>5 j</w:t>
      </w:r>
      <w:r w:rsidR="0046467A">
        <w:rPr>
          <w:rFonts w:ascii="Times New Roman" w:hAnsi="Times New Roman" w:cs="Times New Roman"/>
          <w:sz w:val="24"/>
          <w:szCs w:val="24"/>
        </w:rPr>
        <w:t>ours, une pleine floraison à 97,</w:t>
      </w:r>
      <w:r w:rsidRPr="00EB0638">
        <w:rPr>
          <w:rFonts w:ascii="Times New Roman" w:hAnsi="Times New Roman" w:cs="Times New Roman"/>
          <w:sz w:val="24"/>
          <w:szCs w:val="24"/>
        </w:rPr>
        <w:t>33 jours et une fi</w:t>
      </w:r>
      <w:r w:rsidR="0046467A">
        <w:rPr>
          <w:rFonts w:ascii="Times New Roman" w:hAnsi="Times New Roman" w:cs="Times New Roman"/>
          <w:sz w:val="24"/>
          <w:szCs w:val="24"/>
        </w:rPr>
        <w:t>n floraison à 127,</w:t>
      </w:r>
      <w:r w:rsidRPr="00EB0638">
        <w:rPr>
          <w:rFonts w:ascii="Times New Roman" w:hAnsi="Times New Roman" w:cs="Times New Roman"/>
          <w:sz w:val="24"/>
          <w:szCs w:val="24"/>
        </w:rPr>
        <w:t xml:space="preserve">5 jours après le semis. </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floraison est étalée sur un nombre moyen de 32 jours. D’après les résultats de BENMOUHAMED (1990) la floraison s’est étalée sur 37 jours.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lastRenderedPageBreak/>
        <w:t>La nouaison et la formation de gousses montrent une variation entre les populations. La population P4 qui est la première à achever sa floraison</w:t>
      </w:r>
      <w:r w:rsidR="00E72AFD">
        <w:rPr>
          <w:rFonts w:ascii="Times New Roman" w:hAnsi="Times New Roman" w:cs="Times New Roman"/>
          <w:sz w:val="24"/>
          <w:szCs w:val="24"/>
        </w:rPr>
        <w:t>,</w:t>
      </w:r>
      <w:r w:rsidRPr="00EB0638">
        <w:rPr>
          <w:rFonts w:ascii="Times New Roman" w:hAnsi="Times New Roman" w:cs="Times New Roman"/>
          <w:sz w:val="24"/>
          <w:szCs w:val="24"/>
        </w:rPr>
        <w:t xml:space="preserve"> c’est la première aussi à débuter la nouaison et la formation de gousses. Par contre, la maturité des gousses n’indique pas une grande variation.</w:t>
      </w:r>
    </w:p>
    <w:p w:rsidR="00624433" w:rsidRPr="00EB0638" w:rsidRDefault="00624433" w:rsidP="00AD6B8B">
      <w:pPr>
        <w:pStyle w:val="Paragraphedeliste"/>
        <w:numPr>
          <w:ilvl w:val="0"/>
          <w:numId w:val="42"/>
        </w:numPr>
        <w:spacing w:before="240" w:line="360" w:lineRule="auto"/>
        <w:jc w:val="both"/>
        <w:rPr>
          <w:rFonts w:ascii="Times New Roman" w:hAnsi="Times New Roman" w:cs="Times New Roman"/>
          <w:b/>
          <w:sz w:val="24"/>
          <w:szCs w:val="24"/>
        </w:rPr>
      </w:pPr>
      <w:r w:rsidRPr="00EB0638">
        <w:rPr>
          <w:rFonts w:ascii="Times New Roman" w:hAnsi="Times New Roman" w:cs="Times New Roman"/>
          <w:b/>
          <w:sz w:val="24"/>
          <w:szCs w:val="24"/>
        </w:rPr>
        <w:t>Caractères de développement végétatif</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six populations présentent une dynamique de développement régulière et hétérogène.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En se basant sur les résultats de développement en hauteur et la vitesse moyenne de croissance en hauteur, on peut globalement scinder le matériel végétal en deux groupes :</w:t>
      </w:r>
    </w:p>
    <w:p w:rsidR="00624433" w:rsidRPr="00EB0638" w:rsidRDefault="00624433" w:rsidP="00AD6B8B">
      <w:pPr>
        <w:pStyle w:val="Paragraphedeliste"/>
        <w:numPr>
          <w:ilvl w:val="0"/>
          <w:numId w:val="41"/>
        </w:numPr>
        <w:spacing w:line="360" w:lineRule="auto"/>
        <w:jc w:val="both"/>
        <w:rPr>
          <w:rFonts w:ascii="Times New Roman" w:hAnsi="Times New Roman" w:cs="Times New Roman"/>
          <w:sz w:val="24"/>
          <w:szCs w:val="24"/>
        </w:rPr>
      </w:pPr>
      <w:r w:rsidRPr="00EB0638">
        <w:rPr>
          <w:rFonts w:ascii="Times New Roman" w:hAnsi="Times New Roman" w:cs="Times New Roman"/>
          <w:sz w:val="24"/>
          <w:szCs w:val="24"/>
        </w:rPr>
        <w:t>Groupe bien développé avec une vitesse rapide : P1, P4 et P2.</w:t>
      </w:r>
    </w:p>
    <w:p w:rsidR="00624433" w:rsidRPr="00EB0638" w:rsidRDefault="00624433" w:rsidP="00AD6B8B">
      <w:pPr>
        <w:pStyle w:val="Paragraphedeliste"/>
        <w:numPr>
          <w:ilvl w:val="0"/>
          <w:numId w:val="41"/>
        </w:numPr>
        <w:spacing w:line="360" w:lineRule="auto"/>
        <w:jc w:val="both"/>
        <w:rPr>
          <w:rFonts w:ascii="Times New Roman" w:hAnsi="Times New Roman" w:cs="Times New Roman"/>
          <w:sz w:val="24"/>
          <w:szCs w:val="24"/>
        </w:rPr>
      </w:pPr>
      <w:r w:rsidRPr="00EB0638">
        <w:rPr>
          <w:rFonts w:ascii="Times New Roman" w:hAnsi="Times New Roman" w:cs="Times New Roman"/>
          <w:sz w:val="24"/>
          <w:szCs w:val="24"/>
        </w:rPr>
        <w:t>Peu développé avec une vitesse faible : P6, P5 et P3.</w:t>
      </w:r>
    </w:p>
    <w:p w:rsidR="00624433" w:rsidRPr="00EB0638" w:rsidRDefault="00624433" w:rsidP="00624433">
      <w:pPr>
        <w:pStyle w:val="Paragraphedeliste"/>
        <w:spacing w:line="360" w:lineRule="auto"/>
        <w:ind w:left="820"/>
        <w:jc w:val="both"/>
        <w:rPr>
          <w:rFonts w:ascii="Times New Roman" w:hAnsi="Times New Roman" w:cs="Times New Roman"/>
          <w:sz w:val="24"/>
          <w:szCs w:val="24"/>
        </w:rPr>
      </w:pPr>
    </w:p>
    <w:p w:rsidR="00624433" w:rsidRPr="00EB0638" w:rsidRDefault="00624433" w:rsidP="00AD6B8B">
      <w:pPr>
        <w:pStyle w:val="Paragraphedeliste"/>
        <w:numPr>
          <w:ilvl w:val="0"/>
          <w:numId w:val="42"/>
        </w:numPr>
        <w:spacing w:before="240" w:line="360" w:lineRule="auto"/>
        <w:jc w:val="both"/>
        <w:rPr>
          <w:rFonts w:ascii="Times New Roman" w:hAnsi="Times New Roman" w:cs="Times New Roman"/>
          <w:b/>
          <w:sz w:val="24"/>
          <w:szCs w:val="24"/>
        </w:rPr>
      </w:pPr>
      <w:r w:rsidRPr="00EB0638">
        <w:rPr>
          <w:rFonts w:ascii="Times New Roman" w:hAnsi="Times New Roman" w:cs="Times New Roman"/>
          <w:b/>
          <w:sz w:val="24"/>
          <w:szCs w:val="24"/>
        </w:rPr>
        <w:t>Etude biométrique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résultats obtenus pour les deux caractères nombre moyen de ramifications primaires et totales montrent une grande variabilité entre les populations étudiées, et les populations P4 et P2 présentent les valeurs les plus élevées. Par contre, il y a une homogénéité concernant le nombre moyen de ramifications secondaires. La moyenne générale du nombre moyen de ramifications totales est netteme</w:t>
      </w:r>
      <w:r w:rsidR="0046467A">
        <w:rPr>
          <w:rFonts w:ascii="Times New Roman" w:hAnsi="Times New Roman" w:cs="Times New Roman"/>
          <w:sz w:val="24"/>
          <w:szCs w:val="24"/>
        </w:rPr>
        <w:t>nt inférieure à la moyenne de 7,</w:t>
      </w:r>
      <w:r w:rsidRPr="00EB0638">
        <w:rPr>
          <w:rFonts w:ascii="Times New Roman" w:hAnsi="Times New Roman" w:cs="Times New Roman"/>
          <w:sz w:val="24"/>
          <w:szCs w:val="24"/>
        </w:rPr>
        <w:t>5 ramifications signalée par BENMOUHAMED (1990) et à la moyenne de 36 ramifications indiquée par ACHARYA (2006).</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 nombre moyen de gousses sur l’axe principal est variable d’une population à une autre. Les populations P5, P2 et P1 présentent les valeurs les plus importantes. </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nombre moyen de gousses sur les ramifications primaires, secondaires et le nombre moyen total de gousses ne montrent pas une grande variation.</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poids moyen de gousses par plant est homogène entre les populations.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P6 présente des valeurs importantes du poids moyen d’une gousse, du poids moyen des graines saines, de la longueur et du diamètre de la gousse et du poids moyen de mille graines.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moyenne générale de la largeur, du diamètre et du nombre moyen de graines par gousse chez les six populations est nettement supérieure aux moyennes indiquées par TCHOKETCH-KEBI</w:t>
      </w:r>
      <w:r w:rsidR="0046467A">
        <w:rPr>
          <w:rFonts w:ascii="Times New Roman" w:hAnsi="Times New Roman" w:cs="Times New Roman"/>
          <w:sz w:val="24"/>
          <w:szCs w:val="24"/>
        </w:rPr>
        <w:t>R (1987) avec respectivement 10,30 cm, 0,420 mm et 11,</w:t>
      </w:r>
      <w:r w:rsidRPr="00EB0638">
        <w:rPr>
          <w:rFonts w:ascii="Times New Roman" w:hAnsi="Times New Roman" w:cs="Times New Roman"/>
          <w:sz w:val="24"/>
          <w:szCs w:val="24"/>
        </w:rPr>
        <w:t>83 graines par gousse.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population P2 a donné un nombre moyen total de graines et de graines saines le plus élevé. </w:t>
      </w:r>
    </w:p>
    <w:p w:rsidR="00624433" w:rsidRPr="00EB0638" w:rsidRDefault="00624433" w:rsidP="00CB4176">
      <w:pPr>
        <w:spacing w:line="360" w:lineRule="auto"/>
        <w:ind w:firstLine="284"/>
        <w:jc w:val="both"/>
        <w:rPr>
          <w:rFonts w:ascii="Times New Roman" w:hAnsi="Times New Roman" w:cs="Times New Roman"/>
          <w:sz w:val="24"/>
          <w:szCs w:val="24"/>
        </w:rPr>
      </w:pPr>
      <w:r w:rsidRPr="003303D1">
        <w:rPr>
          <w:rFonts w:ascii="Times New Roman" w:hAnsi="Times New Roman" w:cs="Times New Roman"/>
          <w:sz w:val="24"/>
          <w:szCs w:val="24"/>
        </w:rPr>
        <w:lastRenderedPageBreak/>
        <w:t>Le poids moyen géné</w:t>
      </w:r>
      <w:r w:rsidR="0046467A" w:rsidRPr="003303D1">
        <w:rPr>
          <w:rFonts w:ascii="Times New Roman" w:hAnsi="Times New Roman" w:cs="Times New Roman"/>
          <w:sz w:val="24"/>
          <w:szCs w:val="24"/>
        </w:rPr>
        <w:t>ral de mille graines trouvé (18,</w:t>
      </w:r>
      <w:r w:rsidR="00794D9B" w:rsidRPr="003303D1">
        <w:rPr>
          <w:rFonts w:ascii="Times New Roman" w:hAnsi="Times New Roman" w:cs="Times New Roman"/>
          <w:sz w:val="24"/>
          <w:szCs w:val="24"/>
        </w:rPr>
        <w:t>25</w:t>
      </w:r>
      <w:r w:rsidRPr="003303D1">
        <w:rPr>
          <w:rFonts w:ascii="Times New Roman" w:hAnsi="Times New Roman" w:cs="Times New Roman"/>
          <w:sz w:val="24"/>
          <w:szCs w:val="24"/>
        </w:rPr>
        <w:t>g) est inférieur à la moyenne in</w:t>
      </w:r>
      <w:r w:rsidR="00794D9B" w:rsidRPr="003303D1">
        <w:rPr>
          <w:rFonts w:ascii="Times New Roman" w:hAnsi="Times New Roman" w:cs="Times New Roman"/>
          <w:sz w:val="24"/>
          <w:szCs w:val="24"/>
        </w:rPr>
        <w:t>diquée par MOKKEDEM (2004a) (21</w:t>
      </w:r>
      <w:r w:rsidRPr="003303D1">
        <w:rPr>
          <w:rFonts w:ascii="Times New Roman" w:hAnsi="Times New Roman" w:cs="Times New Roman"/>
          <w:sz w:val="24"/>
          <w:szCs w:val="24"/>
        </w:rPr>
        <w:t>g).</w:t>
      </w:r>
      <w:r w:rsidRPr="00EB0638">
        <w:rPr>
          <w:rFonts w:ascii="Times New Roman" w:hAnsi="Times New Roman" w:cs="Times New Roman"/>
          <w:sz w:val="24"/>
          <w:szCs w:val="24"/>
        </w:rPr>
        <w:t xml:space="preserve"> </w:t>
      </w:r>
    </w:p>
    <w:p w:rsidR="00624433" w:rsidRPr="00EB0638" w:rsidRDefault="00624433" w:rsidP="00AD6B8B">
      <w:pPr>
        <w:pStyle w:val="Paragraphedeliste"/>
        <w:numPr>
          <w:ilvl w:val="0"/>
          <w:numId w:val="42"/>
        </w:numPr>
        <w:spacing w:before="240" w:line="360" w:lineRule="auto"/>
        <w:jc w:val="both"/>
        <w:rPr>
          <w:rFonts w:ascii="Times New Roman" w:hAnsi="Times New Roman" w:cs="Times New Roman"/>
          <w:b/>
          <w:sz w:val="24"/>
          <w:szCs w:val="24"/>
        </w:rPr>
      </w:pPr>
      <w:r w:rsidRPr="00EB0638">
        <w:rPr>
          <w:rFonts w:ascii="Times New Roman" w:hAnsi="Times New Roman" w:cs="Times New Roman"/>
          <w:b/>
          <w:sz w:val="24"/>
          <w:szCs w:val="24"/>
        </w:rPr>
        <w:t>Matrice des corrélations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tardives à la levée présentent des valeurs moyennes importantes de la vitesse de germination, de la capacité de germination, de la valeur germinative et du pourcentage de levée.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tardives au stade pleine levée, début floraison, nouaison et formation des gousses produisent beaucoup de gousses sur l’axe principal. Elles donnent des valeurs importantes de pourcentage moyen de levée et de rendement moyen parcellaire, mais le nombre moyen de ramifications primaires, secondaires, totales et le nombre moyen de graines sur les ramifications primaires sont faibles.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Lorsque le stade début floraison est tardif chez les populations, le cycle végétatif et l’étalement de la floraison sont courts et la sensibilité à l’échaudage et l’avortement est élevée.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Chez les populations à vitesse moyenne de croissance en hauteur rapide, les caractères nombre moyen de ramifications primaires, secondaires, totales, nombre moyen de graines sur les ramifications secondaires et nombre moyen total de graines ont des valeurs élevées.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qui sont caractérisées par des gousses lourdes et grandes produisent beaucoup de graines et donnent un poids moyen important de 1000 graines. Ce dernier caractère</w:t>
      </w:r>
      <w:r w:rsidR="00E72AFD">
        <w:rPr>
          <w:rFonts w:ascii="Times New Roman" w:hAnsi="Times New Roman" w:cs="Times New Roman"/>
          <w:sz w:val="24"/>
          <w:szCs w:val="24"/>
        </w:rPr>
        <w:t>,</w:t>
      </w:r>
      <w:r w:rsidRPr="00EB0638">
        <w:rPr>
          <w:rFonts w:ascii="Times New Roman" w:hAnsi="Times New Roman" w:cs="Times New Roman"/>
          <w:sz w:val="24"/>
          <w:szCs w:val="24"/>
        </w:rPr>
        <w:t xml:space="preserve"> évolue dans le même sens que le rendement moyen parcellaire estimé en graines.</w:t>
      </w:r>
    </w:p>
    <w:p w:rsidR="00624433" w:rsidRPr="00EB0638" w:rsidRDefault="00624433" w:rsidP="00AD6B8B">
      <w:pPr>
        <w:pStyle w:val="Paragraphedeliste"/>
        <w:numPr>
          <w:ilvl w:val="0"/>
          <w:numId w:val="42"/>
        </w:numPr>
        <w:spacing w:before="240" w:line="360" w:lineRule="auto"/>
        <w:jc w:val="both"/>
        <w:rPr>
          <w:rFonts w:ascii="Times New Roman" w:hAnsi="Times New Roman" w:cs="Times New Roman"/>
          <w:b/>
          <w:sz w:val="24"/>
          <w:szCs w:val="24"/>
        </w:rPr>
      </w:pPr>
      <w:r w:rsidRPr="00EB0638">
        <w:rPr>
          <w:rFonts w:ascii="Times New Roman" w:hAnsi="Times New Roman" w:cs="Times New Roman"/>
          <w:b/>
          <w:sz w:val="24"/>
          <w:szCs w:val="24"/>
        </w:rPr>
        <w:t>Analyse en composantes principales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P5, tardive à la floraison, sensible au phénomène d’échaudage et d’avortement et produisant un rendement moyen parcellaire estimé en graines important, s’oppose à la population P4 qui produit beaucoup de ramifications.</w:t>
      </w:r>
    </w:p>
    <w:p w:rsidR="00624433" w:rsidRPr="00EB0638" w:rsidRDefault="00624433" w:rsidP="00624433">
      <w:pPr>
        <w:spacing w:line="360" w:lineRule="auto"/>
        <w:ind w:firstLine="284"/>
        <w:jc w:val="both"/>
        <w:rPr>
          <w:rFonts w:ascii="Times New Roman" w:hAnsi="Times New Roman" w:cs="Times New Roman"/>
          <w:b/>
          <w:bCs/>
          <w:sz w:val="24"/>
          <w:szCs w:val="24"/>
        </w:rPr>
      </w:pPr>
      <w:r w:rsidRPr="00EB0638">
        <w:rPr>
          <w:rFonts w:ascii="Times New Roman" w:hAnsi="Times New Roman" w:cs="Times New Roman"/>
          <w:sz w:val="24"/>
          <w:szCs w:val="24"/>
        </w:rPr>
        <w:t xml:space="preserve">La population P6 présente des gousses grandes et lourdes. </w:t>
      </w:r>
    </w:p>
    <w:p w:rsidR="00624433" w:rsidRPr="00EB0638" w:rsidRDefault="00624433" w:rsidP="00624433">
      <w:pPr>
        <w:tabs>
          <w:tab w:val="left" w:pos="2127"/>
        </w:tabs>
        <w:rPr>
          <w:szCs w:val="24"/>
        </w:rPr>
      </w:pPr>
      <w:r w:rsidRPr="00EB0638">
        <w:rPr>
          <w:rFonts w:ascii="Times New Roman" w:hAnsi="Times New Roman" w:cs="Times New Roman"/>
          <w:b/>
          <w:bCs/>
          <w:sz w:val="24"/>
          <w:szCs w:val="24"/>
        </w:rPr>
        <w:br w:type="page"/>
      </w:r>
    </w:p>
    <w:p w:rsidR="001404F7" w:rsidRPr="00EB0638" w:rsidRDefault="001404F7" w:rsidP="00DA0812">
      <w:pPr>
        <w:pStyle w:val="Titre"/>
        <w:spacing w:line="360" w:lineRule="auto"/>
        <w:ind w:left="720"/>
        <w:rPr>
          <w:rFonts w:ascii="Times New Roman" w:hAnsi="Times New Roman"/>
          <w:sz w:val="28"/>
          <w:szCs w:val="28"/>
        </w:rPr>
      </w:pPr>
      <w:bookmarkStart w:id="1705" w:name="_Toc252094084"/>
      <w:bookmarkStart w:id="1706" w:name="_Toc252365473"/>
      <w:bookmarkStart w:id="1707" w:name="_Toc252365744"/>
      <w:bookmarkStart w:id="1708" w:name="_Toc252366289"/>
      <w:r w:rsidRPr="00EB0638">
        <w:rPr>
          <w:rFonts w:ascii="Times New Roman" w:hAnsi="Times New Roman"/>
          <w:sz w:val="28"/>
          <w:szCs w:val="28"/>
        </w:rPr>
        <w:lastRenderedPageBreak/>
        <w:t>CARTHAME (</w:t>
      </w:r>
      <w:r w:rsidRPr="00EB0638">
        <w:rPr>
          <w:rFonts w:ascii="Times New Roman" w:hAnsi="Times New Roman"/>
          <w:i/>
          <w:iCs/>
          <w:sz w:val="28"/>
          <w:szCs w:val="28"/>
        </w:rPr>
        <w:t>Carthamus tinctorius</w:t>
      </w:r>
      <w:r w:rsidRPr="00EB0638">
        <w:rPr>
          <w:rFonts w:ascii="Times New Roman" w:hAnsi="Times New Roman"/>
          <w:sz w:val="28"/>
          <w:szCs w:val="28"/>
        </w:rPr>
        <w:t xml:space="preserve"> L.)</w:t>
      </w:r>
      <w:bookmarkEnd w:id="1705"/>
      <w:bookmarkEnd w:id="1706"/>
      <w:bookmarkEnd w:id="1707"/>
      <w:bookmarkEnd w:id="1708"/>
    </w:p>
    <w:p w:rsidR="00624433" w:rsidRPr="00EB0638" w:rsidRDefault="00624433" w:rsidP="00AD6B8B">
      <w:pPr>
        <w:pStyle w:val="Paragraphedeliste"/>
        <w:numPr>
          <w:ilvl w:val="0"/>
          <w:numId w:val="43"/>
        </w:numPr>
        <w:spacing w:before="240" w:line="360" w:lineRule="auto"/>
        <w:jc w:val="both"/>
        <w:rPr>
          <w:rFonts w:ascii="Times New Roman" w:hAnsi="Times New Roman" w:cs="Times New Roman"/>
          <w:b/>
          <w:sz w:val="24"/>
          <w:szCs w:val="24"/>
        </w:rPr>
      </w:pPr>
      <w:r w:rsidRPr="00EB0638">
        <w:rPr>
          <w:rFonts w:ascii="Times New Roman" w:hAnsi="Times New Roman" w:cs="Times New Roman"/>
          <w:b/>
          <w:sz w:val="24"/>
          <w:szCs w:val="24"/>
        </w:rPr>
        <w:t>Germination</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Nous avons remarqué une hétérogénéité entre les moyennes pour les caractères vitesse de germination journalière, capacité de germination et la valeur germinative ; la population P'</w:t>
      </w:r>
      <w:smartTag w:uri="urn:schemas-microsoft-com:office:smarttags" w:element="metricconverter">
        <w:smartTagPr>
          <w:attr w:name="ProductID" w:val="3 a"/>
        </w:smartTagPr>
        <w:r w:rsidRPr="00EB0638">
          <w:rPr>
            <w:rFonts w:ascii="Times New Roman" w:hAnsi="Times New Roman" w:cs="Times New Roman"/>
            <w:sz w:val="24"/>
            <w:szCs w:val="24"/>
          </w:rPr>
          <w:t>3 a</w:t>
        </w:r>
      </w:smartTag>
      <w:r w:rsidRPr="00EB0638">
        <w:rPr>
          <w:rFonts w:ascii="Times New Roman" w:hAnsi="Times New Roman" w:cs="Times New Roman"/>
          <w:sz w:val="24"/>
          <w:szCs w:val="24"/>
        </w:rPr>
        <w:t xml:space="preserve"> donné les valeurs les plus élevées. </w:t>
      </w:r>
    </w:p>
    <w:p w:rsidR="00624433" w:rsidRPr="00EB0638" w:rsidRDefault="00B37135" w:rsidP="00AD6B8B">
      <w:pPr>
        <w:pStyle w:val="Paragraphedeliste"/>
        <w:numPr>
          <w:ilvl w:val="0"/>
          <w:numId w:val="43"/>
        </w:num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Caractères </w:t>
      </w:r>
      <w:r w:rsidR="00624433" w:rsidRPr="00EB0638">
        <w:rPr>
          <w:rFonts w:ascii="Times New Roman" w:hAnsi="Times New Roman" w:cs="Times New Roman"/>
          <w:b/>
          <w:sz w:val="24"/>
          <w:szCs w:val="24"/>
        </w:rPr>
        <w:t xml:space="preserve"> phénologiques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variabilité entre les populations pour les caractères phénologiques n’est pas considérable sauf pour le caractère étalement de la floraison ; la population P'</w:t>
      </w:r>
      <w:smartTag w:uri="urn:schemas-microsoft-com:office:smarttags" w:element="metricconverter">
        <w:smartTagPr>
          <w:attr w:name="ProductID" w:val="3 a"/>
        </w:smartTagPr>
        <w:r w:rsidRPr="00EB0638">
          <w:rPr>
            <w:rFonts w:ascii="Times New Roman" w:hAnsi="Times New Roman" w:cs="Times New Roman"/>
            <w:sz w:val="24"/>
            <w:szCs w:val="24"/>
          </w:rPr>
          <w:t>3 a</w:t>
        </w:r>
      </w:smartTag>
      <w:r w:rsidRPr="00EB0638">
        <w:rPr>
          <w:rFonts w:ascii="Times New Roman" w:hAnsi="Times New Roman" w:cs="Times New Roman"/>
          <w:sz w:val="24"/>
          <w:szCs w:val="24"/>
        </w:rPr>
        <w:t xml:space="preserve"> la durée d’étalement de la floraison la plus longue.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moyenne générale du nombre de jours entre le semis et la pleine floraison est nettement supérieure à la moyenne de 84.16 jours mentionnée par MUÑOZ-VALENZUELA (2007) et inférieure à la m</w:t>
      </w:r>
      <w:r w:rsidR="0046467A">
        <w:rPr>
          <w:rFonts w:ascii="Times New Roman" w:hAnsi="Times New Roman" w:cs="Times New Roman"/>
          <w:sz w:val="24"/>
          <w:szCs w:val="24"/>
        </w:rPr>
        <w:t>oyenne de 108,</w:t>
      </w:r>
      <w:r w:rsidRPr="00EB0638">
        <w:rPr>
          <w:rFonts w:ascii="Times New Roman" w:hAnsi="Times New Roman" w:cs="Times New Roman"/>
          <w:sz w:val="24"/>
          <w:szCs w:val="24"/>
        </w:rPr>
        <w:t xml:space="preserve">39 jours indiquée par KHOSHNOUD (2005), de 121 jours indiquée par KHOSHNOUD ET AL (2000) et de 203 jours rapportée par KHAN </w:t>
      </w:r>
      <w:r w:rsidRPr="00EB0638">
        <w:rPr>
          <w:rFonts w:ascii="Times New Roman" w:hAnsi="Times New Roman" w:cs="Times New Roman"/>
          <w:i/>
          <w:iCs/>
          <w:sz w:val="24"/>
          <w:szCs w:val="24"/>
        </w:rPr>
        <w:t>et al.</w:t>
      </w:r>
      <w:r w:rsidRPr="00EB0638">
        <w:rPr>
          <w:rFonts w:ascii="Times New Roman" w:hAnsi="Times New Roman" w:cs="Times New Roman"/>
          <w:sz w:val="24"/>
          <w:szCs w:val="24"/>
        </w:rPr>
        <w:t xml:space="preserve"> (2009).</w:t>
      </w:r>
    </w:p>
    <w:p w:rsidR="00624433" w:rsidRPr="00EB0638" w:rsidRDefault="00624433" w:rsidP="00AD6B8B">
      <w:pPr>
        <w:pStyle w:val="Paragraphedeliste"/>
        <w:numPr>
          <w:ilvl w:val="0"/>
          <w:numId w:val="43"/>
        </w:num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t xml:space="preserve"> </w:t>
      </w:r>
      <w:r w:rsidRPr="00EB0638">
        <w:rPr>
          <w:rFonts w:ascii="Times New Roman" w:hAnsi="Times New Roman" w:cs="Times New Roman"/>
          <w:b/>
          <w:sz w:val="24"/>
          <w:szCs w:val="24"/>
        </w:rPr>
        <w:t>Caractères de développement végétatif</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résultats des mesures de la hauteur présentent une certaine fluctuation ; les populations P'1 et P'2 présentent le développement le moins important durant les trois premières dates de notation et elles ont une vitesse de croissance moyenne en hauteur la plus rapide.</w:t>
      </w:r>
    </w:p>
    <w:p w:rsidR="00624433" w:rsidRPr="00EB0638" w:rsidRDefault="00624433" w:rsidP="00AD6B8B">
      <w:pPr>
        <w:pStyle w:val="Paragraphedeliste"/>
        <w:numPr>
          <w:ilvl w:val="0"/>
          <w:numId w:val="43"/>
        </w:numPr>
        <w:spacing w:before="240" w:line="360" w:lineRule="auto"/>
        <w:jc w:val="both"/>
        <w:rPr>
          <w:rFonts w:ascii="Times New Roman" w:hAnsi="Times New Roman" w:cs="Times New Roman"/>
          <w:b/>
          <w:sz w:val="24"/>
          <w:szCs w:val="24"/>
        </w:rPr>
      </w:pPr>
      <w:r w:rsidRPr="00EB0638">
        <w:rPr>
          <w:rFonts w:ascii="Times New Roman" w:hAnsi="Times New Roman" w:cs="Times New Roman"/>
          <w:b/>
          <w:sz w:val="24"/>
          <w:szCs w:val="24"/>
        </w:rPr>
        <w:t>Etude biométrique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Nous avons trouvé un nombre moyen de 17.28 branches par plant approximative</w:t>
      </w:r>
      <w:r w:rsidR="0046467A">
        <w:rPr>
          <w:rFonts w:ascii="Times New Roman" w:hAnsi="Times New Roman" w:cs="Times New Roman"/>
          <w:sz w:val="24"/>
          <w:szCs w:val="24"/>
        </w:rPr>
        <w:t>ment égal à celui mentionné (17,</w:t>
      </w:r>
      <w:r w:rsidRPr="00EB0638">
        <w:rPr>
          <w:rFonts w:ascii="Times New Roman" w:hAnsi="Times New Roman" w:cs="Times New Roman"/>
          <w:sz w:val="24"/>
          <w:szCs w:val="24"/>
        </w:rPr>
        <w:t xml:space="preserve">3) par de KIZIL1 </w:t>
      </w:r>
      <w:r w:rsidRPr="00EB0638">
        <w:rPr>
          <w:rFonts w:ascii="Times New Roman" w:hAnsi="Times New Roman" w:cs="Times New Roman"/>
          <w:i/>
          <w:iCs/>
          <w:sz w:val="24"/>
          <w:szCs w:val="24"/>
        </w:rPr>
        <w:t>et al.</w:t>
      </w:r>
      <w:r w:rsidR="0046467A">
        <w:rPr>
          <w:rFonts w:ascii="Times New Roman" w:hAnsi="Times New Roman" w:cs="Times New Roman"/>
          <w:sz w:val="24"/>
          <w:szCs w:val="24"/>
        </w:rPr>
        <w:t xml:space="preserve"> (2008) contre 23.3 et 9,</w:t>
      </w:r>
      <w:r w:rsidRPr="00EB0638">
        <w:rPr>
          <w:rFonts w:ascii="Times New Roman" w:hAnsi="Times New Roman" w:cs="Times New Roman"/>
          <w:sz w:val="24"/>
          <w:szCs w:val="24"/>
        </w:rPr>
        <w:t xml:space="preserve">40 branches indiqués, respectivement, par KHOSHNOUD (2005) et KHOSHNOUD </w:t>
      </w:r>
      <w:r w:rsidRPr="00EB0638">
        <w:rPr>
          <w:rFonts w:ascii="Times New Roman" w:hAnsi="Times New Roman" w:cs="Times New Roman"/>
          <w:i/>
          <w:iCs/>
          <w:sz w:val="24"/>
          <w:szCs w:val="24"/>
        </w:rPr>
        <w:t>et al.</w:t>
      </w:r>
      <w:r w:rsidRPr="00EB0638">
        <w:rPr>
          <w:rFonts w:ascii="Times New Roman" w:hAnsi="Times New Roman" w:cs="Times New Roman"/>
          <w:sz w:val="24"/>
          <w:szCs w:val="24"/>
        </w:rPr>
        <w:t xml:space="preserve"> (2006) ; CAMAS </w:t>
      </w:r>
      <w:r w:rsidRPr="00EB0638">
        <w:rPr>
          <w:rFonts w:ascii="Times New Roman" w:hAnsi="Times New Roman" w:cs="Times New Roman"/>
          <w:i/>
          <w:iCs/>
          <w:sz w:val="24"/>
          <w:szCs w:val="24"/>
        </w:rPr>
        <w:t>et al.</w:t>
      </w:r>
      <w:r w:rsidR="0046467A">
        <w:rPr>
          <w:rFonts w:ascii="Times New Roman" w:hAnsi="Times New Roman" w:cs="Times New Roman"/>
          <w:sz w:val="24"/>
          <w:szCs w:val="24"/>
        </w:rPr>
        <w:t xml:space="preserve"> (2007) a noté 6,</w:t>
      </w:r>
      <w:r w:rsidRPr="00EB0638">
        <w:rPr>
          <w:rFonts w:ascii="Times New Roman" w:hAnsi="Times New Roman" w:cs="Times New Roman"/>
          <w:sz w:val="24"/>
          <w:szCs w:val="24"/>
        </w:rPr>
        <w:t>61 branches par plant chez le cultivar Yenice.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nombre moyen de capitules par plant et par branches est variable d’une population à une autre ; la population P'3 présente la valeur la plus importante. Par contre le poids moyen de capitules et de fleurs par plant est homogène.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valeurs moyennes de la longueur et du diamètre d’un capitule sont hétérogènes, et la population P'3 présente la longueur le plus élevé et le diamètre le plus faible. Mais elle a produit un nombre moyen de graines totales faible.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lastRenderedPageBreak/>
        <w:t xml:space="preserve">Le nombre moyen de graines totales, saines et infectées évoluent dans le même sens.  </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Concernant le caractère nombre moyen total de graines par capitule</w:t>
      </w:r>
      <w:r w:rsidR="0046467A">
        <w:rPr>
          <w:rFonts w:ascii="Times New Roman" w:hAnsi="Times New Roman" w:cs="Times New Roman"/>
          <w:sz w:val="24"/>
          <w:szCs w:val="24"/>
        </w:rPr>
        <w:t>, les moyennes de 23,3 et de 29,</w:t>
      </w:r>
      <w:r w:rsidRPr="00EB0638">
        <w:rPr>
          <w:rFonts w:ascii="Times New Roman" w:hAnsi="Times New Roman" w:cs="Times New Roman"/>
          <w:sz w:val="24"/>
          <w:szCs w:val="24"/>
        </w:rPr>
        <w:t>71 graines citées, respectivement, par KHOSHNOUD (2005) et ÇAMAS</w:t>
      </w:r>
      <w:r w:rsidRPr="00EB0638">
        <w:rPr>
          <w:rFonts w:ascii="Times New Roman" w:hAnsi="Times New Roman" w:cs="Times New Roman"/>
          <w:i/>
          <w:iCs/>
          <w:sz w:val="24"/>
          <w:szCs w:val="24"/>
        </w:rPr>
        <w:t xml:space="preserve"> et al.</w:t>
      </w:r>
      <w:r w:rsidRPr="00EB0638">
        <w:rPr>
          <w:rFonts w:ascii="Times New Roman" w:hAnsi="Times New Roman" w:cs="Times New Roman"/>
          <w:sz w:val="24"/>
          <w:szCs w:val="24"/>
        </w:rPr>
        <w:t xml:space="preserve"> (2007) sont plus élevées que celles que nous avons trouvées.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poids moyen d’un capitule a une valeur élevée chez les populations P'1, P'2 et P'4, comparé à la population P'3.</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Nous avons remarqué une homogénéité entre les moyennes concernant le caractère poids de graines saines par capitule, dont la population P'4 présente la valeur la plus importante. </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poids moyen de mille graines marque une variabilité entre les populations étudiées.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valeurs moyennes du rendement estimé en fleurs et en graines sont homogènes. La population P' 3 présente la valeur la plus élevée du poids moyen de 1000 graines et du rendement moyen estimé en fleurs et en graines.</w:t>
      </w:r>
    </w:p>
    <w:p w:rsidR="00624433" w:rsidRPr="00EB0638" w:rsidRDefault="00624433" w:rsidP="00AD6B8B">
      <w:pPr>
        <w:pStyle w:val="Paragraphedeliste"/>
        <w:numPr>
          <w:ilvl w:val="0"/>
          <w:numId w:val="43"/>
        </w:numPr>
        <w:spacing w:before="240" w:line="360" w:lineRule="auto"/>
        <w:jc w:val="both"/>
        <w:rPr>
          <w:rFonts w:ascii="Times New Roman" w:hAnsi="Times New Roman" w:cs="Times New Roman"/>
          <w:b/>
          <w:sz w:val="24"/>
          <w:szCs w:val="24"/>
        </w:rPr>
      </w:pPr>
      <w:r w:rsidRPr="00EB0638">
        <w:rPr>
          <w:rFonts w:ascii="Times New Roman" w:hAnsi="Times New Roman" w:cs="Times New Roman"/>
          <w:b/>
          <w:sz w:val="24"/>
          <w:szCs w:val="24"/>
        </w:rPr>
        <w:t>Matrice des corrélations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à capacité moyenne de germination élevée ont une valeur germinative moyenne et un pourcentage moyen de levée importants, une précocité à la floraison, un nombre moyen de branches de capitules par plant et un poids moyen de 1000 graines élevés et elles donnent un rendement moyen parcellaire estimé en graines et en fleurs élevés.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tardives à la levée et à la pleine levée produisent un nombre moyen de branches et un rendement moyen parcellaire estimé en graines faibles.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à vitesse moyenne de croissance en hauteur rapide sont tardives au stade formation de branches, bouton florale, début floraison, pleine floraison, maturité et donnent un nombre moyen important de graines totales, saines, infectées, échaudées.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stade formation de branches est corrélé positivement avec</w:t>
      </w:r>
      <w:r w:rsidRPr="00EB0638">
        <w:rPr>
          <w:rFonts w:ascii="Times New Roman" w:hAnsi="Times New Roman" w:cs="Times New Roman"/>
        </w:rPr>
        <w:t xml:space="preserve"> </w:t>
      </w:r>
      <w:r w:rsidRPr="00EB0638">
        <w:rPr>
          <w:rFonts w:ascii="Times New Roman" w:hAnsi="Times New Roman" w:cs="Times New Roman"/>
          <w:sz w:val="24"/>
          <w:szCs w:val="24"/>
        </w:rPr>
        <w:t>le stade pleine levée et négativement au stade rosette.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stade bouton floral est corrélé positivement avec le stade pleine floraison et négativement à la durée de floraison.</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 stade début floraison est corrélé positivement avec le stade pleine floraison, fin floraison, maturité et le nombre moyen de graines échaudées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lastRenderedPageBreak/>
        <w:t>Le nombre moyen de graines totales, saines, infectées, échaudées, poids moyen d’un capitule et de graines saines évoluent dans le sens inverse du caractère poids moyen de 1000 graines.</w:t>
      </w:r>
    </w:p>
    <w:p w:rsidR="00624433" w:rsidRPr="00EB0638" w:rsidRDefault="00624433" w:rsidP="00AD6B8B">
      <w:pPr>
        <w:pStyle w:val="Paragraphedeliste"/>
        <w:numPr>
          <w:ilvl w:val="0"/>
          <w:numId w:val="43"/>
        </w:numPr>
        <w:spacing w:before="240" w:line="360" w:lineRule="auto"/>
        <w:jc w:val="both"/>
        <w:rPr>
          <w:rFonts w:ascii="Times New Roman" w:hAnsi="Times New Roman" w:cs="Times New Roman"/>
          <w:b/>
          <w:sz w:val="24"/>
          <w:szCs w:val="24"/>
        </w:rPr>
      </w:pPr>
      <w:r w:rsidRPr="00EB0638">
        <w:rPr>
          <w:rFonts w:ascii="Times New Roman" w:hAnsi="Times New Roman" w:cs="Times New Roman"/>
          <w:b/>
          <w:sz w:val="24"/>
          <w:szCs w:val="24"/>
        </w:rPr>
        <w:t>Analyse en composantes principales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P'3 s’oppose aux populations P'1, P'2, P'4 qui sont caractérisées par une faible capacité de germination, présentent un cycle végétatif et une vitesse moyenne de croissance en hauteur importants, mais elles assurent une faible productivité en branches, en fleurs et en graines.</w:t>
      </w:r>
    </w:p>
    <w:p w:rsidR="00624433" w:rsidRPr="00EB0638" w:rsidRDefault="00624433" w:rsidP="00624433">
      <w:pPr>
        <w:spacing w:line="360" w:lineRule="auto"/>
        <w:jc w:val="both"/>
        <w:rPr>
          <w:szCs w:val="24"/>
        </w:rPr>
      </w:pPr>
      <w:r w:rsidRPr="00EB0638">
        <w:rPr>
          <w:rFonts w:ascii="Times New Roman" w:hAnsi="Times New Roman" w:cs="Times New Roman"/>
          <w:sz w:val="24"/>
          <w:szCs w:val="24"/>
        </w:rPr>
        <w:br w:type="page"/>
      </w:r>
    </w:p>
    <w:p w:rsidR="00624433" w:rsidRDefault="001404F7" w:rsidP="00794D9B">
      <w:pPr>
        <w:pStyle w:val="Titre"/>
        <w:spacing w:line="360" w:lineRule="auto"/>
        <w:rPr>
          <w:rFonts w:ascii="Times New Roman" w:hAnsi="Times New Roman"/>
          <w:sz w:val="28"/>
          <w:szCs w:val="28"/>
        </w:rPr>
      </w:pPr>
      <w:bookmarkStart w:id="1709" w:name="_Toc252094085"/>
      <w:bookmarkStart w:id="1710" w:name="_Toc252365474"/>
      <w:bookmarkStart w:id="1711" w:name="_Toc252365745"/>
      <w:bookmarkStart w:id="1712" w:name="_Toc252366290"/>
      <w:r w:rsidRPr="00EB0638">
        <w:rPr>
          <w:rFonts w:ascii="Times New Roman" w:hAnsi="Times New Roman"/>
          <w:sz w:val="28"/>
          <w:szCs w:val="28"/>
        </w:rPr>
        <w:lastRenderedPageBreak/>
        <w:t>NEGELLE (</w:t>
      </w:r>
      <w:r w:rsidRPr="00EB0638">
        <w:rPr>
          <w:rFonts w:ascii="Times New Roman" w:hAnsi="Times New Roman"/>
          <w:i/>
          <w:iCs/>
          <w:sz w:val="28"/>
          <w:szCs w:val="28"/>
        </w:rPr>
        <w:t>Nigella sativa</w:t>
      </w:r>
      <w:r w:rsidRPr="00EB0638">
        <w:rPr>
          <w:rFonts w:ascii="Times New Roman" w:hAnsi="Times New Roman"/>
          <w:sz w:val="28"/>
          <w:szCs w:val="28"/>
        </w:rPr>
        <w:t xml:space="preserve"> L.)</w:t>
      </w:r>
      <w:bookmarkEnd w:id="1709"/>
      <w:bookmarkEnd w:id="1710"/>
      <w:bookmarkEnd w:id="1711"/>
      <w:bookmarkEnd w:id="1712"/>
    </w:p>
    <w:p w:rsidR="00794D9B" w:rsidRPr="00794D9B" w:rsidRDefault="00794D9B" w:rsidP="00794D9B"/>
    <w:p w:rsidR="00624433" w:rsidRPr="00EB0638" w:rsidRDefault="00624433" w:rsidP="00AD6B8B">
      <w:pPr>
        <w:pStyle w:val="Paragraphedeliste"/>
        <w:numPr>
          <w:ilvl w:val="0"/>
          <w:numId w:val="44"/>
        </w:num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t>Germination</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Concernant la vitesse moyenne de germination journalière, la capacité moyenne de germination et la valeur germinative moyenne, les valeurs moyennes les plus élevées sont enregistrées chez les populations P''2 et P''3. Alors que la valeur moyenne la plus faible est présentée par la population P''4, compte tenu de la durée de stockage subie (plus de 3 ans). </w:t>
      </w:r>
    </w:p>
    <w:p w:rsidR="00624433" w:rsidRPr="00EB0638" w:rsidRDefault="00624433" w:rsidP="00AD6B8B">
      <w:pPr>
        <w:pStyle w:val="Paragraphedeliste"/>
        <w:numPr>
          <w:ilvl w:val="0"/>
          <w:numId w:val="44"/>
        </w:numPr>
        <w:spacing w:before="240" w:line="360" w:lineRule="auto"/>
        <w:jc w:val="both"/>
        <w:rPr>
          <w:rFonts w:ascii="Times New Roman" w:hAnsi="Times New Roman" w:cs="Times New Roman"/>
          <w:b/>
          <w:bCs/>
          <w:sz w:val="24"/>
          <w:szCs w:val="24"/>
        </w:rPr>
      </w:pPr>
      <w:r w:rsidRPr="00EB0638">
        <w:rPr>
          <w:rFonts w:ascii="Times New Roman" w:hAnsi="Times New Roman" w:cs="Times New Roman"/>
          <w:sz w:val="24"/>
          <w:szCs w:val="24"/>
        </w:rPr>
        <w:t xml:space="preserve"> </w:t>
      </w:r>
      <w:r w:rsidR="00B37135">
        <w:rPr>
          <w:rFonts w:ascii="Times New Roman" w:hAnsi="Times New Roman" w:cs="Times New Roman"/>
          <w:b/>
          <w:bCs/>
          <w:sz w:val="24"/>
          <w:szCs w:val="24"/>
        </w:rPr>
        <w:t>Caractère</w:t>
      </w:r>
      <w:r w:rsidRPr="00EB0638">
        <w:rPr>
          <w:rFonts w:ascii="Times New Roman" w:hAnsi="Times New Roman" w:cs="Times New Roman"/>
          <w:b/>
          <w:bCs/>
          <w:sz w:val="24"/>
          <w:szCs w:val="24"/>
        </w:rPr>
        <w:t>s phénologiques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nigelle a donnée une levée tardive en comparaison avec le fenugrec et le carthame et un pourcentage moyen de levée très faible malgré la scarification de semences. RAVEN </w:t>
      </w:r>
      <w:r w:rsidRPr="00EB0638">
        <w:rPr>
          <w:rFonts w:ascii="Times New Roman" w:hAnsi="Times New Roman" w:cs="Times New Roman"/>
          <w:i/>
          <w:iCs/>
          <w:sz w:val="24"/>
          <w:szCs w:val="24"/>
        </w:rPr>
        <w:t>et al.</w:t>
      </w:r>
      <w:r w:rsidRPr="00EB0638">
        <w:rPr>
          <w:rFonts w:ascii="Times New Roman" w:hAnsi="Times New Roman" w:cs="Times New Roman"/>
          <w:sz w:val="24"/>
          <w:szCs w:val="24"/>
        </w:rPr>
        <w:t xml:space="preserve"> (2003) a indiqué que les causes qui influent le plus fréquemment sur la germination des graines sont l’immaturité physiologique de l’embryon et l’imperméabilité du spermoderme à l’eau et parfois à l’oxygène. En effet, les facteurs climatiques comme la température, les précipitations, l’évapotranspiration, les quantités cumulées de chaleur et de rayonnement reçues et la durée du jour, agissent sur la croissance et le développement des plantes et déterminent la dynamique de la production (</w:t>
      </w:r>
      <w:r w:rsidRPr="00EB0638">
        <w:rPr>
          <w:rFonts w:ascii="TimesNewRoman,Bold" w:hAnsi="TimesNewRoman,Bold" w:cs="TimesNewRoman,Bold"/>
          <w:bCs/>
        </w:rPr>
        <w:t>LEGER</w:t>
      </w:r>
      <w:r w:rsidRPr="00EB0638">
        <w:rPr>
          <w:rFonts w:ascii="Times New Roman" w:hAnsi="Times New Roman" w:cs="Times New Roman"/>
          <w:sz w:val="24"/>
          <w:szCs w:val="24"/>
        </w:rPr>
        <w:t xml:space="preserve"> </w:t>
      </w:r>
      <w:r w:rsidRPr="00EB0638">
        <w:rPr>
          <w:rFonts w:ascii="Times New Roman" w:hAnsi="Times New Roman" w:cs="Times New Roman"/>
          <w:i/>
          <w:sz w:val="24"/>
          <w:szCs w:val="24"/>
        </w:rPr>
        <w:t>et al</w:t>
      </w:r>
      <w:r w:rsidRPr="00EB0638">
        <w:rPr>
          <w:rFonts w:ascii="Times New Roman" w:hAnsi="Times New Roman" w:cs="Times New Roman"/>
          <w:sz w:val="24"/>
          <w:szCs w:val="24"/>
        </w:rPr>
        <w:t>. 2000).</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étudiées avaient un comportement homogène pour le caractère pourcentage de levée, bouton floral, floraison, étalement de la floraison, formation des capsules. Par contre, les résultats du caractère maturité des capsules a révèle une grande variabilité.</w:t>
      </w:r>
    </w:p>
    <w:p w:rsidR="00624433" w:rsidRPr="00EB0638" w:rsidRDefault="00624433" w:rsidP="00AD6B8B">
      <w:pPr>
        <w:pStyle w:val="Paragraphedeliste"/>
        <w:numPr>
          <w:ilvl w:val="0"/>
          <w:numId w:val="44"/>
        </w:num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t>Caractères de développement végétatif</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La population P''2 présente une dynamique de développement régulière et une vitesse de croissance rapide, par contre, la population P''1 montre un développement moins important avec une vitesse faible. </w:t>
      </w:r>
    </w:p>
    <w:p w:rsidR="00624433" w:rsidRPr="00EB0638" w:rsidRDefault="00624433" w:rsidP="00AD6B8B">
      <w:pPr>
        <w:pStyle w:val="Paragraphedeliste"/>
        <w:numPr>
          <w:ilvl w:val="0"/>
          <w:numId w:val="44"/>
        </w:num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t>Etude biométrique</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Les populations P''3 et P''2 qui présentent les valeurs importantes de nombre moyen de ramifications totales, primaires et secondaires sont les plus productives en capsules (nombre et poids) à l’opposé de la population P''1. </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Les caractères longueur moyenne de la capsule et de valves par capsule sont différents significativement entre les quatre populations. Alors que le caractère diamètre de la capsule a donné </w:t>
      </w:r>
      <w:r w:rsidRPr="00EB0638">
        <w:rPr>
          <w:rFonts w:ascii="Times New Roman" w:hAnsi="Times New Roman" w:cs="Times New Roman"/>
          <w:sz w:val="24"/>
          <w:szCs w:val="24"/>
        </w:rPr>
        <w:lastRenderedPageBreak/>
        <w:t xml:space="preserve">une homogénéité remarquable entre les populations. La population P''1, la plus haute, présente un nombre moyen de valves moins important. Par contre, la population P''4 qui est caractérisée par un petit diamètre présente un nombre moyen de valves plus important. </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Les résultats obtenus sur le nombre moyen total de graines et de graines saines, le poids moyen d’une capsule sont homogènes entre les populations étudiées. Par contre, nous avons trouvé une grande variabilité concernant les caractères nombre moyen de graines avortées et échaudées, poids moyen de graines saines et poids moyen de 1000 graines. </w:t>
      </w:r>
    </w:p>
    <w:p w:rsidR="00624433" w:rsidRPr="00EB0638" w:rsidRDefault="00624433" w:rsidP="00624433">
      <w:pPr>
        <w:spacing w:line="360" w:lineRule="auto"/>
        <w:ind w:firstLine="284"/>
        <w:jc w:val="both"/>
        <w:rPr>
          <w:rFonts w:ascii="Times New Roman" w:hAnsi="Times New Roman" w:cs="Times New Roman"/>
          <w:sz w:val="24"/>
          <w:szCs w:val="24"/>
        </w:rPr>
      </w:pPr>
      <w:r w:rsidRPr="003303D1">
        <w:rPr>
          <w:rFonts w:ascii="Times New Roman" w:hAnsi="Times New Roman" w:cs="Times New Roman"/>
          <w:sz w:val="24"/>
          <w:szCs w:val="24"/>
        </w:rPr>
        <w:t>Le rendement moyen des quatre populations de nigelle étudiées (3 q/ha) est nettement inférieur à la moyenne indiquée (10 à 15 q/ha) par MOKKEDEM (2004).</w:t>
      </w:r>
    </w:p>
    <w:p w:rsidR="00624433" w:rsidRPr="00EB0638" w:rsidRDefault="00624433" w:rsidP="00AD6B8B">
      <w:pPr>
        <w:pStyle w:val="Paragraphedeliste"/>
        <w:numPr>
          <w:ilvl w:val="0"/>
          <w:numId w:val="44"/>
        </w:num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t>Matrice des corrélations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vitesse moyenne de germination journalière, la valeur germinative moyenne et la capacité moyenne de germination sont corrélées positivement avec le stade bouton florale, début floraison, fin floraison, formation des capsules, la vitesse moyenne de croissance en hauteur, la durée de floraison, le nombre moyen de ramifications primaires, secondaires et totales, le nombre de capsules par plant et négativement au stade de maturité, diamètre d’une capsule, nombre moyen de graines avortées et échaudées.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tardives au stade bouton floral et début floraison présentent un nombre moyen de ramifications primaires, secondaires et totales, un nombre de capsules par plant et un poids moyen des capsules élevés, mais les nombres moyens de graines avortées et échaudés sont faibles.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à vitesse de croissance rapide présentent un nombre moyen de ramifications primaires, secondaires et totales, un nombre et poids moyens des capsules élevés ; mais, la longueur et le diamètre moyens de la capsule, le nombre moyen de graines avortées et échaudées et le poids moyen de graines saines sont faibles.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 nombre moyen de ramifications primaires et secondaires évoluent dans le même sens que le nombre moyen total de ramifications, de capsules, de graines saines et du poids moyen des capsules, et dans le sens négatif à la longueur moyenne des capsules. </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Des corrélations positives existent entre le poids moyen de 1000 graines et le nombre moyen total de graines, le poids moyen d’une capsule et le rendement moyen estimé en graines.</w:t>
      </w:r>
    </w:p>
    <w:p w:rsidR="00624433" w:rsidRPr="00EB0638" w:rsidRDefault="00624433" w:rsidP="00624433">
      <w:pPr>
        <w:spacing w:line="360" w:lineRule="auto"/>
        <w:ind w:firstLine="284"/>
        <w:jc w:val="both"/>
        <w:rPr>
          <w:rFonts w:ascii="Times New Roman" w:hAnsi="Times New Roman" w:cs="Times New Roman"/>
          <w:sz w:val="24"/>
          <w:szCs w:val="24"/>
        </w:rPr>
      </w:pPr>
    </w:p>
    <w:p w:rsidR="008818BB" w:rsidRPr="00EB0638" w:rsidRDefault="008818BB" w:rsidP="00624433">
      <w:pPr>
        <w:spacing w:line="360" w:lineRule="auto"/>
        <w:ind w:firstLine="284"/>
        <w:jc w:val="both"/>
        <w:rPr>
          <w:rFonts w:ascii="Times New Roman" w:hAnsi="Times New Roman" w:cs="Times New Roman"/>
          <w:sz w:val="24"/>
          <w:szCs w:val="24"/>
        </w:rPr>
      </w:pPr>
    </w:p>
    <w:p w:rsidR="00624433" w:rsidRPr="00EB0638" w:rsidRDefault="00624433" w:rsidP="00AD6B8B">
      <w:pPr>
        <w:pStyle w:val="Paragraphedeliste"/>
        <w:numPr>
          <w:ilvl w:val="0"/>
          <w:numId w:val="44"/>
        </w:numPr>
        <w:spacing w:before="240" w:line="360" w:lineRule="auto"/>
        <w:jc w:val="both"/>
        <w:rPr>
          <w:rFonts w:ascii="Times New Roman" w:hAnsi="Times New Roman" w:cs="Times New Roman"/>
          <w:b/>
          <w:bCs/>
          <w:sz w:val="24"/>
          <w:szCs w:val="24"/>
        </w:rPr>
      </w:pPr>
      <w:r w:rsidRPr="00EB0638">
        <w:rPr>
          <w:rFonts w:ascii="Times New Roman" w:hAnsi="Times New Roman" w:cs="Times New Roman"/>
          <w:b/>
          <w:bCs/>
          <w:sz w:val="24"/>
          <w:szCs w:val="24"/>
        </w:rPr>
        <w:lastRenderedPageBreak/>
        <w:t>Analyse en composantes principales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Les populations P''2 et P''3, qui ont une capacité et une vitesse moyennes de germinations importantes et une vitesse moyenne de croissance en hauteur, produisent beaucoup de ramifications et de capsules. Par contre, les populations P''1 et P''4, qui s’opposent aux populations P''2 et P''3, se distinguent par un long cycle végétatif, le nombre moyen de graines avortées et échaudées, le diamètre moyen de la capsule, et le poids moyen de 1000 graines importants. </w:t>
      </w:r>
    </w:p>
    <w:p w:rsidR="00624433" w:rsidRPr="00EB0638" w:rsidRDefault="00624433" w:rsidP="004A2A5D">
      <w:pPr>
        <w:spacing w:line="360" w:lineRule="auto"/>
        <w:jc w:val="center"/>
        <w:rPr>
          <w:rFonts w:ascii="Times New Roman" w:hAnsi="Times New Roman" w:cs="Times New Roman"/>
          <w:b/>
          <w:bCs/>
          <w:sz w:val="24"/>
          <w:szCs w:val="24"/>
        </w:rPr>
        <w:sectPr w:rsidR="00624433" w:rsidRPr="00EB0638" w:rsidSect="00063900">
          <w:headerReference w:type="default" r:id="rId134"/>
          <w:pgSz w:w="11906" w:h="16838"/>
          <w:pgMar w:top="993" w:right="849" w:bottom="1135" w:left="1134" w:header="708" w:footer="708" w:gutter="0"/>
          <w:cols w:space="708"/>
          <w:docGrid w:linePitch="360"/>
        </w:sectPr>
      </w:pPr>
    </w:p>
    <w:p w:rsidR="00624433" w:rsidRPr="00EB0638" w:rsidRDefault="00624433" w:rsidP="00624433">
      <w:pPr>
        <w:spacing w:line="360" w:lineRule="auto"/>
        <w:rPr>
          <w:rFonts w:ascii="Times New Roman" w:hAnsi="Times New Roman" w:cs="Times New Roman"/>
          <w:sz w:val="24"/>
          <w:szCs w:val="24"/>
        </w:rPr>
      </w:pPr>
    </w:p>
    <w:p w:rsidR="00624433" w:rsidRDefault="00624433" w:rsidP="00B824A2">
      <w:pPr>
        <w:pStyle w:val="Titre"/>
        <w:spacing w:line="360" w:lineRule="auto"/>
        <w:rPr>
          <w:rFonts w:asciiTheme="majorBidi" w:hAnsiTheme="majorBidi" w:cstheme="majorBidi"/>
          <w:sz w:val="28"/>
          <w:szCs w:val="28"/>
        </w:rPr>
      </w:pPr>
      <w:bookmarkStart w:id="1713" w:name="_Toc126576875"/>
      <w:bookmarkStart w:id="1714" w:name="_Toc252094086"/>
      <w:bookmarkStart w:id="1715" w:name="_Toc252365475"/>
      <w:bookmarkStart w:id="1716" w:name="_Toc252365746"/>
      <w:bookmarkStart w:id="1717" w:name="_Toc252366291"/>
      <w:r w:rsidRPr="00EB0638">
        <w:rPr>
          <w:rFonts w:asciiTheme="majorBidi" w:hAnsiTheme="majorBidi" w:cstheme="majorBidi"/>
          <w:sz w:val="28"/>
          <w:szCs w:val="28"/>
        </w:rPr>
        <w:t>Conclusion</w:t>
      </w:r>
      <w:bookmarkEnd w:id="1713"/>
      <w:bookmarkEnd w:id="1714"/>
      <w:bookmarkEnd w:id="1715"/>
      <w:bookmarkEnd w:id="1716"/>
      <w:bookmarkEnd w:id="1717"/>
    </w:p>
    <w:p w:rsidR="0073785D" w:rsidRPr="0073785D" w:rsidRDefault="0073785D" w:rsidP="0073785D"/>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L’étude de la variabilité phénotypique constitue une première approche d’évaluation de la diversité génétique. Nous avons sélectionné pour cette étude 36 caractères pour le fenugrec et le carthame et 33 caractères pour la nigelle. Les caractères sont analysés par des tests statistiques.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Concernant le fenugrec, l’analyse des résultats a montré que les populations étudiées sont plus ou moins différentes suivant leurs provenances.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P1 introduite et la population P3 provenant d’Ain Naga se distinguent des autres populations par la vitesse moyenne de germination journalière, capacité moyen de germination et la valeur germinative moyenne, la précocité à la levée, à la pleine levée et le pourcentage moyen de levée plus élevés.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P6 provenant de M’Zérâa par ses composantes les plus importantes : le poids moyen d’une gousse et de graines saines, la longueur et le diamètre moyens de la gousse ainsi le poids moyen de 1000 graines, forme un groupe séparé des autres populations.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résultats des corrélations et de l’Analyse en Composantes Principales (ACP) ont montré que les populations tardives à la floraison, sont plus sensibles au phénomène d’avortement et d’échaudage et elles donnent un rendement moyen parcellaire élevé. Les populations à floraison plus étalée produisent un nombre moyen faible de ramifications primaires, secondaires et totales.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Chez le carthame, la variabilité des caractères étudiés était visible pour les caractères de germination et pour la majorité des caractères biométriques. Par contre, les caractères phénologiques présentent une variabilité très réduite entre les populations étudiées.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population P'3 provenant de Besbes est caractérisée par une vitesse moyenne de germination journalière, une capacité moyenne de germination, une valeur germinative moyenne, la durée de floraison, le nombre moyen de capitules par plant et par branches, la longueur d’un capitule, du poids moyen de 1000 graines, le rendement moyen estimé en fleurs et en graines plus élevés que chez les autres populations P'1, P'2 provenant d’Ain Naga et P'4 de Sidi Khaled qui se distinguent par des valeurs importantes de la vitesse moyenne de croissance en hauteur, le poids et le diamètre moyens d’un capitule, le nombre moyen de graines (totales, saines, infectées et échaudées) sont également élevés.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lastRenderedPageBreak/>
        <w:t xml:space="preserve">L’analyse de l’ACP a montré que les quatre populations étudiées sont bien structurées entre elles, deux groupes se sont formés et sont bien séparés, le premier comprend les populations P'1, P'2 provenant d’Ain Naga et  P'4 provenant de Besbes. </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résultats obtenus sur les populations de nigelle indiquent une très faible variation concernant les paramètres phénologiques. De même</w:t>
      </w:r>
      <w:r w:rsidRPr="00EB0638">
        <w:rPr>
          <w:rFonts w:ascii="Times New Roman" w:hAnsi="Times New Roman" w:cs="Times New Roman"/>
          <w:b/>
          <w:sz w:val="24"/>
          <w:szCs w:val="24"/>
        </w:rPr>
        <w:t xml:space="preserve"> </w:t>
      </w:r>
      <w:r w:rsidRPr="00EB0638">
        <w:rPr>
          <w:rFonts w:ascii="Times New Roman" w:hAnsi="Times New Roman" w:cs="Times New Roman"/>
          <w:sz w:val="24"/>
          <w:szCs w:val="24"/>
        </w:rPr>
        <w:t>le pourcentage de levée est très faible, ce paramètre est probablement sous l’influence du milieu.</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 xml:space="preserve">Les caractères de germination ont montré une grande variabilité, alors que les caractères biométriques sont plus ou moins hétérogènes. </w:t>
      </w:r>
    </w:p>
    <w:p w:rsidR="00624433" w:rsidRPr="00EB0638" w:rsidRDefault="00624433" w:rsidP="00624433">
      <w:pPr>
        <w:spacing w:line="360" w:lineRule="auto"/>
        <w:ind w:firstLine="284"/>
        <w:jc w:val="both"/>
        <w:rPr>
          <w:rFonts w:ascii="Times New Roman" w:hAnsi="Times New Roman" w:cs="Times New Roman"/>
        </w:rPr>
      </w:pPr>
      <w:r w:rsidRPr="00EB0638">
        <w:rPr>
          <w:rFonts w:ascii="Times New Roman" w:hAnsi="Times New Roman" w:cs="Times New Roman"/>
          <w:sz w:val="24"/>
          <w:szCs w:val="24"/>
        </w:rPr>
        <w:t>Nous avons pu établir des différences entre les populations P''3, provenant d’Ain Naga, et P''2, de T’Koute, par rapport aux populations P''1 introduite et P''4 provenant d’Ouled Djallel. Les populations P''3 et P''2 se distinguent par la vitesse moyenne de germination journalière, la capacité moyenne de germination et la valeur germinative moyenne, la durée de floraison, la vitesse moyenne de croissance en hauteur, le nombre moyen total de ramifications, le nombre moyen de capsules par plant et le rendement parcellaire estimé en graines élevés.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Les populations P''1 et P''4 se caractérisent par un long cycle végétatif. Le nombre moyen de graines avortées et échaudées, le diamètre moyen de la capsule, et le poids moyen de 1000 graines sont importants.</w:t>
      </w: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La répartition des quatre populations sur le plan de l’ACP a montré deux groupes distincts. Le groupe 1 renferme les populations P''2 de T’Koute et P''3 d’Ain Naga. Le groupe 2 est représenté par P''1 introduite et  P''4 d’Ouled Djallel.</w:t>
      </w:r>
    </w:p>
    <w:p w:rsidR="00624433" w:rsidRPr="00EB0638" w:rsidRDefault="00624433" w:rsidP="00624433">
      <w:pPr>
        <w:spacing w:line="360" w:lineRule="auto"/>
        <w:ind w:firstLine="284"/>
        <w:jc w:val="both"/>
        <w:rPr>
          <w:rFonts w:ascii="Times New Roman" w:hAnsi="Times New Roman" w:cs="Times New Roman"/>
          <w:sz w:val="24"/>
          <w:szCs w:val="24"/>
        </w:rPr>
      </w:pPr>
    </w:p>
    <w:p w:rsidR="00624433" w:rsidRPr="00EB0638" w:rsidRDefault="00624433" w:rsidP="00624433">
      <w:pPr>
        <w:spacing w:line="360" w:lineRule="auto"/>
        <w:ind w:firstLine="284"/>
        <w:jc w:val="both"/>
        <w:rPr>
          <w:rFonts w:ascii="Times New Roman" w:hAnsi="Times New Roman" w:cs="Times New Roman"/>
          <w:sz w:val="24"/>
          <w:szCs w:val="24"/>
        </w:rPr>
      </w:pPr>
      <w:r w:rsidRPr="00EB0638">
        <w:rPr>
          <w:rFonts w:ascii="Times New Roman" w:hAnsi="Times New Roman" w:cs="Times New Roman"/>
          <w:sz w:val="24"/>
          <w:szCs w:val="24"/>
        </w:rPr>
        <w:t>Pour les trois espèces, les résultats obtenus ne constituent qu’un début à la caractérisation de ces populations. Il nous semble intéressant d’approfondir ultérieurement l’étude de ces populations afin d’éclaircir les phénomènes génétiques et biochimiques qui régissent leur caractères et d’établir une base de données qui pourra éventuellement servir de base à des travaux d’hybridation et de sélection.</w:t>
      </w:r>
    </w:p>
    <w:p w:rsidR="00CC29E3" w:rsidRPr="00EB0638" w:rsidRDefault="00CC29E3" w:rsidP="004A2A5D">
      <w:pPr>
        <w:spacing w:line="360" w:lineRule="auto"/>
        <w:jc w:val="both"/>
        <w:rPr>
          <w:rFonts w:ascii="Times New Roman" w:hAnsi="Times New Roman" w:cs="Times New Roman"/>
          <w:sz w:val="24"/>
          <w:szCs w:val="24"/>
        </w:rPr>
        <w:sectPr w:rsidR="00CC29E3" w:rsidRPr="00EB0638" w:rsidSect="00063900">
          <w:headerReference w:type="default" r:id="rId135"/>
          <w:pgSz w:w="11906" w:h="16838"/>
          <w:pgMar w:top="993" w:right="849" w:bottom="1135" w:left="1134" w:header="708" w:footer="708" w:gutter="0"/>
          <w:cols w:space="708"/>
          <w:docGrid w:linePitch="360"/>
        </w:sectPr>
      </w:pPr>
    </w:p>
    <w:p w:rsidR="00CC29E3" w:rsidRPr="00EB0638" w:rsidRDefault="00CC29E3" w:rsidP="00CC29E3">
      <w:pPr>
        <w:tabs>
          <w:tab w:val="left" w:pos="3105"/>
        </w:tabs>
        <w:spacing w:line="360" w:lineRule="auto"/>
        <w:jc w:val="center"/>
        <w:rPr>
          <w:b/>
          <w:bCs/>
        </w:rPr>
      </w:pPr>
    </w:p>
    <w:p w:rsidR="00CC29E3" w:rsidRPr="00EB0638" w:rsidRDefault="00CC29E3" w:rsidP="008818BB">
      <w:pPr>
        <w:pStyle w:val="Titre"/>
        <w:spacing w:line="360" w:lineRule="auto"/>
        <w:rPr>
          <w:rFonts w:asciiTheme="majorBidi" w:hAnsiTheme="majorBidi" w:cstheme="majorBidi"/>
          <w:sz w:val="28"/>
          <w:szCs w:val="28"/>
        </w:rPr>
      </w:pPr>
      <w:bookmarkStart w:id="1718" w:name="_Toc126576876"/>
      <w:bookmarkStart w:id="1719" w:name="_Toc252094087"/>
      <w:bookmarkStart w:id="1720" w:name="_Toc252365476"/>
      <w:bookmarkStart w:id="1721" w:name="_Toc252365747"/>
      <w:bookmarkStart w:id="1722" w:name="_Toc252366292"/>
      <w:r w:rsidRPr="00EB0638">
        <w:rPr>
          <w:rFonts w:asciiTheme="majorBidi" w:hAnsiTheme="majorBidi" w:cstheme="majorBidi"/>
          <w:sz w:val="28"/>
          <w:szCs w:val="28"/>
        </w:rPr>
        <w:t>Bibliographies</w:t>
      </w:r>
      <w:bookmarkEnd w:id="1718"/>
      <w:bookmarkEnd w:id="1719"/>
      <w:bookmarkEnd w:id="1720"/>
      <w:bookmarkEnd w:id="1721"/>
      <w:bookmarkEnd w:id="1722"/>
    </w:p>
    <w:p w:rsidR="00CC29E3" w:rsidRPr="002A4B5B" w:rsidRDefault="00CC29E3" w:rsidP="002A4B5B">
      <w:pPr>
        <w:tabs>
          <w:tab w:val="left" w:pos="3105"/>
        </w:tabs>
        <w:spacing w:line="240" w:lineRule="auto"/>
        <w:rPr>
          <w:rFonts w:asciiTheme="majorBidi" w:hAnsiTheme="majorBidi" w:cstheme="majorBidi"/>
          <w:bCs/>
          <w:sz w:val="20"/>
          <w:szCs w:val="20"/>
        </w:rPr>
      </w:pPr>
    </w:p>
    <w:p w:rsidR="00CC29E3" w:rsidRPr="002A4B5B" w:rsidRDefault="00CC29E3" w:rsidP="002A4B5B">
      <w:pPr>
        <w:numPr>
          <w:ilvl w:val="0"/>
          <w:numId w:val="45"/>
        </w:numPr>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bCs/>
          <w:sz w:val="20"/>
          <w:szCs w:val="20"/>
          <w:lang w:val="en-US"/>
        </w:rPr>
        <w:t>ABDULELAH. H.A.A., ET ZAINAL-ABIDIN. B. A. H., 2007:</w:t>
      </w:r>
      <w:r w:rsidRPr="002A4B5B">
        <w:rPr>
          <w:rFonts w:asciiTheme="majorBidi" w:hAnsiTheme="majorBidi" w:cstheme="majorBidi"/>
          <w:b/>
          <w:bCs/>
          <w:sz w:val="20"/>
          <w:szCs w:val="20"/>
          <w:lang w:val="en-US"/>
        </w:rPr>
        <w:t xml:space="preserve"> «</w:t>
      </w:r>
      <w:r w:rsidRPr="002A4B5B">
        <w:rPr>
          <w:rFonts w:asciiTheme="majorBidi" w:hAnsiTheme="majorBidi" w:cstheme="majorBidi"/>
          <w:bCs/>
          <w:i/>
          <w:iCs/>
          <w:sz w:val="20"/>
          <w:szCs w:val="20"/>
          <w:lang w:val="en-US"/>
        </w:rPr>
        <w:t xml:space="preserve"> In Vivo </w:t>
      </w:r>
      <w:r w:rsidRPr="002A4B5B">
        <w:rPr>
          <w:rFonts w:asciiTheme="majorBidi" w:hAnsiTheme="majorBidi" w:cstheme="majorBidi"/>
          <w:bCs/>
          <w:sz w:val="20"/>
          <w:szCs w:val="20"/>
          <w:lang w:val="en-US"/>
        </w:rPr>
        <w:t xml:space="preserve">Anti-malarial Tests of </w:t>
      </w:r>
      <w:r w:rsidRPr="002A4B5B">
        <w:rPr>
          <w:rFonts w:asciiTheme="majorBidi" w:hAnsiTheme="majorBidi" w:cstheme="majorBidi"/>
          <w:bCs/>
          <w:i/>
          <w:iCs/>
          <w:sz w:val="20"/>
          <w:szCs w:val="20"/>
          <w:lang w:val="en-US"/>
        </w:rPr>
        <w:t xml:space="preserve">Nigella sativa </w:t>
      </w:r>
      <w:r w:rsidRPr="002A4B5B">
        <w:rPr>
          <w:rFonts w:asciiTheme="majorBidi" w:hAnsiTheme="majorBidi" w:cstheme="majorBidi"/>
          <w:bCs/>
          <w:sz w:val="20"/>
          <w:szCs w:val="20"/>
          <w:lang w:val="en-US"/>
        </w:rPr>
        <w:t xml:space="preserve">(Black Seed) Different extracts </w:t>
      </w:r>
      <w:r w:rsidRPr="002A4B5B">
        <w:rPr>
          <w:rFonts w:asciiTheme="majorBidi" w:hAnsiTheme="majorBidi" w:cstheme="majorBidi"/>
          <w:sz w:val="20"/>
          <w:szCs w:val="20"/>
          <w:lang w:val="en-US"/>
        </w:rPr>
        <w:t>»</w:t>
      </w:r>
      <w:r w:rsidRPr="002A4B5B">
        <w:rPr>
          <w:rFonts w:asciiTheme="majorBidi" w:hAnsiTheme="majorBidi" w:cstheme="majorBidi"/>
          <w:bCs/>
          <w:sz w:val="20"/>
          <w:szCs w:val="20"/>
          <w:lang w:val="en-US"/>
        </w:rPr>
        <w:t>.</w:t>
      </w:r>
      <w:r w:rsidRPr="002A4B5B">
        <w:rPr>
          <w:rFonts w:asciiTheme="majorBidi" w:hAnsiTheme="majorBidi" w:cstheme="majorBidi"/>
          <w:sz w:val="20"/>
          <w:szCs w:val="20"/>
          <w:lang w:val="en-US"/>
        </w:rPr>
        <w:t xml:space="preserve"> </w:t>
      </w:r>
      <w:r w:rsidRPr="002A4B5B">
        <w:rPr>
          <w:rFonts w:asciiTheme="majorBidi" w:hAnsiTheme="majorBidi" w:cstheme="majorBidi"/>
          <w:bCs/>
          <w:sz w:val="20"/>
          <w:szCs w:val="20"/>
          <w:lang w:val="en-US"/>
        </w:rPr>
        <w:t>American Journal of Pharmacology and Toxicology 2 (2).ISSN 1557-4962. pp: 46-50..</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US"/>
        </w:rPr>
      </w:pPr>
      <w:r w:rsidRPr="002A4B5B">
        <w:rPr>
          <w:rFonts w:asciiTheme="majorBidi" w:hAnsiTheme="majorBidi" w:cstheme="majorBidi"/>
          <w:sz w:val="20"/>
          <w:szCs w:val="20"/>
          <w:lang w:val="en-US"/>
        </w:rPr>
        <w:t>ACHARYA S., SRICHAMROEN A., BASU S., OORAIKUL B ET BASU T</w:t>
      </w:r>
      <w:r w:rsidRPr="002A4B5B">
        <w:rPr>
          <w:rFonts w:asciiTheme="majorBidi" w:hAnsiTheme="majorBidi" w:cstheme="majorBidi"/>
          <w:bCs/>
          <w:sz w:val="20"/>
          <w:szCs w:val="20"/>
          <w:lang w:val="en-US"/>
        </w:rPr>
        <w:t>., 2006</w:t>
      </w:r>
      <w:r w:rsidRPr="002A4B5B">
        <w:rPr>
          <w:rFonts w:asciiTheme="majorBidi" w:hAnsiTheme="majorBidi" w:cstheme="majorBidi"/>
          <w:sz w:val="20"/>
          <w:szCs w:val="20"/>
          <w:lang w:val="en-US"/>
        </w:rPr>
        <w:t>:</w:t>
      </w:r>
      <w:r w:rsidRPr="002A4B5B">
        <w:rPr>
          <w:rFonts w:asciiTheme="majorBidi" w:hAnsiTheme="majorBidi" w:cstheme="majorBidi"/>
          <w:b/>
          <w:bCs/>
          <w:sz w:val="20"/>
          <w:szCs w:val="20"/>
          <w:lang w:val="en-US"/>
        </w:rPr>
        <w:t xml:space="preserve"> «</w:t>
      </w:r>
      <w:r w:rsidRPr="002A4B5B">
        <w:rPr>
          <w:rFonts w:asciiTheme="majorBidi" w:hAnsiTheme="majorBidi" w:cstheme="majorBidi"/>
          <w:sz w:val="20"/>
          <w:szCs w:val="20"/>
          <w:lang w:val="en-US"/>
        </w:rPr>
        <w:t xml:space="preserve"> Improvement in the nutraceutical properties of fenugreek (</w:t>
      </w:r>
      <w:r w:rsidRPr="002A4B5B">
        <w:rPr>
          <w:rFonts w:asciiTheme="majorBidi" w:hAnsiTheme="majorBidi" w:cstheme="majorBidi"/>
          <w:i/>
          <w:sz w:val="20"/>
          <w:szCs w:val="20"/>
          <w:lang w:val="en-US"/>
        </w:rPr>
        <w:t>Trigonella foenum-graecum</w:t>
      </w:r>
      <w:r w:rsidRPr="002A4B5B">
        <w:rPr>
          <w:rFonts w:asciiTheme="majorBidi" w:hAnsiTheme="majorBidi" w:cstheme="majorBidi"/>
          <w:sz w:val="20"/>
          <w:szCs w:val="20"/>
          <w:lang w:val="en-US"/>
        </w:rPr>
        <w:t xml:space="preserve"> L.). Songklanakarin ». J. Sci. Technol. 2006. 28(Suppl. 1) pp: 1-9p.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AMEROUN R., 2003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xml:space="preserve"> La relation des cultures oléagineuses en Algérie : quel plan directeur de recherche et de développement adopter pour leur relance </w:t>
      </w:r>
      <w:r w:rsidRPr="002A4B5B">
        <w:rPr>
          <w:rFonts w:asciiTheme="majorBidi" w:hAnsiTheme="majorBidi" w:cstheme="majorBidi"/>
          <w:sz w:val="20"/>
          <w:szCs w:val="20"/>
        </w:rPr>
        <w:t>»</w:t>
      </w:r>
      <w:r w:rsidRPr="002A4B5B">
        <w:rPr>
          <w:rFonts w:asciiTheme="majorBidi" w:hAnsiTheme="majorBidi" w:cstheme="majorBidi"/>
          <w:bCs/>
          <w:sz w:val="20"/>
          <w:szCs w:val="20"/>
        </w:rPr>
        <w:t xml:space="preserve">. </w:t>
      </w:r>
      <w:r w:rsidRPr="002A4B5B">
        <w:rPr>
          <w:rFonts w:asciiTheme="majorBidi" w:hAnsiTheme="majorBidi" w:cstheme="majorBidi"/>
          <w:bCs/>
          <w:i/>
          <w:sz w:val="20"/>
          <w:szCs w:val="20"/>
        </w:rPr>
        <w:t xml:space="preserve">In </w:t>
      </w:r>
      <w:r w:rsidRPr="002A4B5B">
        <w:rPr>
          <w:rFonts w:asciiTheme="majorBidi" w:hAnsiTheme="majorBidi" w:cstheme="majorBidi"/>
          <w:bCs/>
          <w:sz w:val="20"/>
          <w:szCs w:val="20"/>
        </w:rPr>
        <w:t>actes des travaux de l’atelier sur l’introduction et le développement des cultures oléagineuses en systèmes de production diversifiés en Algérie, 16-18 décembre 2002 Guelma. (Algérie). ITGC. 15-25p.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BELOUED A., 2001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P</w:t>
      </w:r>
      <w:r w:rsidRPr="002A4B5B">
        <w:rPr>
          <w:rFonts w:asciiTheme="majorBidi" w:hAnsiTheme="majorBidi" w:cstheme="majorBidi"/>
          <w:sz w:val="20"/>
          <w:szCs w:val="20"/>
        </w:rPr>
        <w:t>lantes médicinales d’Algérie ». office des publications universitaires Ben-Aknoun. (Alger). 277p.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BENDIFALLAH N., 2002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E</w:t>
      </w:r>
      <w:r w:rsidRPr="002A4B5B">
        <w:rPr>
          <w:rFonts w:asciiTheme="majorBidi" w:hAnsiTheme="majorBidi" w:cstheme="majorBidi"/>
          <w:sz w:val="20"/>
          <w:szCs w:val="20"/>
        </w:rPr>
        <w:t xml:space="preserve">tude du comportement et de la variabilité chez quelques population de </w:t>
      </w:r>
      <w:r w:rsidRPr="002A4B5B">
        <w:rPr>
          <w:rFonts w:asciiTheme="majorBidi" w:hAnsiTheme="majorBidi" w:cstheme="majorBidi"/>
          <w:i/>
          <w:iCs/>
          <w:sz w:val="20"/>
          <w:szCs w:val="20"/>
        </w:rPr>
        <w:t>Medicago ciliaris</w:t>
      </w:r>
      <w:r w:rsidRPr="002A4B5B">
        <w:rPr>
          <w:rFonts w:asciiTheme="majorBidi" w:hAnsiTheme="majorBidi" w:cstheme="majorBidi"/>
          <w:sz w:val="20"/>
          <w:szCs w:val="20"/>
        </w:rPr>
        <w:t xml:space="preserve"> et </w:t>
      </w:r>
      <w:r w:rsidRPr="002A4B5B">
        <w:rPr>
          <w:rFonts w:asciiTheme="majorBidi" w:hAnsiTheme="majorBidi" w:cstheme="majorBidi"/>
          <w:i/>
          <w:iCs/>
          <w:sz w:val="20"/>
          <w:szCs w:val="20"/>
        </w:rPr>
        <w:t xml:space="preserve">Medicago intertexta </w:t>
      </w:r>
      <w:r w:rsidRPr="002A4B5B">
        <w:rPr>
          <w:rFonts w:asciiTheme="majorBidi" w:hAnsiTheme="majorBidi" w:cstheme="majorBidi"/>
          <w:sz w:val="20"/>
          <w:szCs w:val="20"/>
        </w:rPr>
        <w:t>». Mémoire d’ingénieur en phytotechnie et amélioration végétales. ENSA (Ex INA). El Harrach. 93p.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sz w:val="20"/>
          <w:szCs w:val="20"/>
        </w:rPr>
        <w:t>BENMOUHAMED A., 1991 :</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 xml:space="preserve"> Evolution du comportement de quelques provenances de fenugrec (</w:t>
      </w:r>
      <w:r w:rsidRPr="002A4B5B">
        <w:rPr>
          <w:rFonts w:asciiTheme="majorBidi" w:hAnsiTheme="majorBidi" w:cstheme="majorBidi"/>
          <w:i/>
          <w:iCs/>
          <w:sz w:val="20"/>
          <w:szCs w:val="20"/>
        </w:rPr>
        <w:t>Trigonella foenum graecum</w:t>
      </w:r>
      <w:r w:rsidRPr="002A4B5B">
        <w:rPr>
          <w:rFonts w:asciiTheme="majorBidi" w:hAnsiTheme="majorBidi" w:cstheme="majorBidi"/>
          <w:sz w:val="20"/>
          <w:szCs w:val="20"/>
        </w:rPr>
        <w:t xml:space="preserve"> L.)  ». Mémoire d’ingénieur en phytotechnie. ENSA (ex INA). El Harrach. 46p.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sz w:val="20"/>
          <w:szCs w:val="20"/>
        </w:rPr>
        <w:t>BENMOUHAMED A., 1998 :</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 xml:space="preserve"> Etude du comportement de quelques populations de fenugrec (</w:t>
      </w:r>
      <w:r w:rsidRPr="002A4B5B">
        <w:rPr>
          <w:rFonts w:asciiTheme="majorBidi" w:hAnsiTheme="majorBidi" w:cstheme="majorBidi"/>
          <w:i/>
          <w:sz w:val="20"/>
          <w:szCs w:val="20"/>
        </w:rPr>
        <w:t>Trigonella foenum graecum</w:t>
      </w:r>
      <w:r w:rsidRPr="002A4B5B">
        <w:rPr>
          <w:rFonts w:asciiTheme="majorBidi" w:hAnsiTheme="majorBidi" w:cstheme="majorBidi"/>
          <w:sz w:val="20"/>
          <w:szCs w:val="20"/>
        </w:rPr>
        <w:t xml:space="preserve"> L.) cultivées dans le sub humide : analyse biométrique, dénombrement chromosomique et mise en évidence des protéines ».  thèse de magister en Sciences agronomiques ; spécialité (phytotechnie). ENSA (ex INA).  El Harrach. 237p.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BENZOHRA A., 2001:</w:t>
      </w:r>
      <w:r w:rsidRPr="002A4B5B">
        <w:rPr>
          <w:rFonts w:asciiTheme="majorBidi" w:hAnsiTheme="majorBidi" w:cstheme="majorBidi"/>
          <w:b/>
          <w:bCs/>
          <w:sz w:val="20"/>
          <w:szCs w:val="20"/>
        </w:rPr>
        <w:t xml:space="preserve"> « </w:t>
      </w:r>
      <w:r w:rsidRPr="002A4B5B">
        <w:rPr>
          <w:rFonts w:asciiTheme="majorBidi" w:hAnsiTheme="majorBidi" w:cstheme="majorBidi"/>
          <w:bCs/>
          <w:sz w:val="20"/>
          <w:szCs w:val="20"/>
        </w:rPr>
        <w:t xml:space="preserve">Le carthame : in forum sur les conditions de développement des cultures oléagineuses en Algérie </w:t>
      </w:r>
      <w:r w:rsidRPr="002A4B5B">
        <w:rPr>
          <w:rFonts w:asciiTheme="majorBidi" w:hAnsiTheme="majorBidi" w:cstheme="majorBidi"/>
          <w:sz w:val="20"/>
          <w:szCs w:val="20"/>
        </w:rPr>
        <w:t>»</w:t>
      </w:r>
      <w:r w:rsidRPr="002A4B5B">
        <w:rPr>
          <w:rFonts w:asciiTheme="majorBidi" w:hAnsiTheme="majorBidi" w:cstheme="majorBidi"/>
          <w:bCs/>
          <w:sz w:val="20"/>
          <w:szCs w:val="20"/>
        </w:rPr>
        <w:t>. 13-17 Javier 2001. (ITGC).</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sz w:val="20"/>
          <w:szCs w:val="20"/>
          <w:lang w:val="en-US"/>
        </w:rPr>
        <w:t xml:space="preserve">BETTI. </w:t>
      </w:r>
      <w:r w:rsidRPr="002A4B5B">
        <w:rPr>
          <w:rFonts w:asciiTheme="majorBidi" w:hAnsiTheme="majorBidi" w:cstheme="majorBidi"/>
          <w:sz w:val="20"/>
          <w:szCs w:val="20"/>
          <w:lang w:val="en-GB"/>
        </w:rPr>
        <w:t>J.L., 2002:</w:t>
      </w:r>
      <w:r w:rsidRPr="002A4B5B">
        <w:rPr>
          <w:rFonts w:asciiTheme="majorBidi" w:hAnsiTheme="majorBidi" w:cstheme="majorBidi"/>
          <w:b/>
          <w:bCs/>
          <w:sz w:val="20"/>
          <w:szCs w:val="20"/>
          <w:lang w:val="en-GB"/>
        </w:rPr>
        <w:t xml:space="preserve"> « </w:t>
      </w:r>
      <w:r w:rsidRPr="002A4B5B">
        <w:rPr>
          <w:rFonts w:asciiTheme="majorBidi" w:hAnsiTheme="majorBidi" w:cstheme="majorBidi"/>
          <w:sz w:val="20"/>
          <w:szCs w:val="20"/>
          <w:lang w:val="en-GB"/>
        </w:rPr>
        <w:t>Medicinal plants sold in Yaoundé mark</w:t>
      </w:r>
      <w:r w:rsidRPr="002A4B5B">
        <w:rPr>
          <w:rFonts w:asciiTheme="majorBidi" w:hAnsiTheme="majorBidi" w:cstheme="majorBidi"/>
          <w:sz w:val="20"/>
          <w:szCs w:val="20"/>
          <w:lang w:val="en-US"/>
        </w:rPr>
        <w:t>ets, cameroonafrican study monographs ». 23(2). pp: 47-64.</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bCs/>
          <w:sz w:val="20"/>
          <w:szCs w:val="20"/>
          <w:lang w:val="en-US"/>
        </w:rPr>
        <w:t>BURHAN A., 2007:</w:t>
      </w:r>
      <w:r w:rsidRPr="002A4B5B">
        <w:rPr>
          <w:rFonts w:asciiTheme="majorBidi" w:hAnsiTheme="majorBidi" w:cstheme="majorBidi"/>
          <w:b/>
          <w:bCs/>
          <w:sz w:val="20"/>
          <w:szCs w:val="20"/>
          <w:lang w:val="en-US"/>
        </w:rPr>
        <w:t xml:space="preserve"> « </w:t>
      </w:r>
      <w:r w:rsidRPr="002A4B5B">
        <w:rPr>
          <w:rFonts w:asciiTheme="majorBidi" w:hAnsiTheme="majorBidi" w:cstheme="majorBidi"/>
          <w:sz w:val="20"/>
          <w:szCs w:val="20"/>
          <w:lang w:val="en-US"/>
        </w:rPr>
        <w:t>The determination of oil content and fatty acid compositions of domestic and exotic safflower (</w:t>
      </w:r>
      <w:r w:rsidRPr="002A4B5B">
        <w:rPr>
          <w:rFonts w:asciiTheme="majorBidi" w:hAnsiTheme="majorBidi" w:cstheme="majorBidi"/>
          <w:i/>
          <w:iCs/>
          <w:sz w:val="20"/>
          <w:szCs w:val="20"/>
          <w:lang w:val="en-US"/>
        </w:rPr>
        <w:t>carthamus tinctorius</w:t>
      </w:r>
      <w:r w:rsidRPr="002A4B5B">
        <w:rPr>
          <w:rFonts w:asciiTheme="majorBidi" w:hAnsiTheme="majorBidi" w:cstheme="majorBidi"/>
          <w:sz w:val="20"/>
          <w:szCs w:val="20"/>
          <w:lang w:val="en-US"/>
        </w:rPr>
        <w:t xml:space="preserve"> L.) Genotypes and their interactions ». Journal of agronomy 6 (3). pp: 415-420.</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lang w:val="en-US"/>
        </w:rPr>
        <w:t>ÇAMAS N., AYAN A., ESENDAL E.,</w:t>
      </w:r>
      <w:r w:rsidRPr="002A4B5B">
        <w:rPr>
          <w:rFonts w:asciiTheme="majorBidi" w:hAnsiTheme="majorBidi" w:cstheme="majorBidi"/>
          <w:sz w:val="20"/>
          <w:szCs w:val="20"/>
          <w:lang w:val="en-US"/>
        </w:rPr>
        <w:t xml:space="preserve"> </w:t>
      </w:r>
      <w:r w:rsidRPr="002A4B5B">
        <w:rPr>
          <w:rFonts w:asciiTheme="majorBidi" w:hAnsiTheme="majorBidi" w:cstheme="majorBidi"/>
          <w:bCs/>
          <w:sz w:val="20"/>
          <w:szCs w:val="20"/>
          <w:lang w:val="en-US"/>
        </w:rPr>
        <w:t>2005:</w:t>
      </w:r>
      <w:r w:rsidRPr="002A4B5B">
        <w:rPr>
          <w:rFonts w:asciiTheme="majorBidi" w:hAnsiTheme="majorBidi" w:cstheme="majorBidi"/>
          <w:b/>
          <w:bCs/>
          <w:sz w:val="20"/>
          <w:szCs w:val="20"/>
          <w:lang w:val="en-US"/>
        </w:rPr>
        <w:t xml:space="preserve"> « </w:t>
      </w:r>
      <w:r w:rsidRPr="002A4B5B">
        <w:rPr>
          <w:rFonts w:asciiTheme="majorBidi" w:hAnsiTheme="majorBidi" w:cstheme="majorBidi"/>
          <w:bCs/>
          <w:sz w:val="20"/>
          <w:szCs w:val="20"/>
          <w:lang w:val="en-US"/>
        </w:rPr>
        <w:t xml:space="preserve">Leaf area prediction model for safflower </w:t>
      </w:r>
      <w:r w:rsidRPr="002A4B5B">
        <w:rPr>
          <w:rFonts w:asciiTheme="majorBidi" w:hAnsiTheme="majorBidi" w:cstheme="majorBidi"/>
          <w:sz w:val="20"/>
          <w:szCs w:val="20"/>
          <w:lang w:val="en-US"/>
        </w:rPr>
        <w:t>(</w:t>
      </w:r>
      <w:r w:rsidRPr="002A4B5B">
        <w:rPr>
          <w:rFonts w:asciiTheme="majorBidi" w:hAnsiTheme="majorBidi" w:cstheme="majorBidi"/>
          <w:i/>
          <w:iCs/>
          <w:sz w:val="20"/>
          <w:szCs w:val="20"/>
          <w:lang w:val="en-US"/>
        </w:rPr>
        <w:t>carthamus tinctorius</w:t>
      </w:r>
      <w:r w:rsidRPr="002A4B5B">
        <w:rPr>
          <w:rFonts w:asciiTheme="majorBidi" w:hAnsiTheme="majorBidi" w:cstheme="majorBidi"/>
          <w:sz w:val="20"/>
          <w:szCs w:val="20"/>
          <w:lang w:val="en-US"/>
        </w:rPr>
        <w:t xml:space="preserve"> L.) </w:t>
      </w:r>
      <w:r w:rsidRPr="002A4B5B">
        <w:rPr>
          <w:rFonts w:asciiTheme="majorBidi" w:hAnsiTheme="majorBidi" w:cstheme="majorBidi"/>
          <w:sz w:val="20"/>
          <w:szCs w:val="20"/>
        </w:rPr>
        <w:t>». Pakistan Journa of Biological Sciences 8 (11) ISSN 1028-8880 pp: 1541-1543.</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lang w:val="en-US"/>
        </w:rPr>
        <w:t xml:space="preserve"> ÇAMAŞ N., ÇIRAK C ET ESENDAL E., 2008:</w:t>
      </w:r>
      <w:r w:rsidRPr="002A4B5B">
        <w:rPr>
          <w:rFonts w:asciiTheme="majorBidi" w:hAnsiTheme="majorBidi" w:cstheme="majorBidi"/>
          <w:b/>
          <w:bCs/>
          <w:sz w:val="20"/>
          <w:szCs w:val="20"/>
          <w:lang w:val="en-US"/>
        </w:rPr>
        <w:t xml:space="preserve"> «</w:t>
      </w:r>
      <w:r w:rsidRPr="002A4B5B">
        <w:rPr>
          <w:rFonts w:asciiTheme="majorBidi" w:hAnsiTheme="majorBidi" w:cstheme="majorBidi"/>
          <w:bCs/>
          <w:sz w:val="20"/>
          <w:szCs w:val="20"/>
          <w:lang w:val="en-US"/>
        </w:rPr>
        <w:t xml:space="preserve"> </w:t>
      </w:r>
      <w:r w:rsidRPr="002A4B5B">
        <w:rPr>
          <w:rFonts w:asciiTheme="majorBidi" w:hAnsiTheme="majorBidi" w:cstheme="majorBidi"/>
          <w:sz w:val="20"/>
          <w:szCs w:val="20"/>
          <w:lang w:val="en-US"/>
        </w:rPr>
        <w:t>Seed yield, oil content and fatty acids composition of safflower (</w:t>
      </w:r>
      <w:r w:rsidRPr="002A4B5B">
        <w:rPr>
          <w:rFonts w:asciiTheme="majorBidi" w:hAnsiTheme="majorBidi" w:cstheme="majorBidi"/>
          <w:i/>
          <w:iCs/>
          <w:sz w:val="20"/>
          <w:szCs w:val="20"/>
          <w:lang w:val="en-US"/>
        </w:rPr>
        <w:t>carthamus tinctorius</w:t>
      </w:r>
      <w:r w:rsidRPr="002A4B5B">
        <w:rPr>
          <w:rFonts w:asciiTheme="majorBidi" w:hAnsiTheme="majorBidi" w:cstheme="majorBidi"/>
          <w:sz w:val="20"/>
          <w:szCs w:val="20"/>
          <w:lang w:val="en-US"/>
        </w:rPr>
        <w:t xml:space="preserve"> l.) Grown in northern turkey conditions ».J. of Fac. of Agric. </w:t>
      </w:r>
      <w:r w:rsidRPr="002A4B5B">
        <w:rPr>
          <w:rFonts w:asciiTheme="majorBidi" w:hAnsiTheme="majorBidi" w:cstheme="majorBidi"/>
          <w:sz w:val="20"/>
          <w:szCs w:val="20"/>
        </w:rPr>
        <w:t>OMU. 22(1). pp : 98-104.</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CHAMSEDDINE A.</w:t>
      </w:r>
      <w:r w:rsidRPr="002A4B5B">
        <w:rPr>
          <w:rFonts w:asciiTheme="majorBidi" w:hAnsiTheme="majorBidi" w:cstheme="majorBidi"/>
          <w:sz w:val="20"/>
          <w:szCs w:val="20"/>
        </w:rPr>
        <w:t xml:space="preserve">, </w:t>
      </w:r>
      <w:r w:rsidRPr="002A4B5B">
        <w:rPr>
          <w:rFonts w:asciiTheme="majorBidi" w:hAnsiTheme="majorBidi" w:cstheme="majorBidi"/>
          <w:bCs/>
          <w:sz w:val="20"/>
          <w:szCs w:val="20"/>
        </w:rPr>
        <w:t>2003 :</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 xml:space="preserve"> La Curation Par La Graine Noire d'après la sunna prophétique et la médecine antique et moderne ». beirut- lebanon. </w:t>
      </w:r>
      <w:r w:rsidRPr="002A4B5B">
        <w:rPr>
          <w:rFonts w:asciiTheme="majorBidi" w:hAnsiTheme="majorBidi" w:cstheme="majorBidi"/>
          <w:bCs/>
          <w:sz w:val="20"/>
          <w:szCs w:val="20"/>
        </w:rPr>
        <w:t xml:space="preserve"> </w:t>
      </w:r>
      <w:r w:rsidRPr="002A4B5B">
        <w:rPr>
          <w:rFonts w:asciiTheme="majorBidi" w:hAnsiTheme="majorBidi" w:cstheme="majorBidi"/>
          <w:sz w:val="20"/>
          <w:szCs w:val="20"/>
        </w:rPr>
        <w:t>237p.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lang w:val="en-US"/>
        </w:rPr>
        <w:t>CIHAT ÖNER A., MERCAN U., ÖNTÜRK H., CENGIZ N., ERTEN R., ÖZBEK H., 2008 :</w:t>
      </w:r>
      <w:r w:rsidRPr="002A4B5B">
        <w:rPr>
          <w:rFonts w:asciiTheme="majorBidi" w:hAnsiTheme="majorBidi" w:cstheme="majorBidi"/>
          <w:b/>
          <w:bCs/>
          <w:sz w:val="20"/>
          <w:szCs w:val="20"/>
          <w:lang w:val="en-US"/>
        </w:rPr>
        <w:t xml:space="preserve"> «</w:t>
      </w:r>
      <w:r w:rsidRPr="002A4B5B">
        <w:rPr>
          <w:rFonts w:asciiTheme="majorBidi" w:hAnsiTheme="majorBidi" w:cstheme="majorBidi"/>
          <w:bCs/>
          <w:sz w:val="20"/>
          <w:szCs w:val="20"/>
          <w:lang w:val="en-US"/>
        </w:rPr>
        <w:t xml:space="preserve"> </w:t>
      </w:r>
      <w:r w:rsidRPr="002A4B5B">
        <w:rPr>
          <w:rFonts w:asciiTheme="majorBidi" w:hAnsiTheme="majorBidi" w:cstheme="majorBidi"/>
          <w:sz w:val="20"/>
          <w:szCs w:val="20"/>
          <w:lang w:val="en-US"/>
        </w:rPr>
        <w:t>Anti-inflammatory and Hepatoprotective Activities of (</w:t>
      </w:r>
      <w:r w:rsidRPr="002A4B5B">
        <w:rPr>
          <w:rFonts w:asciiTheme="majorBidi" w:hAnsiTheme="majorBidi" w:cstheme="majorBidi"/>
          <w:i/>
          <w:sz w:val="20"/>
          <w:szCs w:val="20"/>
          <w:lang w:val="en-US"/>
        </w:rPr>
        <w:t xml:space="preserve">Trigonella foenum-graecum </w:t>
      </w:r>
      <w:r w:rsidRPr="002A4B5B">
        <w:rPr>
          <w:rFonts w:asciiTheme="majorBidi" w:hAnsiTheme="majorBidi" w:cstheme="majorBidi"/>
          <w:sz w:val="20"/>
          <w:szCs w:val="20"/>
          <w:lang w:val="en-US"/>
        </w:rPr>
        <w:t xml:space="preserve">L) ». </w:t>
      </w:r>
      <w:r w:rsidRPr="002A4B5B">
        <w:rPr>
          <w:rFonts w:asciiTheme="majorBidi" w:hAnsiTheme="majorBidi" w:cstheme="majorBidi"/>
          <w:sz w:val="20"/>
          <w:szCs w:val="20"/>
        </w:rPr>
        <w:t>Pharmacologyonline 2. pp: 126-132.</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COMPLAN F., 1999 :</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Guide des condiments et épices du monde ». (suitzerland). Paris. 192p.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sz w:val="20"/>
          <w:szCs w:val="20"/>
          <w:lang w:val="en-US"/>
        </w:rPr>
        <w:t>COŞGE B., GÜRBÜZ B ET KIRALAN M., 2007:</w:t>
      </w:r>
      <w:r w:rsidRPr="002A4B5B">
        <w:rPr>
          <w:rFonts w:asciiTheme="majorBidi" w:hAnsiTheme="majorBidi" w:cstheme="majorBidi"/>
          <w:b/>
          <w:bCs/>
          <w:sz w:val="20"/>
          <w:szCs w:val="20"/>
          <w:lang w:val="en-US"/>
        </w:rPr>
        <w:t xml:space="preserve"> «</w:t>
      </w:r>
      <w:r w:rsidRPr="002A4B5B">
        <w:rPr>
          <w:rFonts w:asciiTheme="majorBidi" w:hAnsiTheme="majorBidi" w:cstheme="majorBidi"/>
          <w:bCs/>
          <w:sz w:val="20"/>
          <w:szCs w:val="20"/>
          <w:lang w:val="en-US"/>
        </w:rPr>
        <w:t xml:space="preserve"> </w:t>
      </w:r>
      <w:r w:rsidRPr="002A4B5B">
        <w:rPr>
          <w:rFonts w:asciiTheme="majorBidi" w:hAnsiTheme="majorBidi" w:cstheme="majorBidi"/>
          <w:sz w:val="20"/>
          <w:szCs w:val="20"/>
          <w:lang w:val="en-US"/>
        </w:rPr>
        <w:t>Oil Content and Fatty Acid Composition of Some Safflower (</w:t>
      </w:r>
      <w:r w:rsidRPr="002A4B5B">
        <w:rPr>
          <w:rFonts w:asciiTheme="majorBidi" w:hAnsiTheme="majorBidi" w:cstheme="majorBidi"/>
          <w:i/>
          <w:sz w:val="20"/>
          <w:szCs w:val="20"/>
          <w:lang w:val="en-US"/>
        </w:rPr>
        <w:t>Carthamus tinctorius</w:t>
      </w:r>
      <w:r w:rsidRPr="002A4B5B">
        <w:rPr>
          <w:rFonts w:asciiTheme="majorBidi" w:hAnsiTheme="majorBidi" w:cstheme="majorBidi"/>
          <w:sz w:val="20"/>
          <w:szCs w:val="20"/>
          <w:lang w:val="en-US"/>
        </w:rPr>
        <w:t xml:space="preserve"> L.) Varieties Sown in spring and winter ». International Journal of Natural and Engineering Sciences 1 (3). pp: 11-15.</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lang w:val="en-US"/>
        </w:rPr>
        <w:lastRenderedPageBreak/>
        <w:t xml:space="preserve"> </w:t>
      </w:r>
      <w:r w:rsidRPr="002A4B5B">
        <w:rPr>
          <w:rFonts w:asciiTheme="majorBidi" w:hAnsiTheme="majorBidi" w:cstheme="majorBidi"/>
          <w:bCs/>
          <w:sz w:val="20"/>
          <w:szCs w:val="20"/>
        </w:rPr>
        <w:t>DJENDER R., 2003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xml:space="preserve"> L’ENCG et les cultures oléagineuses : contraintes et perspectives </w:t>
      </w:r>
      <w:r w:rsidRPr="002A4B5B">
        <w:rPr>
          <w:rFonts w:asciiTheme="majorBidi" w:hAnsiTheme="majorBidi" w:cstheme="majorBidi"/>
          <w:sz w:val="20"/>
          <w:szCs w:val="20"/>
        </w:rPr>
        <w:t>»</w:t>
      </w:r>
      <w:r w:rsidRPr="002A4B5B">
        <w:rPr>
          <w:rFonts w:asciiTheme="majorBidi" w:hAnsiTheme="majorBidi" w:cstheme="majorBidi"/>
          <w:bCs/>
          <w:sz w:val="20"/>
          <w:szCs w:val="20"/>
        </w:rPr>
        <w:t>. In actes des travaux de l’atelier sur l’introduction et le développement des cultures oléagineuses en systèmes de production diversifiés en Algérie 16-18 décembre 2002 Guelma. (Algérie). ITGC. pp : 32-38.</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sz w:val="20"/>
          <w:szCs w:val="20"/>
        </w:rPr>
        <w:t>DUCREUX G., 2002 :</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 Introduction à la botanique ».paris.  96pp. 256p.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EDDE G., 1985 :</w:t>
      </w:r>
      <w:r w:rsidRPr="002A4B5B">
        <w:rPr>
          <w:rFonts w:asciiTheme="majorBidi" w:hAnsiTheme="majorBidi" w:cstheme="majorBidi"/>
          <w:b/>
          <w:bCs/>
          <w:sz w:val="20"/>
          <w:szCs w:val="20"/>
        </w:rPr>
        <w:t xml:space="preserve"> « </w:t>
      </w:r>
      <w:r w:rsidRPr="002A4B5B">
        <w:rPr>
          <w:rFonts w:asciiTheme="majorBidi" w:hAnsiTheme="majorBidi" w:cstheme="majorBidi"/>
          <w:sz w:val="20"/>
          <w:szCs w:val="20"/>
        </w:rPr>
        <w:t>La voie des plantes (plantes médicinales d’ici et d’ailleurs : mode d’emploi) ». ENCRE. 183p.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bCs/>
          <w:sz w:val="20"/>
          <w:szCs w:val="20"/>
          <w:lang w:val="en-GB"/>
        </w:rPr>
        <w:t>EKIN Z., 2005: </w:t>
      </w:r>
      <w:r w:rsidRPr="002A4B5B">
        <w:rPr>
          <w:rFonts w:asciiTheme="majorBidi" w:hAnsiTheme="majorBidi" w:cstheme="majorBidi"/>
          <w:b/>
          <w:bCs/>
          <w:sz w:val="20"/>
          <w:szCs w:val="20"/>
          <w:lang w:val="en-GB"/>
        </w:rPr>
        <w:t xml:space="preserve">« </w:t>
      </w:r>
      <w:r w:rsidRPr="002A4B5B">
        <w:rPr>
          <w:rFonts w:asciiTheme="majorBidi" w:hAnsiTheme="majorBidi" w:cstheme="majorBidi"/>
          <w:sz w:val="20"/>
          <w:szCs w:val="20"/>
          <w:lang w:val="en-GB"/>
        </w:rPr>
        <w:t>Resurgence of safflower (</w:t>
      </w:r>
      <w:r w:rsidRPr="002A4B5B">
        <w:rPr>
          <w:rFonts w:asciiTheme="majorBidi" w:hAnsiTheme="majorBidi" w:cstheme="majorBidi"/>
          <w:i/>
          <w:iCs/>
          <w:sz w:val="20"/>
          <w:szCs w:val="20"/>
          <w:lang w:val="en-GB"/>
        </w:rPr>
        <w:t>Carthamus tinctorius</w:t>
      </w:r>
      <w:r w:rsidRPr="002A4B5B">
        <w:rPr>
          <w:rFonts w:asciiTheme="majorBidi" w:hAnsiTheme="majorBidi" w:cstheme="majorBidi"/>
          <w:sz w:val="20"/>
          <w:szCs w:val="20"/>
          <w:lang w:val="en-GB"/>
        </w:rPr>
        <w:t xml:space="preserve">L.) </w:t>
      </w:r>
      <w:r w:rsidRPr="002A4B5B">
        <w:rPr>
          <w:rFonts w:asciiTheme="majorBidi" w:hAnsiTheme="majorBidi" w:cstheme="majorBidi"/>
          <w:sz w:val="20"/>
          <w:szCs w:val="20"/>
          <w:lang w:val="en-US"/>
        </w:rPr>
        <w:t xml:space="preserve">Utilization: aglobal view’’. Journal of agronomy 4 (2). ISSN 1812-5379. pp: 83 -87. </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sz w:val="20"/>
          <w:szCs w:val="20"/>
        </w:rPr>
        <w:t>FRICK C. ET HEBEISEN</w:t>
      </w:r>
      <w:r w:rsidRPr="002A4B5B">
        <w:rPr>
          <w:rFonts w:asciiTheme="majorBidi" w:hAnsiTheme="majorBidi" w:cstheme="majorBidi"/>
          <w:i/>
          <w:iCs/>
          <w:sz w:val="20"/>
          <w:szCs w:val="20"/>
        </w:rPr>
        <w:t>.</w:t>
      </w:r>
      <w:r w:rsidRPr="002A4B5B">
        <w:rPr>
          <w:rFonts w:asciiTheme="majorBidi" w:hAnsiTheme="majorBidi" w:cstheme="majorBidi"/>
          <w:sz w:val="20"/>
          <w:szCs w:val="20"/>
        </w:rPr>
        <w:t xml:space="preserve"> TH., 2005 :</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 xml:space="preserve"> Le carthame, une plante oléagineuse adaptée à la Suisse ». Revue suisse Agric. 37 (5). pp : 215-220.</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sz w:val="20"/>
          <w:szCs w:val="20"/>
        </w:rPr>
        <w:t>GALVIN M., 2004 :</w:t>
      </w:r>
      <w:r w:rsidRPr="002A4B5B">
        <w:rPr>
          <w:rFonts w:asciiTheme="majorBidi" w:hAnsiTheme="majorBidi" w:cstheme="majorBidi"/>
          <w:b/>
          <w:bCs/>
          <w:sz w:val="20"/>
          <w:szCs w:val="20"/>
        </w:rPr>
        <w:t xml:space="preserve"> « </w:t>
      </w:r>
      <w:r w:rsidRPr="002A4B5B">
        <w:rPr>
          <w:rFonts w:asciiTheme="majorBidi" w:hAnsiTheme="majorBidi" w:cstheme="majorBidi"/>
          <w:sz w:val="20"/>
          <w:szCs w:val="20"/>
        </w:rPr>
        <w:t xml:space="preserve"> La connaissance métisse : Une analyse de la politique de protection des connaissances traditionnelles au Pérou ». Thèse de doctorat,</w:t>
      </w:r>
      <w:r w:rsidRPr="002A4B5B">
        <w:rPr>
          <w:rFonts w:asciiTheme="majorBidi" w:hAnsiTheme="majorBidi" w:cstheme="majorBidi"/>
          <w:bCs/>
          <w:sz w:val="20"/>
          <w:szCs w:val="20"/>
        </w:rPr>
        <w:t xml:space="preserve"> </w:t>
      </w:r>
      <w:r w:rsidRPr="002A4B5B">
        <w:rPr>
          <w:rFonts w:asciiTheme="majorBidi" w:hAnsiTheme="majorBidi" w:cstheme="majorBidi"/>
          <w:sz w:val="20"/>
          <w:szCs w:val="20"/>
        </w:rPr>
        <w:t>I U E D (Genève). Université de Genève. 61pp. 400p.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GIRRE L., 2001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Les plantes</w:t>
      </w:r>
      <w:r w:rsidRPr="002A4B5B">
        <w:rPr>
          <w:rFonts w:asciiTheme="majorBidi" w:hAnsiTheme="majorBidi" w:cstheme="majorBidi"/>
          <w:sz w:val="20"/>
          <w:szCs w:val="20"/>
        </w:rPr>
        <w:t xml:space="preserve"> et les médicaments ». Paris. Tirage 2006. 253p.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sz w:val="20"/>
          <w:szCs w:val="20"/>
        </w:rPr>
        <w:t>GONZ´ALEZ-TEJERO M.R.M., CASARES-PORCEL., S´ANCHEZ-ROJAS C.P., RAMIRO-GUTI´ERREZ J.M., MOLERO-MESA J., PIERONI A., GIUSTI M.E., CENSORII E., DE PASQUALE C., DELLA A., HADIJCHAMBI PARASKEVA D., HADJICHAMBIS A., HOUMANI Z., EL-DEMERDASH M., EL-ZAYAT M., HMAMOUCHI M., ELJOHRIG S., 2008:</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 xml:space="preserve"> Medicinal plants in the Mediterranean area: Synthesis of the results of the project Rubia ». Journal of Ethno pharmacology. 116. pp: 341–357.</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HARIEL J., 1992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xml:space="preserve"> Utilisation des extraits d’épices et d’aromates dans les produits alimentaires, pharmaceutiques et les produits de parfumerie </w:t>
      </w:r>
      <w:r w:rsidRPr="002A4B5B">
        <w:rPr>
          <w:rFonts w:asciiTheme="majorBidi" w:hAnsiTheme="majorBidi" w:cstheme="majorBidi"/>
          <w:sz w:val="20"/>
          <w:szCs w:val="20"/>
        </w:rPr>
        <w:t xml:space="preserve">: </w:t>
      </w:r>
      <w:r w:rsidRPr="002A4B5B">
        <w:rPr>
          <w:rFonts w:asciiTheme="majorBidi" w:hAnsiTheme="majorBidi" w:cstheme="majorBidi"/>
          <w:bCs/>
          <w:sz w:val="20"/>
          <w:szCs w:val="20"/>
        </w:rPr>
        <w:t>In épices et aromates (collection scientifiques agro-alimentaires)</w:t>
      </w:r>
      <w:r w:rsidRPr="002A4B5B">
        <w:rPr>
          <w:rFonts w:asciiTheme="majorBidi" w:hAnsiTheme="majorBidi" w:cstheme="majorBidi"/>
          <w:sz w:val="20"/>
          <w:szCs w:val="20"/>
        </w:rPr>
        <w:t xml:space="preserve"> »</w:t>
      </w:r>
      <w:r w:rsidRPr="002A4B5B">
        <w:rPr>
          <w:rFonts w:asciiTheme="majorBidi" w:hAnsiTheme="majorBidi" w:cstheme="majorBidi"/>
          <w:bCs/>
          <w:sz w:val="20"/>
          <w:szCs w:val="20"/>
        </w:rPr>
        <w:t>. pp : 71-100. 339p.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HELLER R., ESNAULT R.., LANCE C., 2000 </w:t>
      </w:r>
      <w:r w:rsidRPr="002A4B5B">
        <w:rPr>
          <w:rFonts w:asciiTheme="majorBidi" w:hAnsiTheme="majorBidi" w:cstheme="majorBidi"/>
          <w:sz w:val="20"/>
          <w:szCs w:val="20"/>
        </w:rPr>
        <w:t>:</w:t>
      </w:r>
      <w:r w:rsidRPr="002A4B5B">
        <w:rPr>
          <w:rFonts w:asciiTheme="majorBidi" w:hAnsiTheme="majorBidi" w:cstheme="majorBidi"/>
          <w:b/>
          <w:bCs/>
          <w:sz w:val="20"/>
          <w:szCs w:val="20"/>
        </w:rPr>
        <w:t xml:space="preserve"> « </w:t>
      </w:r>
      <w:r w:rsidRPr="002A4B5B">
        <w:rPr>
          <w:rFonts w:asciiTheme="majorBidi" w:hAnsiTheme="majorBidi" w:cstheme="majorBidi"/>
          <w:sz w:val="20"/>
          <w:szCs w:val="20"/>
        </w:rPr>
        <w:t>Physiologie végétale et développement ». France. 366p.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HOPKINS W.G., 2003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xml:space="preserve">« Physiologie végétale </w:t>
      </w:r>
      <w:r w:rsidRPr="002A4B5B">
        <w:rPr>
          <w:rFonts w:asciiTheme="majorBidi" w:hAnsiTheme="majorBidi" w:cstheme="majorBidi"/>
          <w:sz w:val="20"/>
          <w:szCs w:val="20"/>
        </w:rPr>
        <w:t>»</w:t>
      </w:r>
      <w:r w:rsidRPr="002A4B5B">
        <w:rPr>
          <w:rFonts w:asciiTheme="majorBidi" w:hAnsiTheme="majorBidi" w:cstheme="majorBidi"/>
          <w:bCs/>
          <w:sz w:val="20"/>
          <w:szCs w:val="20"/>
        </w:rPr>
        <w:t>. 1</w:t>
      </w:r>
      <w:r w:rsidRPr="002A4B5B">
        <w:rPr>
          <w:rFonts w:asciiTheme="majorBidi" w:hAnsiTheme="majorBidi" w:cstheme="majorBidi"/>
          <w:bCs/>
          <w:sz w:val="20"/>
          <w:szCs w:val="20"/>
          <w:vertAlign w:val="superscript"/>
        </w:rPr>
        <w:t>ère</w:t>
      </w:r>
      <w:r w:rsidRPr="002A4B5B">
        <w:rPr>
          <w:rFonts w:asciiTheme="majorBidi" w:hAnsiTheme="majorBidi" w:cstheme="majorBidi"/>
          <w:bCs/>
          <w:sz w:val="20"/>
          <w:szCs w:val="20"/>
        </w:rPr>
        <w:t xml:space="preserve"> édition. Bruxelles. 294pp. 514p.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bCs/>
          <w:sz w:val="20"/>
          <w:szCs w:val="20"/>
          <w:lang w:val="en-GB"/>
        </w:rPr>
        <w:t>KHAN M.</w:t>
      </w:r>
      <w:r w:rsidRPr="002A4B5B">
        <w:rPr>
          <w:rFonts w:asciiTheme="majorBidi" w:hAnsiTheme="majorBidi" w:cstheme="majorBidi"/>
          <w:bCs/>
          <w:sz w:val="20"/>
          <w:szCs w:val="20"/>
          <w:lang w:val="en-US"/>
        </w:rPr>
        <w:t>A., VON WITZKE-EHBRECHT S., MAASS B.L. ET BECKER H.C., 2008</w:t>
      </w:r>
      <w:r w:rsidRPr="002A4B5B">
        <w:rPr>
          <w:rFonts w:asciiTheme="majorBidi" w:hAnsiTheme="majorBidi" w:cstheme="majorBidi"/>
          <w:sz w:val="20"/>
          <w:szCs w:val="20"/>
          <w:lang w:val="en-US"/>
        </w:rPr>
        <w:t>:</w:t>
      </w:r>
      <w:r w:rsidRPr="002A4B5B">
        <w:rPr>
          <w:rFonts w:asciiTheme="majorBidi" w:hAnsiTheme="majorBidi" w:cstheme="majorBidi"/>
          <w:b/>
          <w:bCs/>
          <w:sz w:val="20"/>
          <w:szCs w:val="20"/>
          <w:lang w:val="en-US"/>
        </w:rPr>
        <w:t xml:space="preserve"> «</w:t>
      </w:r>
      <w:r w:rsidRPr="002A4B5B">
        <w:rPr>
          <w:rFonts w:asciiTheme="majorBidi" w:hAnsiTheme="majorBidi" w:cstheme="majorBidi"/>
          <w:sz w:val="20"/>
          <w:szCs w:val="20"/>
          <w:lang w:val="en-US"/>
        </w:rPr>
        <w:t>Relationships among different geographical groups, bagro-morphology, fatty acid composition and RAPD marker diversity in Safflower (</w:t>
      </w:r>
      <w:r w:rsidRPr="002A4B5B">
        <w:rPr>
          <w:rFonts w:asciiTheme="majorBidi" w:hAnsiTheme="majorBidi" w:cstheme="majorBidi"/>
          <w:i/>
          <w:sz w:val="20"/>
          <w:szCs w:val="20"/>
          <w:lang w:val="en-US"/>
        </w:rPr>
        <w:t xml:space="preserve">Carthamus tinctorius </w:t>
      </w:r>
      <w:r w:rsidRPr="002A4B5B">
        <w:rPr>
          <w:rFonts w:asciiTheme="majorBidi" w:hAnsiTheme="majorBidi" w:cstheme="majorBidi"/>
          <w:sz w:val="20"/>
          <w:szCs w:val="20"/>
          <w:lang w:val="en-US"/>
        </w:rPr>
        <w:t>L</w:t>
      </w:r>
      <w:r w:rsidRPr="002A4B5B">
        <w:rPr>
          <w:rFonts w:asciiTheme="majorBidi" w:hAnsiTheme="majorBidi" w:cstheme="majorBidi"/>
          <w:i/>
          <w:sz w:val="20"/>
          <w:szCs w:val="20"/>
          <w:lang w:val="en-US"/>
        </w:rPr>
        <w:t>.</w:t>
      </w:r>
      <w:r w:rsidRPr="002A4B5B">
        <w:rPr>
          <w:rFonts w:asciiTheme="majorBidi" w:hAnsiTheme="majorBidi" w:cstheme="majorBidi"/>
          <w:sz w:val="20"/>
          <w:szCs w:val="20"/>
          <w:lang w:val="en-US"/>
        </w:rPr>
        <w:t>) ». Genet Resour Crop Evol (2009) 56. DOI 10.1007/s10722-008-9338-6. pp: 19–30.</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bCs/>
          <w:sz w:val="20"/>
          <w:szCs w:val="20"/>
          <w:lang w:val="en-US"/>
        </w:rPr>
        <w:t xml:space="preserve"> KHONSHNOUD A. ET CARAPTIAN J., 2006:</w:t>
      </w:r>
      <w:r w:rsidRPr="002A4B5B">
        <w:rPr>
          <w:rFonts w:asciiTheme="majorBidi" w:hAnsiTheme="majorBidi" w:cstheme="majorBidi"/>
          <w:b/>
          <w:bCs/>
          <w:sz w:val="20"/>
          <w:szCs w:val="20"/>
          <w:lang w:val="en-US"/>
        </w:rPr>
        <w:t xml:space="preserve"> «</w:t>
      </w:r>
      <w:r w:rsidRPr="002A4B5B">
        <w:rPr>
          <w:rFonts w:asciiTheme="majorBidi" w:hAnsiTheme="majorBidi" w:cstheme="majorBidi"/>
          <w:bCs/>
          <w:sz w:val="20"/>
          <w:szCs w:val="20"/>
          <w:lang w:val="en-US"/>
        </w:rPr>
        <w:t xml:space="preserve"> </w:t>
      </w:r>
      <w:r w:rsidRPr="002A4B5B">
        <w:rPr>
          <w:rFonts w:asciiTheme="majorBidi" w:hAnsiTheme="majorBidi" w:cstheme="majorBidi"/>
          <w:sz w:val="20"/>
          <w:szCs w:val="20"/>
          <w:lang w:val="en-US"/>
        </w:rPr>
        <w:t>Genitic variation in a safflower germplasm grown in rainfed cold draylands ». Journal of agronomy 5 (1). ISSN 1812-5379. pp: 50-52.</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sz w:val="20"/>
          <w:szCs w:val="20"/>
          <w:lang w:val="en-US"/>
        </w:rPr>
        <w:t xml:space="preserve"> </w:t>
      </w:r>
      <w:r w:rsidRPr="002A4B5B">
        <w:rPr>
          <w:rFonts w:asciiTheme="majorBidi" w:hAnsiTheme="majorBidi" w:cstheme="majorBidi"/>
          <w:bCs/>
          <w:sz w:val="20"/>
          <w:szCs w:val="20"/>
          <w:lang w:val="en-US"/>
        </w:rPr>
        <w:t>KHOSHNOUD A., 2005:</w:t>
      </w:r>
      <w:r w:rsidRPr="002A4B5B">
        <w:rPr>
          <w:rFonts w:asciiTheme="majorBidi" w:hAnsiTheme="majorBidi" w:cstheme="majorBidi"/>
          <w:b/>
          <w:bCs/>
          <w:sz w:val="20"/>
          <w:szCs w:val="20"/>
          <w:lang w:val="en-US"/>
        </w:rPr>
        <w:t xml:space="preserve"> «</w:t>
      </w:r>
      <w:r w:rsidRPr="002A4B5B">
        <w:rPr>
          <w:rFonts w:asciiTheme="majorBidi" w:hAnsiTheme="majorBidi" w:cstheme="majorBidi"/>
          <w:bCs/>
          <w:sz w:val="20"/>
          <w:szCs w:val="20"/>
          <w:lang w:val="en-US"/>
        </w:rPr>
        <w:t xml:space="preserve"> </w:t>
      </w:r>
      <w:r w:rsidRPr="002A4B5B">
        <w:rPr>
          <w:rFonts w:asciiTheme="majorBidi" w:hAnsiTheme="majorBidi" w:cstheme="majorBidi"/>
          <w:sz w:val="20"/>
          <w:szCs w:val="20"/>
          <w:lang w:val="en-US"/>
        </w:rPr>
        <w:t>Evaluation of Safflower Germplasm by SomeAgronomic Characteristics and Their Relationships on Grain Yield Production in the Cold Dry Land of Iran». International journal of agriculture and biology. 1560–8530/2005/07–3. pp: 389–391.</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bCs/>
          <w:sz w:val="20"/>
          <w:szCs w:val="20"/>
          <w:lang w:val="en-US"/>
        </w:rPr>
        <w:t xml:space="preserve">  KIZIL. S., ÇAKMAK.Ö, KIRICI. S., İNAN. M., 2008:</w:t>
      </w:r>
      <w:r w:rsidRPr="002A4B5B">
        <w:rPr>
          <w:rFonts w:asciiTheme="majorBidi" w:hAnsiTheme="majorBidi" w:cstheme="majorBidi"/>
          <w:b/>
          <w:bCs/>
          <w:sz w:val="20"/>
          <w:szCs w:val="20"/>
          <w:lang w:val="en-US"/>
        </w:rPr>
        <w:t xml:space="preserve"> « A</w:t>
      </w:r>
      <w:r w:rsidRPr="002A4B5B">
        <w:rPr>
          <w:rFonts w:asciiTheme="majorBidi" w:hAnsiTheme="majorBidi" w:cstheme="majorBidi"/>
          <w:sz w:val="20"/>
          <w:szCs w:val="20"/>
          <w:lang w:val="en-US"/>
        </w:rPr>
        <w:t xml:space="preserve"> comprehensive study onsafflower (</w:t>
      </w:r>
      <w:r w:rsidRPr="002A4B5B">
        <w:rPr>
          <w:rFonts w:asciiTheme="majorBidi" w:hAnsiTheme="majorBidi" w:cstheme="majorBidi"/>
          <w:i/>
          <w:iCs/>
          <w:sz w:val="20"/>
          <w:szCs w:val="20"/>
          <w:lang w:val="en-US"/>
        </w:rPr>
        <w:t>Carthamus tinctorius</w:t>
      </w:r>
      <w:r w:rsidRPr="002A4B5B">
        <w:rPr>
          <w:rFonts w:asciiTheme="majorBidi" w:hAnsiTheme="majorBidi" w:cstheme="majorBidi"/>
          <w:sz w:val="20"/>
          <w:szCs w:val="20"/>
          <w:lang w:val="en-US"/>
        </w:rPr>
        <w:t xml:space="preserve"> L.) ». In semi-arid conditions, Biotechnol and Biotechnol. Eq. 22/2008/4. pp : 947-953.</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 xml:space="preserve"> KOTHE HANS W., 2007:</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 xml:space="preserve"> </w:t>
      </w:r>
      <w:r w:rsidRPr="002A4B5B">
        <w:rPr>
          <w:rFonts w:asciiTheme="majorBidi" w:hAnsiTheme="majorBidi" w:cstheme="majorBidi"/>
          <w:bCs/>
          <w:sz w:val="20"/>
          <w:szCs w:val="20"/>
        </w:rPr>
        <w:t>100 Plantes aromatiques</w:t>
      </w:r>
      <w:r w:rsidRPr="002A4B5B">
        <w:rPr>
          <w:rFonts w:asciiTheme="majorBidi" w:hAnsiTheme="majorBidi" w:cstheme="majorBidi"/>
          <w:sz w:val="20"/>
          <w:szCs w:val="20"/>
        </w:rPr>
        <w:t xml:space="preserve"> et médicinales ». Terres Editions. France 500 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sz w:val="20"/>
          <w:szCs w:val="20"/>
        </w:rPr>
        <w:t>LAFFITTE B., 1999</w:t>
      </w:r>
      <w:r w:rsidRPr="002A4B5B">
        <w:rPr>
          <w:rFonts w:asciiTheme="majorBidi" w:hAnsiTheme="majorBidi" w:cstheme="majorBidi"/>
          <w:bCs/>
          <w:sz w:val="20"/>
          <w:szCs w:val="20"/>
        </w:rPr>
        <w:t>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L</w:t>
      </w:r>
      <w:r w:rsidRPr="002A4B5B">
        <w:rPr>
          <w:rFonts w:asciiTheme="majorBidi" w:hAnsiTheme="majorBidi" w:cstheme="majorBidi"/>
          <w:sz w:val="20"/>
          <w:szCs w:val="20"/>
        </w:rPr>
        <w:t>e mességué : encyclopédie familiale des plantes médicinales ». Bookprint. S.L. Barcelone. 427p</w:t>
      </w:r>
      <w:r w:rsidRPr="002A4B5B">
        <w:rPr>
          <w:rFonts w:asciiTheme="majorBidi" w:hAnsiTheme="majorBidi" w:cstheme="majorBidi"/>
          <w:bCs/>
          <w:sz w:val="20"/>
          <w:szCs w:val="20"/>
        </w:rPr>
        <w:t>.</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LAPEYRONIE A., 1982 :</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 Les</w:t>
      </w:r>
      <w:r w:rsidRPr="002A4B5B">
        <w:rPr>
          <w:rFonts w:asciiTheme="majorBidi" w:hAnsiTheme="majorBidi" w:cstheme="majorBidi"/>
          <w:bCs/>
          <w:sz w:val="20"/>
          <w:szCs w:val="20"/>
        </w:rPr>
        <w:t xml:space="preserve"> productions fourragères méditerranéennes</w:t>
      </w:r>
      <w:r w:rsidRPr="002A4B5B">
        <w:rPr>
          <w:rFonts w:asciiTheme="majorBidi" w:hAnsiTheme="majorBidi" w:cstheme="majorBidi"/>
          <w:sz w:val="20"/>
          <w:szCs w:val="20"/>
        </w:rPr>
        <w:t xml:space="preserve"> ». </w:t>
      </w:r>
      <w:r w:rsidRPr="002A4B5B">
        <w:rPr>
          <w:rFonts w:asciiTheme="majorBidi" w:hAnsiTheme="majorBidi" w:cstheme="majorBidi"/>
          <w:bCs/>
          <w:sz w:val="20"/>
          <w:szCs w:val="20"/>
        </w:rPr>
        <w:t>Maisonneuve et Larose. ed. Paris ; 425p.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LAROUSE AGRICOLE., 1981 :</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 xml:space="preserve"> </w:t>
      </w:r>
      <w:r w:rsidRPr="002A4B5B">
        <w:rPr>
          <w:rFonts w:asciiTheme="majorBidi" w:hAnsiTheme="majorBidi" w:cstheme="majorBidi"/>
          <w:bCs/>
          <w:sz w:val="20"/>
          <w:szCs w:val="20"/>
        </w:rPr>
        <w:t>Le L</w:t>
      </w:r>
      <w:r w:rsidRPr="002A4B5B">
        <w:rPr>
          <w:rFonts w:asciiTheme="majorBidi" w:hAnsiTheme="majorBidi" w:cstheme="majorBidi"/>
          <w:sz w:val="20"/>
          <w:szCs w:val="20"/>
        </w:rPr>
        <w:t>arousse agricole ».  Paris. pp237. p1207.</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LECHEVALIER P., 1927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xml:space="preserve">« Les plantes médicinales et leurs propriétés, encyclopédie pratiques du naturaliste </w:t>
      </w:r>
      <w:r w:rsidRPr="002A4B5B">
        <w:rPr>
          <w:rFonts w:asciiTheme="majorBidi" w:hAnsiTheme="majorBidi" w:cstheme="majorBidi"/>
          <w:sz w:val="20"/>
          <w:szCs w:val="20"/>
        </w:rPr>
        <w:t xml:space="preserve">». </w:t>
      </w:r>
      <w:r w:rsidRPr="002A4B5B">
        <w:rPr>
          <w:rFonts w:asciiTheme="majorBidi" w:hAnsiTheme="majorBidi" w:cstheme="majorBidi"/>
          <w:bCs/>
          <w:sz w:val="20"/>
          <w:szCs w:val="20"/>
        </w:rPr>
        <w:t>Libraire pour les sciences naturelles pari 136p.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lastRenderedPageBreak/>
        <w:t>LEGER F., BELLON S. ET GUERIN G., 2000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xml:space="preserve"> </w:t>
      </w:r>
      <w:r w:rsidRPr="002A4B5B">
        <w:rPr>
          <w:rFonts w:asciiTheme="majorBidi" w:hAnsiTheme="majorBidi" w:cstheme="majorBidi"/>
          <w:sz w:val="20"/>
          <w:szCs w:val="20"/>
        </w:rPr>
        <w:t>Outils et méthodes pour analyser les ressources au pâturage ». Options Méditerranéennes.  Sér. A / n°39. pp : 205-215.</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LESLEY B., 1998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L’œil</w:t>
      </w:r>
      <w:r w:rsidRPr="002A4B5B">
        <w:rPr>
          <w:rFonts w:asciiTheme="majorBidi" w:hAnsiTheme="majorBidi" w:cstheme="majorBidi"/>
          <w:sz w:val="20"/>
          <w:szCs w:val="20"/>
        </w:rPr>
        <w:t xml:space="preserve"> nature : les plantes aromatiques et médicinales ». Larousse. bordas. Paris. 304p.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bCs/>
          <w:sz w:val="20"/>
          <w:szCs w:val="20"/>
          <w:lang w:val="en-US"/>
        </w:rPr>
        <w:t>LI D. ET HANS-HENNING M., 1996:</w:t>
      </w:r>
      <w:r w:rsidRPr="002A4B5B">
        <w:rPr>
          <w:rFonts w:asciiTheme="majorBidi" w:hAnsiTheme="majorBidi" w:cstheme="majorBidi"/>
          <w:b/>
          <w:bCs/>
          <w:sz w:val="20"/>
          <w:szCs w:val="20"/>
          <w:lang w:val="en-US"/>
        </w:rPr>
        <w:t xml:space="preserve"> «</w:t>
      </w:r>
      <w:r w:rsidRPr="002A4B5B">
        <w:rPr>
          <w:rFonts w:asciiTheme="majorBidi" w:hAnsiTheme="majorBidi" w:cstheme="majorBidi"/>
          <w:bCs/>
          <w:sz w:val="20"/>
          <w:szCs w:val="20"/>
          <w:lang w:val="en-US"/>
        </w:rPr>
        <w:t xml:space="preserve"> Safflower </w:t>
      </w:r>
      <w:r w:rsidRPr="002A4B5B">
        <w:rPr>
          <w:rFonts w:asciiTheme="majorBidi" w:hAnsiTheme="majorBidi" w:cstheme="majorBidi"/>
          <w:sz w:val="20"/>
          <w:szCs w:val="20"/>
          <w:lang w:val="en-US"/>
        </w:rPr>
        <w:t>(</w:t>
      </w:r>
      <w:r w:rsidRPr="002A4B5B">
        <w:rPr>
          <w:rFonts w:asciiTheme="majorBidi" w:hAnsiTheme="majorBidi" w:cstheme="majorBidi"/>
          <w:i/>
          <w:iCs/>
          <w:sz w:val="20"/>
          <w:szCs w:val="20"/>
          <w:lang w:val="en-US"/>
        </w:rPr>
        <w:t>carthamus tinctorius</w:t>
      </w:r>
      <w:r w:rsidRPr="002A4B5B">
        <w:rPr>
          <w:rFonts w:asciiTheme="majorBidi" w:hAnsiTheme="majorBidi" w:cstheme="majorBidi"/>
          <w:sz w:val="20"/>
          <w:szCs w:val="20"/>
          <w:lang w:val="en-US"/>
        </w:rPr>
        <w:t xml:space="preserve"> L.) » .International Plant Genetic Resources Institute. Italy. 74p.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bCs/>
          <w:sz w:val="20"/>
          <w:szCs w:val="20"/>
          <w:lang w:val="en-US"/>
        </w:rPr>
        <w:t xml:space="preserve"> MAHASI M.J., WACHIRA F.N., PATHAK R.S et RIUNGU T.C., 2009: «Genetic polymorphism in exotic safflower (</w:t>
      </w:r>
      <w:r w:rsidRPr="002A4B5B">
        <w:rPr>
          <w:rFonts w:asciiTheme="majorBidi" w:hAnsiTheme="majorBidi" w:cstheme="majorBidi"/>
          <w:bCs/>
          <w:i/>
          <w:sz w:val="20"/>
          <w:szCs w:val="20"/>
          <w:lang w:val="en-US"/>
        </w:rPr>
        <w:t>Carthamus tinctorious</w:t>
      </w:r>
      <w:r w:rsidRPr="002A4B5B">
        <w:rPr>
          <w:rFonts w:asciiTheme="majorBidi" w:hAnsiTheme="majorBidi" w:cstheme="majorBidi"/>
          <w:bCs/>
          <w:sz w:val="20"/>
          <w:szCs w:val="20"/>
          <w:lang w:val="en-US"/>
        </w:rPr>
        <w:t xml:space="preserve"> L.) Using RAPD markers ». Journal of Plant Breeding and Crop Science Vol. 1(1). pp: 008-012</w:t>
      </w:r>
      <w:r w:rsidRPr="002A4B5B">
        <w:rPr>
          <w:rFonts w:asciiTheme="majorBidi" w:hAnsiTheme="majorBidi" w:cstheme="majorBidi"/>
          <w:sz w:val="20"/>
          <w:szCs w:val="20"/>
          <w:lang w:val="en-US"/>
        </w:rPr>
        <w:t>.</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lang w:val="en-US"/>
        </w:rPr>
        <w:t xml:space="preserve"> </w:t>
      </w:r>
      <w:r w:rsidRPr="002A4B5B">
        <w:rPr>
          <w:rFonts w:asciiTheme="majorBidi" w:hAnsiTheme="majorBidi" w:cstheme="majorBidi"/>
          <w:bCs/>
          <w:sz w:val="20"/>
          <w:szCs w:val="20"/>
        </w:rPr>
        <w:t>MATALLAH R., 1983 :</w:t>
      </w:r>
      <w:r w:rsidRPr="002A4B5B">
        <w:rPr>
          <w:rFonts w:asciiTheme="majorBidi" w:hAnsiTheme="majorBidi" w:cstheme="majorBidi"/>
          <w:b/>
          <w:bCs/>
          <w:sz w:val="20"/>
          <w:szCs w:val="20"/>
        </w:rPr>
        <w:t xml:space="preserve"> « </w:t>
      </w:r>
      <w:r w:rsidRPr="002A4B5B">
        <w:rPr>
          <w:rFonts w:asciiTheme="majorBidi" w:hAnsiTheme="majorBidi" w:cstheme="majorBidi"/>
          <w:bCs/>
          <w:sz w:val="20"/>
          <w:szCs w:val="20"/>
        </w:rPr>
        <w:t xml:space="preserve"> Etude comparative de la valeur alimentaire de cinq variétés de carthame, </w:t>
      </w:r>
      <w:r w:rsidRPr="002A4B5B">
        <w:rPr>
          <w:rFonts w:asciiTheme="majorBidi" w:hAnsiTheme="majorBidi" w:cstheme="majorBidi"/>
          <w:sz w:val="20"/>
          <w:szCs w:val="20"/>
        </w:rPr>
        <w:t>Mémoire d’ingénieur en technologie alimentaire ». ENSA (ex INA). El Harrach. 93p.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MESSAILI B., 1995 :</w:t>
      </w:r>
      <w:r w:rsidRPr="002A4B5B">
        <w:rPr>
          <w:rFonts w:asciiTheme="majorBidi" w:hAnsiTheme="majorBidi" w:cstheme="majorBidi"/>
          <w:b/>
          <w:bCs/>
          <w:sz w:val="20"/>
          <w:szCs w:val="20"/>
        </w:rPr>
        <w:t xml:space="preserve"> « </w:t>
      </w:r>
      <w:r w:rsidRPr="002A4B5B">
        <w:rPr>
          <w:rFonts w:asciiTheme="majorBidi" w:hAnsiTheme="majorBidi" w:cstheme="majorBidi"/>
          <w:bCs/>
          <w:sz w:val="20"/>
          <w:szCs w:val="20"/>
        </w:rPr>
        <w:t>Systématique</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xml:space="preserve">des spermaphytes </w:t>
      </w:r>
      <w:r w:rsidRPr="002A4B5B">
        <w:rPr>
          <w:rFonts w:asciiTheme="majorBidi" w:hAnsiTheme="majorBidi" w:cstheme="majorBidi"/>
          <w:sz w:val="20"/>
          <w:szCs w:val="20"/>
        </w:rPr>
        <w:t>»</w:t>
      </w:r>
      <w:r w:rsidRPr="002A4B5B">
        <w:rPr>
          <w:rFonts w:asciiTheme="majorBidi" w:hAnsiTheme="majorBidi" w:cstheme="majorBidi"/>
          <w:bCs/>
          <w:sz w:val="20"/>
          <w:szCs w:val="20"/>
        </w:rPr>
        <w:t>. OPU; Alger. 91p.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sz w:val="20"/>
          <w:szCs w:val="20"/>
        </w:rPr>
        <w:t xml:space="preserve"> </w:t>
      </w:r>
      <w:r w:rsidRPr="002A4B5B">
        <w:rPr>
          <w:rFonts w:asciiTheme="majorBidi" w:hAnsiTheme="majorBidi" w:cstheme="majorBidi"/>
          <w:bCs/>
          <w:sz w:val="20"/>
          <w:szCs w:val="20"/>
        </w:rPr>
        <w:t>MESSOUDI S., 2005 </w:t>
      </w:r>
      <w:r w:rsidRPr="002A4B5B">
        <w:rPr>
          <w:rFonts w:asciiTheme="majorBidi" w:hAnsiTheme="majorBidi" w:cstheme="majorBidi"/>
          <w:sz w:val="20"/>
          <w:szCs w:val="20"/>
        </w:rPr>
        <w:t>:</w:t>
      </w:r>
      <w:r w:rsidRPr="002A4B5B">
        <w:rPr>
          <w:rFonts w:asciiTheme="majorBidi" w:hAnsiTheme="majorBidi" w:cstheme="majorBidi"/>
          <w:b/>
          <w:bCs/>
          <w:sz w:val="20"/>
          <w:szCs w:val="20"/>
        </w:rPr>
        <w:t xml:space="preserve"> « </w:t>
      </w:r>
      <w:r w:rsidRPr="002A4B5B">
        <w:rPr>
          <w:rFonts w:asciiTheme="majorBidi" w:hAnsiTheme="majorBidi" w:cstheme="majorBidi"/>
          <w:sz w:val="20"/>
          <w:szCs w:val="20"/>
        </w:rPr>
        <w:t xml:space="preserve"> Les plantes médicinales ». Dar Elfiker. Tunis p 496.</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sz w:val="20"/>
          <w:szCs w:val="20"/>
        </w:rPr>
        <w:t>MINISTERE DE LA COOPERATION. 1998 :</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 xml:space="preserve"> Mémento de l’agronome ». 4 </w:t>
      </w:r>
      <w:r w:rsidRPr="002A4B5B">
        <w:rPr>
          <w:rFonts w:asciiTheme="majorBidi" w:hAnsiTheme="majorBidi" w:cstheme="majorBidi"/>
          <w:sz w:val="20"/>
          <w:szCs w:val="20"/>
          <w:vertAlign w:val="superscript"/>
        </w:rPr>
        <w:t xml:space="preserve">ème </w:t>
      </w:r>
      <w:r w:rsidRPr="002A4B5B">
        <w:rPr>
          <w:rFonts w:asciiTheme="majorBidi" w:hAnsiTheme="majorBidi" w:cstheme="majorBidi"/>
          <w:sz w:val="20"/>
          <w:szCs w:val="20"/>
        </w:rPr>
        <w:t>éd ; France.  pp : 880-881 .1635p.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sz w:val="20"/>
          <w:szCs w:val="20"/>
        </w:rPr>
        <w:t>MOKKEDEM A.,</w:t>
      </w:r>
      <w:r w:rsidRPr="002A4B5B">
        <w:rPr>
          <w:rFonts w:asciiTheme="majorBidi" w:hAnsiTheme="majorBidi" w:cstheme="majorBidi"/>
          <w:bCs/>
          <w:sz w:val="20"/>
          <w:szCs w:val="20"/>
        </w:rPr>
        <w:t xml:space="preserve"> 2004a :</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 xml:space="preserve"> La culture du fenugrec la Nigelle (</w:t>
      </w:r>
      <w:r w:rsidRPr="002A4B5B">
        <w:rPr>
          <w:rFonts w:asciiTheme="majorBidi" w:hAnsiTheme="majorBidi" w:cstheme="majorBidi"/>
          <w:i/>
          <w:iCs/>
          <w:sz w:val="20"/>
          <w:szCs w:val="20"/>
        </w:rPr>
        <w:t>Trigonnella fenum graecum L</w:t>
      </w:r>
      <w:r w:rsidRPr="002A4B5B">
        <w:rPr>
          <w:rFonts w:asciiTheme="majorBidi" w:hAnsiTheme="majorBidi" w:cstheme="majorBidi"/>
          <w:sz w:val="20"/>
          <w:szCs w:val="20"/>
        </w:rPr>
        <w:t xml:space="preserve">) en zone subhumide  ».  INRA. Baraki- Alger. 10p. </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MOKKEDEM A., 2004b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xml:space="preserve"> L</w:t>
      </w:r>
      <w:r w:rsidRPr="002A4B5B">
        <w:rPr>
          <w:rFonts w:asciiTheme="majorBidi" w:hAnsiTheme="majorBidi" w:cstheme="majorBidi"/>
          <w:sz w:val="20"/>
          <w:szCs w:val="20"/>
        </w:rPr>
        <w:t>a culture de la Nigelle (</w:t>
      </w:r>
      <w:r w:rsidRPr="002A4B5B">
        <w:rPr>
          <w:rFonts w:asciiTheme="majorBidi" w:hAnsiTheme="majorBidi" w:cstheme="majorBidi"/>
          <w:i/>
          <w:iCs/>
          <w:sz w:val="20"/>
          <w:szCs w:val="20"/>
        </w:rPr>
        <w:t>Nigella sativa L</w:t>
      </w:r>
      <w:r w:rsidRPr="002A4B5B">
        <w:rPr>
          <w:rFonts w:asciiTheme="majorBidi" w:hAnsiTheme="majorBidi" w:cstheme="majorBidi"/>
          <w:sz w:val="20"/>
          <w:szCs w:val="20"/>
        </w:rPr>
        <w:t>) en zone subhumide » INRA.  Baraki- Alger ; 10p.</w:t>
      </w:r>
      <w:r w:rsidRPr="002A4B5B">
        <w:rPr>
          <w:rFonts w:asciiTheme="majorBidi" w:hAnsiTheme="majorBidi" w:cstheme="majorBidi"/>
          <w:bCs/>
          <w:sz w:val="20"/>
          <w:szCs w:val="20"/>
        </w:rPr>
        <w:t xml:space="preserve"> </w:t>
      </w:r>
      <w:r w:rsidRPr="002A4B5B">
        <w:rPr>
          <w:rFonts w:asciiTheme="majorBidi" w:hAnsiTheme="majorBidi" w:cstheme="majorBidi"/>
          <w:sz w:val="20"/>
          <w:szCs w:val="20"/>
        </w:rPr>
        <w:t xml:space="preserve"> </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MOKKEDEM A., 2004c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w:t>
      </w:r>
      <w:r w:rsidRPr="002A4B5B">
        <w:rPr>
          <w:rFonts w:asciiTheme="majorBidi" w:hAnsiTheme="majorBidi" w:cstheme="majorBidi"/>
          <w:sz w:val="20"/>
          <w:szCs w:val="20"/>
        </w:rPr>
        <w:t>Guide pratique des cultures en secs de quelques plantes médicinales, condimentaires et aromatiques ». INRA. Baraki - Alger. 10p.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sz w:val="20"/>
          <w:szCs w:val="20"/>
        </w:rPr>
        <w:t xml:space="preserve"> </w:t>
      </w:r>
      <w:r w:rsidRPr="002A4B5B">
        <w:rPr>
          <w:rFonts w:asciiTheme="majorBidi" w:hAnsiTheme="majorBidi" w:cstheme="majorBidi"/>
          <w:bCs/>
          <w:sz w:val="20"/>
          <w:szCs w:val="20"/>
        </w:rPr>
        <w:t>MOKKEDEM A., 2004d :</w:t>
      </w:r>
      <w:r w:rsidRPr="002A4B5B">
        <w:rPr>
          <w:rFonts w:asciiTheme="majorBidi" w:hAnsiTheme="majorBidi" w:cstheme="majorBidi"/>
          <w:b/>
          <w:bCs/>
          <w:sz w:val="20"/>
          <w:szCs w:val="20"/>
        </w:rPr>
        <w:t xml:space="preserve">« </w:t>
      </w:r>
      <w:r w:rsidRPr="002A4B5B">
        <w:rPr>
          <w:rFonts w:asciiTheme="majorBidi" w:hAnsiTheme="majorBidi" w:cstheme="majorBidi"/>
          <w:sz w:val="20"/>
          <w:szCs w:val="20"/>
        </w:rPr>
        <w:t>Note sur les plantes condimentaires et aromatiques dans la région du Touat et le Gourrara (ADRAR) » .INRA. Baraki - Alger.</w:t>
      </w:r>
      <w:r w:rsidRPr="002A4B5B">
        <w:rPr>
          <w:rFonts w:asciiTheme="majorBidi" w:hAnsiTheme="majorBidi" w:cstheme="majorBidi"/>
          <w:bCs/>
          <w:sz w:val="20"/>
          <w:szCs w:val="20"/>
        </w:rPr>
        <w:t xml:space="preserve"> </w:t>
      </w:r>
      <w:r w:rsidRPr="002A4B5B">
        <w:rPr>
          <w:rFonts w:asciiTheme="majorBidi" w:hAnsiTheme="majorBidi" w:cstheme="majorBidi"/>
          <w:sz w:val="20"/>
          <w:szCs w:val="20"/>
        </w:rPr>
        <w:t>10p.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GB"/>
        </w:rPr>
      </w:pPr>
      <w:r w:rsidRPr="002A4B5B">
        <w:rPr>
          <w:rFonts w:asciiTheme="majorBidi" w:hAnsiTheme="majorBidi" w:cstheme="majorBidi"/>
          <w:bCs/>
          <w:sz w:val="20"/>
          <w:szCs w:val="20"/>
          <w:lang w:val="en-US"/>
        </w:rPr>
        <w:t xml:space="preserve"> </w:t>
      </w:r>
      <w:r w:rsidRPr="002A4B5B">
        <w:rPr>
          <w:rFonts w:asciiTheme="majorBidi" w:hAnsiTheme="majorBidi" w:cstheme="majorBidi"/>
          <w:bCs/>
          <w:sz w:val="20"/>
          <w:szCs w:val="20"/>
          <w:lang w:val="en-GB"/>
        </w:rPr>
        <w:t>MÜNDEL H., AUTHOR</w:t>
      </w:r>
      <w:r w:rsidRPr="002A4B5B">
        <w:rPr>
          <w:rFonts w:asciiTheme="majorBidi" w:hAnsiTheme="majorBidi" w:cstheme="majorBidi"/>
          <w:bCs/>
          <w:sz w:val="20"/>
          <w:szCs w:val="20"/>
          <w:lang w:val="en-US"/>
        </w:rPr>
        <w:t xml:space="preserve"> S., BLACKSHAW R., ROBERT BYERS J., C HUANG H., JOHNSON D., KEON R.., KUBIK J., MCKENZIE R.,OTTO B., ROTH B. ET STANFORD K., 2004 :</w:t>
      </w:r>
      <w:r w:rsidRPr="002A4B5B">
        <w:rPr>
          <w:rFonts w:asciiTheme="majorBidi" w:hAnsiTheme="majorBidi" w:cstheme="majorBidi"/>
          <w:b/>
          <w:bCs/>
          <w:sz w:val="20"/>
          <w:szCs w:val="20"/>
          <w:lang w:val="en-US"/>
        </w:rPr>
        <w:t xml:space="preserve"> «</w:t>
      </w:r>
      <w:r w:rsidRPr="002A4B5B">
        <w:rPr>
          <w:rFonts w:asciiTheme="majorBidi" w:hAnsiTheme="majorBidi" w:cstheme="majorBidi"/>
          <w:bCs/>
          <w:sz w:val="20"/>
          <w:szCs w:val="20"/>
          <w:lang w:val="en-US"/>
        </w:rPr>
        <w:t xml:space="preserve"> </w:t>
      </w:r>
      <w:r w:rsidRPr="002A4B5B">
        <w:rPr>
          <w:rFonts w:asciiTheme="majorBidi" w:hAnsiTheme="majorBidi" w:cstheme="majorBidi"/>
          <w:sz w:val="20"/>
          <w:szCs w:val="20"/>
          <w:lang w:val="en-US"/>
        </w:rPr>
        <w:t xml:space="preserve">Safflower Production on the Canadian Prairies ». Agriculture and Agri-Food Canada, Lethbridge Research Centre; PO Box 3000; Lethbridge, Alberta. </w:t>
      </w:r>
      <w:r w:rsidRPr="002A4B5B">
        <w:rPr>
          <w:rFonts w:asciiTheme="majorBidi" w:hAnsiTheme="majorBidi" w:cstheme="majorBidi"/>
          <w:sz w:val="20"/>
          <w:szCs w:val="20"/>
          <w:lang w:val="en-GB"/>
        </w:rPr>
        <w:t>T1J 4B1. 35p.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sz w:val="20"/>
          <w:szCs w:val="20"/>
          <w:lang w:val="en-GB"/>
        </w:rPr>
        <w:t>MUÑOZ-VALENZUELA S., CHANDA M.G., MONTOYA-CORONADO L. ET RIVERA-ROJAS M.V., 2007:</w:t>
      </w:r>
      <w:r w:rsidRPr="002A4B5B">
        <w:rPr>
          <w:rFonts w:asciiTheme="majorBidi" w:hAnsiTheme="majorBidi" w:cstheme="majorBidi"/>
          <w:b/>
          <w:bCs/>
          <w:sz w:val="20"/>
          <w:szCs w:val="20"/>
          <w:lang w:val="en-GB"/>
        </w:rPr>
        <w:t xml:space="preserve"> «</w:t>
      </w:r>
      <w:r w:rsidRPr="002A4B5B">
        <w:rPr>
          <w:rFonts w:asciiTheme="majorBidi" w:hAnsiTheme="majorBidi" w:cstheme="majorBidi"/>
          <w:sz w:val="20"/>
          <w:szCs w:val="20"/>
          <w:lang w:val="en-GB"/>
        </w:rPr>
        <w:t xml:space="preserve"> Evaluation of Safflower Genotypes in Northwest México, Reprinted from: Issues in new crops and new uses ». J.Janick and A.Whipkey (Eds.). </w:t>
      </w:r>
      <w:r w:rsidRPr="002A4B5B">
        <w:rPr>
          <w:rFonts w:asciiTheme="majorBidi" w:hAnsiTheme="majorBidi" w:cstheme="majorBidi"/>
          <w:sz w:val="20"/>
          <w:szCs w:val="20"/>
          <w:lang w:val="en-US"/>
        </w:rPr>
        <w:t xml:space="preserve">ASHS Press. Alexandria. </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sz w:val="20"/>
          <w:szCs w:val="20"/>
          <w:lang w:val="en-US"/>
        </w:rPr>
        <w:t>NEFFATI M ET OULED BELGACEM A., 2006: « A multidisciplinary study of herbal, medicinal and aromatic plants in Southern Tunisia: a new approach». RCLPM.</w:t>
      </w:r>
      <w:r w:rsidRPr="002A4B5B">
        <w:rPr>
          <w:rFonts w:asciiTheme="majorBidi" w:eastAsia="Batang" w:hAnsiTheme="majorBidi" w:cstheme="majorBidi"/>
          <w:sz w:val="20"/>
          <w:szCs w:val="20"/>
          <w:lang w:val="en-US"/>
        </w:rPr>
        <w:t xml:space="preserve"> </w:t>
      </w:r>
      <w:r w:rsidRPr="002A4B5B">
        <w:rPr>
          <w:rFonts w:asciiTheme="majorBidi" w:hAnsiTheme="majorBidi" w:cstheme="majorBidi"/>
          <w:sz w:val="20"/>
          <w:szCs w:val="20"/>
          <w:lang w:val="en-US"/>
        </w:rPr>
        <w:t>Cairo, Egypt.14p.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rPr>
      </w:pPr>
      <w:r w:rsidRPr="002A4B5B">
        <w:rPr>
          <w:rFonts w:asciiTheme="majorBidi" w:hAnsiTheme="majorBidi" w:cstheme="majorBidi"/>
          <w:sz w:val="20"/>
          <w:szCs w:val="20"/>
        </w:rPr>
        <w:t>NEFFATI M., 2008: « Domestication des plantes spontanées autochtones à usages multiples en zones arides et désertiques ».CIDRA.IRA.Médenine (Tunisie).198p.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 xml:space="preserve">ODYMNIMH P., 1994 : « Les plantes médicinales. Encyclopédie pratique ». Sélection du Reader’s Digest. </w:t>
      </w:r>
      <w:r w:rsidRPr="002A4B5B">
        <w:rPr>
          <w:rFonts w:asciiTheme="majorBidi" w:hAnsiTheme="majorBidi" w:cstheme="majorBidi"/>
          <w:sz w:val="20"/>
          <w:szCs w:val="20"/>
          <w:lang w:val="en-GB"/>
        </w:rPr>
        <w:t>Paris, Bruxelle, Zurich. 195p.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 xml:space="preserve">OULD EL HADJ M. D., HADJ-MAHAMMED M., ZABEIROU H., 2003: « Place des plantes spontanées dans la médicine traditionnelle de la région de Ouargla: Sahara septentrional EST ». </w:t>
      </w:r>
      <w:r w:rsidRPr="002A4B5B">
        <w:rPr>
          <w:rFonts w:asciiTheme="majorBidi" w:hAnsiTheme="majorBidi" w:cstheme="majorBidi"/>
          <w:sz w:val="20"/>
          <w:szCs w:val="20"/>
          <w:lang w:val="en-GB"/>
        </w:rPr>
        <w:t>Courrier du Savoir – N°03. Janvier 2003. pp: 47-51.</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OZENDA P., 1991 : « Flore du Sahara » . 2</w:t>
      </w:r>
      <w:r w:rsidRPr="002A4B5B">
        <w:rPr>
          <w:rFonts w:asciiTheme="majorBidi" w:hAnsiTheme="majorBidi" w:cstheme="majorBidi"/>
          <w:sz w:val="20"/>
          <w:szCs w:val="20"/>
          <w:vertAlign w:val="superscript"/>
        </w:rPr>
        <w:t>ème</w:t>
      </w:r>
      <w:r w:rsidRPr="002A4B5B">
        <w:rPr>
          <w:rFonts w:asciiTheme="majorBidi" w:hAnsiTheme="majorBidi" w:cstheme="majorBidi"/>
          <w:sz w:val="20"/>
          <w:szCs w:val="20"/>
        </w:rPr>
        <w:t xml:space="preserve">  Ed. CNRS : 622p.  </w:t>
      </w:r>
      <w:r w:rsidRPr="002A4B5B">
        <w:rPr>
          <w:rFonts w:asciiTheme="majorBidi" w:hAnsiTheme="majorBidi" w:cstheme="majorBidi"/>
          <w:sz w:val="20"/>
          <w:szCs w:val="20"/>
          <w:lang w:val="en-GB"/>
        </w:rPr>
        <w:t>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OZENDA P., 2000 : « Les végétaux : organisation et diversité biologique ». 2</w:t>
      </w:r>
      <w:r w:rsidRPr="002A4B5B">
        <w:rPr>
          <w:rFonts w:asciiTheme="majorBidi" w:hAnsiTheme="majorBidi" w:cstheme="majorBidi"/>
          <w:sz w:val="20"/>
          <w:szCs w:val="20"/>
          <w:vertAlign w:val="superscript"/>
        </w:rPr>
        <w:t>ème</w:t>
      </w:r>
      <w:r w:rsidRPr="002A4B5B">
        <w:rPr>
          <w:rFonts w:asciiTheme="majorBidi" w:hAnsiTheme="majorBidi" w:cstheme="majorBidi"/>
          <w:sz w:val="20"/>
          <w:szCs w:val="20"/>
        </w:rPr>
        <w:t xml:space="preserve"> édition, Dunod, Paris, pp : 382. </w:t>
      </w:r>
      <w:r w:rsidRPr="002A4B5B">
        <w:rPr>
          <w:rFonts w:asciiTheme="majorBidi" w:hAnsiTheme="majorBidi" w:cstheme="majorBidi"/>
          <w:sz w:val="20"/>
          <w:szCs w:val="20"/>
          <w:lang w:val="en-GB"/>
        </w:rPr>
        <w:t>516p.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lastRenderedPageBreak/>
        <w:t>PETER.H., RAVEN.; RAY F EVERT ET SUSAN E.ECHORN., 2003 : « Physiologique de l’embryon et l’imperméabilité du spermoderme à l’eau et parfois à l’oxygène ». 1</w:t>
      </w:r>
      <w:r w:rsidRPr="002A4B5B">
        <w:rPr>
          <w:rFonts w:asciiTheme="majorBidi" w:hAnsiTheme="majorBidi" w:cstheme="majorBidi"/>
          <w:sz w:val="20"/>
          <w:szCs w:val="20"/>
          <w:vertAlign w:val="superscript"/>
        </w:rPr>
        <w:t>ère</w:t>
      </w:r>
      <w:r w:rsidRPr="002A4B5B">
        <w:rPr>
          <w:rFonts w:asciiTheme="majorBidi" w:hAnsiTheme="majorBidi" w:cstheme="majorBidi"/>
          <w:sz w:val="20"/>
          <w:szCs w:val="20"/>
        </w:rPr>
        <w:t xml:space="preserve"> </w:t>
      </w:r>
      <w:r w:rsidRPr="002A4B5B">
        <w:rPr>
          <w:rFonts w:asciiTheme="majorBidi" w:hAnsiTheme="majorBidi" w:cstheme="majorBidi"/>
          <w:sz w:val="20"/>
          <w:szCs w:val="20"/>
          <w:lang w:val="en-GB"/>
        </w:rPr>
        <w:t>édition. Paris. 555pp. 944p.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 xml:space="preserve">POUSSET J.L., 2004: « Plantes médicinales d’Afriques « comment les reconnaître et les utiliser ». </w:t>
      </w:r>
      <w:r w:rsidRPr="002A4B5B">
        <w:rPr>
          <w:rFonts w:asciiTheme="majorBidi" w:hAnsiTheme="majorBidi" w:cstheme="majorBidi"/>
          <w:sz w:val="20"/>
          <w:szCs w:val="20"/>
          <w:lang w:val="en-GB"/>
        </w:rPr>
        <w:t>Éd isud. pp7. 287p.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rPr>
      </w:pPr>
      <w:r w:rsidRPr="002A4B5B">
        <w:rPr>
          <w:rFonts w:asciiTheme="majorBidi" w:hAnsiTheme="majorBidi" w:cstheme="majorBidi"/>
          <w:sz w:val="20"/>
          <w:szCs w:val="20"/>
        </w:rPr>
        <w:t>QUEZEL P. et SANTA S., 1962: « Nouvelle flore de l’Algérie et des régions désertiques méridionales ». Ed CNRS. T1 ET 2.Paris.565p.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rPr>
      </w:pPr>
      <w:r w:rsidRPr="002A4B5B">
        <w:rPr>
          <w:rFonts w:asciiTheme="majorBidi" w:hAnsiTheme="majorBidi" w:cstheme="majorBidi"/>
          <w:sz w:val="20"/>
          <w:szCs w:val="20"/>
        </w:rPr>
        <w:t>REGER PRAT., 2007: « Expérimentation en biologie et physiologie végétale ». Paris. 161pp. 296p.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RICHARD H. ET LOO A., 1992: « Nature origine et propriétés des épices et des aromates ». Bruts; pp: 17-</w:t>
      </w:r>
      <w:smartTag w:uri="urn:schemas-microsoft-com:office:smarttags" w:element="metricconverter">
        <w:smartTagPr>
          <w:attr w:name="ProductID" w:val="69. In"/>
        </w:smartTagPr>
        <w:r w:rsidRPr="002A4B5B">
          <w:rPr>
            <w:rFonts w:asciiTheme="majorBidi" w:hAnsiTheme="majorBidi" w:cstheme="majorBidi"/>
            <w:sz w:val="20"/>
            <w:szCs w:val="20"/>
          </w:rPr>
          <w:t>69. In</w:t>
        </w:r>
      </w:smartTag>
      <w:r w:rsidRPr="002A4B5B">
        <w:rPr>
          <w:rFonts w:asciiTheme="majorBidi" w:hAnsiTheme="majorBidi" w:cstheme="majorBidi"/>
          <w:sz w:val="20"/>
          <w:szCs w:val="20"/>
        </w:rPr>
        <w:t xml:space="preserve"> épices et aromates (collection scientifiques agro-alimentaires). </w:t>
      </w:r>
      <w:r w:rsidRPr="002A4B5B">
        <w:rPr>
          <w:rFonts w:asciiTheme="majorBidi" w:hAnsiTheme="majorBidi" w:cstheme="majorBidi"/>
          <w:sz w:val="20"/>
          <w:szCs w:val="20"/>
          <w:lang w:val="en-GB"/>
        </w:rPr>
        <w:t>339p.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 xml:space="preserve">SCHAUENBERG P. ET PARIS F., 2006: « Guides des plantes médicinales (analyse, description et utilisation de 400 plantes) » .paris.1997. </w:t>
      </w:r>
      <w:r w:rsidRPr="002A4B5B">
        <w:rPr>
          <w:rFonts w:asciiTheme="majorBidi" w:hAnsiTheme="majorBidi" w:cstheme="majorBidi"/>
          <w:sz w:val="20"/>
          <w:szCs w:val="20"/>
          <w:lang w:val="en-GB"/>
        </w:rPr>
        <w:t>Réimpression en juillet 2006 par Belta (Espagne). 396p.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SELLAMNA K., 2006: « Caractérisation agro morphologique de quelques populations locales du niébé (</w:t>
      </w:r>
      <w:r w:rsidRPr="002A4B5B">
        <w:rPr>
          <w:rFonts w:asciiTheme="majorBidi" w:hAnsiTheme="majorBidi" w:cstheme="majorBidi"/>
          <w:i/>
          <w:sz w:val="20"/>
          <w:szCs w:val="20"/>
        </w:rPr>
        <w:t>Vigna unguiculata</w:t>
      </w:r>
      <w:r w:rsidRPr="002A4B5B">
        <w:rPr>
          <w:rFonts w:asciiTheme="majorBidi" w:hAnsiTheme="majorBidi" w:cstheme="majorBidi"/>
          <w:sz w:val="20"/>
          <w:szCs w:val="20"/>
        </w:rPr>
        <w:t xml:space="preserve"> (L.) Walp) ». Mémoire d’ingénieur en production et amélioration végétales. ENSA (Ex. </w:t>
      </w:r>
      <w:r w:rsidRPr="002A4B5B">
        <w:rPr>
          <w:rFonts w:asciiTheme="majorBidi" w:hAnsiTheme="majorBidi" w:cstheme="majorBidi"/>
          <w:sz w:val="20"/>
          <w:szCs w:val="20"/>
          <w:lang w:val="en-GB"/>
        </w:rPr>
        <w:t>INA). El Harrach. 61p.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lang w:val="en-GB"/>
        </w:rPr>
        <w:t>SELVAM A.B.D., 2008: « Inventory of Vegetable Crude Drug samples housed in Botanical Survey of India, Howrah, Pharmacognosy Reviews ». Vol 2. Issue 3. pp: 61-94.</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lang w:val="en-GB"/>
        </w:rPr>
        <w:t>SINGH V ET NIMBKAR. N., 2006: « Safflower (</w:t>
      </w:r>
      <w:r w:rsidRPr="002A4B5B">
        <w:rPr>
          <w:rFonts w:asciiTheme="majorBidi" w:hAnsiTheme="majorBidi" w:cstheme="majorBidi"/>
          <w:i/>
          <w:sz w:val="20"/>
          <w:szCs w:val="20"/>
          <w:lang w:val="en-GB"/>
        </w:rPr>
        <w:t>Carthamus tinctorius</w:t>
      </w:r>
      <w:r w:rsidRPr="002A4B5B">
        <w:rPr>
          <w:rFonts w:asciiTheme="majorBidi" w:hAnsiTheme="majorBidi" w:cstheme="majorBidi"/>
          <w:sz w:val="20"/>
          <w:szCs w:val="20"/>
          <w:lang w:val="en-GB"/>
        </w:rPr>
        <w:t xml:space="preserve"> L.) ». 3639_C006.fm.Wednesday.pp: 167-195.</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 xml:space="preserve">SOLTNER D., 2005: « Les grandes productions végétales ». </w:t>
      </w:r>
      <w:r w:rsidRPr="002A4B5B">
        <w:rPr>
          <w:rFonts w:asciiTheme="majorBidi" w:hAnsiTheme="majorBidi" w:cstheme="majorBidi"/>
          <w:sz w:val="20"/>
          <w:szCs w:val="20"/>
          <w:lang w:val="en-GB"/>
        </w:rPr>
        <w:t>20ème Ed. STA. Paris. 472p.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rPr>
      </w:pPr>
      <w:r w:rsidRPr="002A4B5B">
        <w:rPr>
          <w:rFonts w:asciiTheme="majorBidi" w:hAnsiTheme="majorBidi" w:cstheme="majorBidi"/>
          <w:sz w:val="20"/>
          <w:szCs w:val="20"/>
        </w:rPr>
        <w:t xml:space="preserve">SOUDANI N. ET TIBERMACINE R., 2006: « Etude écologique et phytochimique de la plante médicinale </w:t>
      </w:r>
      <w:r w:rsidRPr="002A4B5B">
        <w:rPr>
          <w:rFonts w:asciiTheme="majorBidi" w:hAnsiTheme="majorBidi" w:cstheme="majorBidi"/>
          <w:i/>
          <w:sz w:val="20"/>
          <w:szCs w:val="20"/>
        </w:rPr>
        <w:t>Teucrium polium</w:t>
      </w:r>
      <w:r w:rsidRPr="002A4B5B">
        <w:rPr>
          <w:rFonts w:asciiTheme="majorBidi" w:hAnsiTheme="majorBidi" w:cstheme="majorBidi"/>
          <w:sz w:val="20"/>
          <w:szCs w:val="20"/>
        </w:rPr>
        <w:t xml:space="preserve"> L. dans la région de Djamourah wilaya de Biskra ». Mémoire d’ingénieur. Production et amélioration végétale. Université de Biskra. 62p.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 xml:space="preserve">SPICHIGER R.E., VINCENT V., MURILLE FIGEAT SAVOLAIEN ET JEAMONOD D., 2004: « Botanique systématique des plantes à fleurs » .3eme éd. </w:t>
      </w:r>
      <w:r w:rsidRPr="002A4B5B">
        <w:rPr>
          <w:rFonts w:asciiTheme="majorBidi" w:hAnsiTheme="majorBidi" w:cstheme="majorBidi"/>
          <w:sz w:val="20"/>
          <w:szCs w:val="20"/>
          <w:lang w:val="en-GB"/>
        </w:rPr>
        <w:t>PPUR. Lausanne. pp: 179-182; 413p.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 xml:space="preserve">SPICHIGER RODOLPHE-EDOUARD., VINCENT V., MURIELLE FIGEAT EE DANIEL JEANMONOD., 2004: « Botanique et systématique des plantes à fleurs ». </w:t>
      </w:r>
      <w:r w:rsidRPr="002A4B5B">
        <w:rPr>
          <w:rFonts w:asciiTheme="majorBidi" w:hAnsiTheme="majorBidi" w:cstheme="majorBidi"/>
          <w:sz w:val="20"/>
          <w:szCs w:val="20"/>
          <w:lang w:val="en-GB"/>
        </w:rPr>
        <w:t>Lausanne. 99pp. 413p.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rPr>
        <w:t xml:space="preserve">TEUSCHER E., ANTON B. ET LOBSTEIN A., 2005: « Plantes aromatiques (épices, aromates, condiments et huiles essentielles) ». </w:t>
      </w:r>
      <w:r w:rsidRPr="002A4B5B">
        <w:rPr>
          <w:rFonts w:asciiTheme="majorBidi" w:hAnsiTheme="majorBidi" w:cstheme="majorBidi"/>
          <w:sz w:val="20"/>
          <w:szCs w:val="20"/>
          <w:lang w:val="en-GB"/>
        </w:rPr>
        <w:t>France. 522p.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rPr>
      </w:pPr>
      <w:r w:rsidRPr="002A4B5B">
        <w:rPr>
          <w:rFonts w:asciiTheme="majorBidi" w:hAnsiTheme="majorBidi" w:cstheme="majorBidi"/>
          <w:sz w:val="20"/>
          <w:szCs w:val="20"/>
        </w:rPr>
        <w:t>VIAL B., 1998: « Botanique médicinale ». SIMILIA. PARIS. 415p.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rPr>
      </w:pPr>
      <w:r w:rsidRPr="002A4B5B">
        <w:rPr>
          <w:rFonts w:asciiTheme="majorBidi" w:hAnsiTheme="majorBidi" w:cstheme="majorBidi"/>
          <w:sz w:val="20"/>
          <w:szCs w:val="20"/>
        </w:rPr>
        <w:t xml:space="preserve"> VIGUIER M., 2006: « Les perspectives économiques des secteurs de l’horticulture; avis et rapports du conseil économique et social ». N°10 NOR: C.E.S. X0600110V. Séance des 30 et 31 mai 2006.47pp. 174p.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rPr>
      </w:pPr>
      <w:r w:rsidRPr="002A4B5B">
        <w:rPr>
          <w:rFonts w:asciiTheme="majorBidi" w:hAnsiTheme="majorBidi" w:cstheme="majorBidi"/>
          <w:sz w:val="20"/>
          <w:szCs w:val="20"/>
        </w:rPr>
        <w:t>WICHTL M., ANTON R., 2003: « Plantes thérapeutiques ».  2eme édition. Tournai (Belgique). 689p.</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rPr>
      </w:pPr>
      <w:r w:rsidRPr="002A4B5B">
        <w:rPr>
          <w:rFonts w:asciiTheme="majorBidi" w:hAnsiTheme="majorBidi" w:cstheme="majorBidi"/>
          <w:sz w:val="20"/>
          <w:szCs w:val="20"/>
        </w:rPr>
        <w:t>WILLAN R.L., 1992:« Guide de manipulation des semences forestières ».FAO.DAIDA. </w:t>
      </w:r>
    </w:p>
    <w:p w:rsidR="00CC29E3" w:rsidRPr="002A4B5B" w:rsidRDefault="00CC29E3" w:rsidP="002A4B5B">
      <w:pPr>
        <w:numPr>
          <w:ilvl w:val="0"/>
          <w:numId w:val="45"/>
        </w:numPr>
        <w:tabs>
          <w:tab w:val="left" w:pos="709"/>
        </w:tabs>
        <w:spacing w:before="240" w:after="240" w:line="240" w:lineRule="auto"/>
        <w:jc w:val="both"/>
        <w:rPr>
          <w:rFonts w:asciiTheme="majorBidi" w:hAnsiTheme="majorBidi" w:cstheme="majorBidi"/>
          <w:sz w:val="20"/>
          <w:szCs w:val="20"/>
          <w:lang w:val="en-GB"/>
        </w:rPr>
      </w:pPr>
      <w:r w:rsidRPr="002A4B5B">
        <w:rPr>
          <w:rFonts w:asciiTheme="majorBidi" w:hAnsiTheme="majorBidi" w:cstheme="majorBidi"/>
          <w:sz w:val="20"/>
          <w:szCs w:val="20"/>
          <w:lang w:val="en-GB"/>
        </w:rPr>
        <w:t>ZAHER K., AHMED W.M., ET ZERIZER S N., 2008: « Observations on the Biological Effects of Black Cumin Seed (</w:t>
      </w:r>
      <w:r w:rsidRPr="002A4B5B">
        <w:rPr>
          <w:rFonts w:asciiTheme="majorBidi" w:hAnsiTheme="majorBidi" w:cstheme="majorBidi"/>
          <w:i/>
          <w:sz w:val="20"/>
          <w:szCs w:val="20"/>
          <w:lang w:val="en-GB"/>
        </w:rPr>
        <w:t xml:space="preserve">Nigella sativa </w:t>
      </w:r>
      <w:r w:rsidRPr="002A4B5B">
        <w:rPr>
          <w:rFonts w:asciiTheme="majorBidi" w:hAnsiTheme="majorBidi" w:cstheme="majorBidi"/>
          <w:iCs/>
          <w:sz w:val="20"/>
          <w:szCs w:val="20"/>
          <w:lang w:val="en-GB"/>
        </w:rPr>
        <w:t>L</w:t>
      </w:r>
      <w:r w:rsidRPr="002A4B5B">
        <w:rPr>
          <w:rFonts w:asciiTheme="majorBidi" w:hAnsiTheme="majorBidi" w:cstheme="majorBidi"/>
          <w:i/>
          <w:sz w:val="20"/>
          <w:szCs w:val="20"/>
          <w:lang w:val="en-GB"/>
        </w:rPr>
        <w:t>.</w:t>
      </w:r>
      <w:r w:rsidRPr="002A4B5B">
        <w:rPr>
          <w:rFonts w:asciiTheme="majorBidi" w:hAnsiTheme="majorBidi" w:cstheme="majorBidi"/>
          <w:sz w:val="20"/>
          <w:szCs w:val="20"/>
          <w:lang w:val="en-GB"/>
        </w:rPr>
        <w:t>) and Green Tea (</w:t>
      </w:r>
      <w:r w:rsidRPr="002A4B5B">
        <w:rPr>
          <w:rFonts w:asciiTheme="majorBidi" w:hAnsiTheme="majorBidi" w:cstheme="majorBidi"/>
          <w:i/>
          <w:sz w:val="20"/>
          <w:szCs w:val="20"/>
          <w:lang w:val="en-GB"/>
        </w:rPr>
        <w:t>Camellia sinensis</w:t>
      </w:r>
      <w:r w:rsidRPr="002A4B5B">
        <w:rPr>
          <w:rFonts w:asciiTheme="majorBidi" w:hAnsiTheme="majorBidi" w:cstheme="majorBidi"/>
          <w:sz w:val="20"/>
          <w:szCs w:val="20"/>
          <w:lang w:val="en-GB"/>
        </w:rPr>
        <w:t>) ». IDOSI. Global Veterinaria 2 (4).   pp: 198-204.</w:t>
      </w:r>
    </w:p>
    <w:p w:rsidR="00CC29E3" w:rsidRPr="002A4B5B" w:rsidRDefault="00CC29E3" w:rsidP="002A4B5B">
      <w:pPr>
        <w:spacing w:line="240" w:lineRule="auto"/>
        <w:rPr>
          <w:rFonts w:asciiTheme="majorBidi" w:hAnsiTheme="majorBidi" w:cstheme="majorBidi"/>
          <w:bCs/>
          <w:sz w:val="20"/>
          <w:szCs w:val="20"/>
          <w:lang w:val="en-GB"/>
        </w:rPr>
      </w:pPr>
    </w:p>
    <w:p w:rsidR="00CC29E3" w:rsidRPr="00DE5010" w:rsidRDefault="00CC29E3" w:rsidP="00CC29E3">
      <w:pPr>
        <w:rPr>
          <w:rFonts w:asciiTheme="majorBidi" w:hAnsiTheme="majorBidi" w:cstheme="majorBidi"/>
          <w:bCs/>
          <w:sz w:val="24"/>
          <w:szCs w:val="24"/>
          <w:lang w:val="en-GB"/>
        </w:rPr>
      </w:pPr>
    </w:p>
    <w:p w:rsidR="00CC29E3" w:rsidRDefault="00CC29E3" w:rsidP="00CC29E3">
      <w:pPr>
        <w:rPr>
          <w:rFonts w:asciiTheme="majorBidi" w:hAnsiTheme="majorBidi" w:cstheme="majorBidi"/>
          <w:bCs/>
          <w:sz w:val="24"/>
          <w:szCs w:val="24"/>
          <w:lang w:val="en-GB"/>
        </w:rPr>
      </w:pPr>
    </w:p>
    <w:p w:rsidR="002A4B5B" w:rsidRPr="00772221" w:rsidRDefault="002A4B5B" w:rsidP="00CC29E3">
      <w:pPr>
        <w:rPr>
          <w:rFonts w:asciiTheme="majorBidi" w:hAnsiTheme="majorBidi" w:cstheme="majorBidi"/>
          <w:bCs/>
          <w:sz w:val="24"/>
          <w:szCs w:val="24"/>
          <w:highlight w:val="yellow"/>
          <w:lang w:val="en-GB"/>
        </w:rPr>
      </w:pPr>
    </w:p>
    <w:p w:rsidR="00CC29E3" w:rsidRPr="00772221" w:rsidRDefault="00CC29E3" w:rsidP="00CC29E3">
      <w:pPr>
        <w:jc w:val="center"/>
        <w:rPr>
          <w:rFonts w:asciiTheme="majorBidi" w:hAnsiTheme="majorBidi" w:cstheme="majorBidi"/>
          <w:b/>
          <w:sz w:val="24"/>
          <w:szCs w:val="24"/>
          <w:lang w:val="en-GB"/>
        </w:rPr>
      </w:pPr>
      <w:r w:rsidRPr="00772221">
        <w:rPr>
          <w:rFonts w:asciiTheme="majorBidi" w:hAnsiTheme="majorBidi" w:cstheme="majorBidi"/>
          <w:b/>
          <w:sz w:val="24"/>
          <w:szCs w:val="24"/>
          <w:lang w:val="en-GB"/>
        </w:rPr>
        <w:lastRenderedPageBreak/>
        <w:t>Webographie</w:t>
      </w:r>
    </w:p>
    <w:p w:rsidR="00CD530C" w:rsidRPr="002A4B5B" w:rsidRDefault="00CD530C" w:rsidP="00CD530C">
      <w:pPr>
        <w:numPr>
          <w:ilvl w:val="0"/>
          <w:numId w:val="46"/>
        </w:numPr>
        <w:tabs>
          <w:tab w:val="left" w:pos="709"/>
        </w:tabs>
        <w:spacing w:before="240" w:after="240" w:line="240" w:lineRule="auto"/>
        <w:jc w:val="both"/>
        <w:rPr>
          <w:rFonts w:asciiTheme="majorBidi" w:hAnsiTheme="majorBidi" w:cstheme="majorBidi"/>
          <w:bCs/>
          <w:i/>
          <w:iCs/>
          <w:sz w:val="20"/>
          <w:szCs w:val="20"/>
        </w:rPr>
      </w:pPr>
      <w:r w:rsidRPr="002A4B5B">
        <w:rPr>
          <w:rFonts w:asciiTheme="majorBidi" w:hAnsiTheme="majorBidi" w:cstheme="majorBidi"/>
          <w:bCs/>
          <w:sz w:val="20"/>
          <w:szCs w:val="20"/>
        </w:rPr>
        <w:t>APIA., 2005:</w:t>
      </w:r>
      <w:r w:rsidRPr="002A4B5B">
        <w:rPr>
          <w:rFonts w:asciiTheme="majorBidi" w:hAnsiTheme="majorBidi" w:cstheme="majorBidi"/>
          <w:sz w:val="20"/>
          <w:szCs w:val="20"/>
        </w:rPr>
        <w:t>«Plantes aromatiques et médicinales ».</w:t>
      </w:r>
    </w:p>
    <w:p w:rsidR="00CC29E3" w:rsidRPr="00CD530C" w:rsidRDefault="00CD530C" w:rsidP="00CD530C">
      <w:pPr>
        <w:tabs>
          <w:tab w:val="left" w:pos="709"/>
        </w:tabs>
        <w:spacing w:before="240" w:after="240" w:line="240" w:lineRule="auto"/>
        <w:jc w:val="both"/>
        <w:rPr>
          <w:rFonts w:asciiTheme="majorBidi" w:hAnsiTheme="majorBidi" w:cstheme="majorBidi"/>
          <w:bCs/>
          <w:sz w:val="20"/>
          <w:szCs w:val="20"/>
        </w:rPr>
      </w:pPr>
      <w:r w:rsidRPr="002A4B5B">
        <w:rPr>
          <w:sz w:val="20"/>
          <w:szCs w:val="20"/>
        </w:rPr>
        <w:t xml:space="preserve">              </w:t>
      </w:r>
      <w:hyperlink r:id="rId136" w:history="1">
        <w:r w:rsidRPr="002A4B5B">
          <w:rPr>
            <w:rStyle w:val="Lienhypertexte"/>
            <w:rFonts w:asciiTheme="majorBidi" w:hAnsiTheme="majorBidi" w:cstheme="majorBidi"/>
            <w:bCs/>
            <w:color w:val="auto"/>
            <w:sz w:val="20"/>
            <w:szCs w:val="20"/>
            <w:u w:val="none"/>
          </w:rPr>
          <w:t>http://www.tunisie.com/APIA/aromaticplant.pdf</w:t>
        </w:r>
      </w:hyperlink>
      <w:r w:rsidRPr="002A4B5B">
        <w:rPr>
          <w:rFonts w:asciiTheme="majorBidi" w:hAnsiTheme="majorBidi" w:cstheme="majorBidi"/>
          <w:bCs/>
          <w:sz w:val="20"/>
          <w:szCs w:val="20"/>
        </w:rPr>
        <w:t>.</w:t>
      </w:r>
    </w:p>
    <w:p w:rsidR="00BA4EE0" w:rsidRPr="00BA4EE0" w:rsidRDefault="00CC29E3" w:rsidP="002A4B5B">
      <w:pPr>
        <w:numPr>
          <w:ilvl w:val="0"/>
          <w:numId w:val="46"/>
        </w:numPr>
        <w:tabs>
          <w:tab w:val="left" w:pos="709"/>
        </w:tabs>
        <w:spacing w:before="240" w:after="240" w:line="240" w:lineRule="auto"/>
        <w:rPr>
          <w:rFonts w:asciiTheme="majorBidi" w:hAnsiTheme="majorBidi" w:cstheme="majorBidi"/>
          <w:bCs/>
          <w:sz w:val="20"/>
          <w:szCs w:val="20"/>
        </w:rPr>
      </w:pPr>
      <w:r w:rsidRPr="002A4B5B">
        <w:rPr>
          <w:rFonts w:asciiTheme="majorBidi" w:hAnsiTheme="majorBidi" w:cstheme="majorBidi"/>
          <w:bCs/>
          <w:sz w:val="20"/>
          <w:szCs w:val="20"/>
        </w:rPr>
        <w:t>UICN</w:t>
      </w:r>
      <w:r w:rsidRPr="002A4B5B">
        <w:rPr>
          <w:rFonts w:asciiTheme="majorBidi" w:hAnsiTheme="majorBidi" w:cstheme="majorBidi"/>
          <w:sz w:val="20"/>
          <w:szCs w:val="20"/>
        </w:rPr>
        <w:t>. , 2006 :«  Usage durable des plantes médicinales en Afrique du Nord, Centre de coopération pour la Méditerranée de l’UICN». 3p.</w:t>
      </w:r>
    </w:p>
    <w:p w:rsidR="00CC29E3" w:rsidRPr="002A4B5B" w:rsidRDefault="00CC29E3" w:rsidP="00BA4EE0">
      <w:pPr>
        <w:tabs>
          <w:tab w:val="left" w:pos="709"/>
        </w:tabs>
        <w:spacing w:before="240" w:after="240" w:line="240" w:lineRule="auto"/>
        <w:ind w:left="786"/>
        <w:rPr>
          <w:rFonts w:asciiTheme="majorBidi" w:hAnsiTheme="majorBidi" w:cstheme="majorBidi"/>
          <w:bCs/>
          <w:sz w:val="20"/>
          <w:szCs w:val="20"/>
        </w:rPr>
      </w:pPr>
      <w:r w:rsidRPr="002A4B5B">
        <w:rPr>
          <w:rFonts w:asciiTheme="majorBidi" w:hAnsiTheme="majorBidi" w:cstheme="majorBidi"/>
          <w:sz w:val="20"/>
          <w:szCs w:val="20"/>
        </w:rPr>
        <w:t xml:space="preserve"> www.uicnmed.org/nabp/web/.../medicinal_plants_fr.pdf</w:t>
      </w:r>
      <w:r w:rsidRPr="002A4B5B">
        <w:rPr>
          <w:rFonts w:asciiTheme="majorBidi" w:hAnsiTheme="majorBidi" w:cstheme="majorBidi"/>
          <w:bCs/>
          <w:sz w:val="20"/>
          <w:szCs w:val="20"/>
        </w:rPr>
        <w:t>.</w:t>
      </w:r>
    </w:p>
    <w:p w:rsidR="00BA4EE0" w:rsidRDefault="00CC29E3" w:rsidP="002A4B5B">
      <w:pPr>
        <w:numPr>
          <w:ilvl w:val="0"/>
          <w:numId w:val="46"/>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UICN., 2005:</w:t>
      </w:r>
      <w:r w:rsidRPr="002A4B5B">
        <w:rPr>
          <w:rFonts w:asciiTheme="majorBidi" w:hAnsiTheme="majorBidi" w:cstheme="majorBidi"/>
          <w:b/>
          <w:bCs/>
          <w:sz w:val="20"/>
          <w:szCs w:val="20"/>
        </w:rPr>
        <w:t xml:space="preserve"> « </w:t>
      </w:r>
      <w:r w:rsidRPr="002A4B5B">
        <w:rPr>
          <w:rFonts w:asciiTheme="majorBidi" w:hAnsiTheme="majorBidi" w:cstheme="majorBidi"/>
          <w:bCs/>
          <w:sz w:val="20"/>
          <w:szCs w:val="20"/>
        </w:rPr>
        <w:t xml:space="preserve">Réflexions méditerranéennes, Centre de coopération pour la Méditerranée </w:t>
      </w:r>
      <w:r w:rsidRPr="002A4B5B">
        <w:rPr>
          <w:rFonts w:asciiTheme="majorBidi" w:hAnsiTheme="majorBidi" w:cstheme="majorBidi"/>
          <w:sz w:val="20"/>
          <w:szCs w:val="20"/>
        </w:rPr>
        <w:t>».</w:t>
      </w:r>
      <w:r w:rsidRPr="002A4B5B">
        <w:rPr>
          <w:rFonts w:asciiTheme="majorBidi" w:hAnsiTheme="majorBidi" w:cstheme="majorBidi"/>
          <w:bCs/>
          <w:sz w:val="20"/>
          <w:szCs w:val="20"/>
        </w:rPr>
        <w:t xml:space="preserve"> de 24 p. </w:t>
      </w:r>
    </w:p>
    <w:p w:rsidR="00CC29E3" w:rsidRPr="00BA4EE0" w:rsidRDefault="00CC29E3" w:rsidP="00BA4EE0">
      <w:pPr>
        <w:tabs>
          <w:tab w:val="left" w:pos="709"/>
        </w:tabs>
        <w:spacing w:before="240" w:after="240" w:line="240" w:lineRule="auto"/>
        <w:ind w:left="786"/>
        <w:jc w:val="both"/>
        <w:rPr>
          <w:rFonts w:asciiTheme="majorBidi" w:hAnsiTheme="majorBidi" w:cstheme="majorBidi"/>
          <w:bCs/>
          <w:sz w:val="20"/>
          <w:szCs w:val="20"/>
          <w:lang w:val="en-US"/>
        </w:rPr>
      </w:pPr>
      <w:r w:rsidRPr="00BA4EE0">
        <w:rPr>
          <w:rFonts w:asciiTheme="majorBidi" w:hAnsiTheme="majorBidi" w:cstheme="majorBidi"/>
          <w:bCs/>
          <w:sz w:val="20"/>
          <w:szCs w:val="20"/>
          <w:lang w:val="en-US"/>
        </w:rPr>
        <w:t>cmsdata.iucn.org/downloads/annual_report_fr.pdf</w:t>
      </w:r>
    </w:p>
    <w:p w:rsidR="00BA4EE0" w:rsidRDefault="00CC29E3" w:rsidP="002A4B5B">
      <w:pPr>
        <w:numPr>
          <w:ilvl w:val="0"/>
          <w:numId w:val="46"/>
        </w:numPr>
        <w:tabs>
          <w:tab w:val="left" w:pos="709"/>
        </w:tabs>
        <w:spacing w:before="240" w:after="240" w:line="240" w:lineRule="auto"/>
        <w:jc w:val="both"/>
        <w:rPr>
          <w:rFonts w:asciiTheme="majorBidi" w:hAnsiTheme="majorBidi" w:cstheme="majorBidi"/>
          <w:bCs/>
          <w:sz w:val="20"/>
          <w:szCs w:val="20"/>
        </w:rPr>
      </w:pPr>
      <w:r w:rsidRPr="002A4B5B">
        <w:rPr>
          <w:rFonts w:asciiTheme="majorBidi" w:hAnsiTheme="majorBidi" w:cstheme="majorBidi"/>
          <w:bCs/>
          <w:sz w:val="20"/>
          <w:szCs w:val="20"/>
        </w:rPr>
        <w:t>USAID., 2005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Filière des plantes aromatiques et médicinales</w:t>
      </w:r>
      <w:r w:rsidRPr="002A4B5B">
        <w:rPr>
          <w:rFonts w:asciiTheme="majorBidi" w:hAnsiTheme="majorBidi" w:cstheme="majorBidi"/>
          <w:sz w:val="20"/>
          <w:szCs w:val="20"/>
        </w:rPr>
        <w:t xml:space="preserve">». </w:t>
      </w:r>
      <w:r w:rsidRPr="002A4B5B">
        <w:rPr>
          <w:rFonts w:asciiTheme="majorBidi" w:hAnsiTheme="majorBidi" w:cstheme="majorBidi"/>
          <w:bCs/>
          <w:sz w:val="20"/>
          <w:szCs w:val="20"/>
        </w:rPr>
        <w:t xml:space="preserve">Note de Synthèse. 9p. </w:t>
      </w:r>
    </w:p>
    <w:p w:rsidR="00CC29E3" w:rsidRPr="002A4B5B" w:rsidRDefault="00CC29E3" w:rsidP="00BA4EE0">
      <w:pPr>
        <w:tabs>
          <w:tab w:val="left" w:pos="709"/>
        </w:tabs>
        <w:spacing w:before="240" w:after="240" w:line="240" w:lineRule="auto"/>
        <w:ind w:left="786"/>
        <w:jc w:val="both"/>
        <w:rPr>
          <w:rFonts w:asciiTheme="majorBidi" w:hAnsiTheme="majorBidi" w:cstheme="majorBidi"/>
          <w:bCs/>
          <w:sz w:val="20"/>
          <w:szCs w:val="20"/>
        </w:rPr>
      </w:pPr>
      <w:r w:rsidRPr="002A4B5B">
        <w:rPr>
          <w:rFonts w:asciiTheme="majorBidi" w:hAnsiTheme="majorBidi" w:cstheme="majorBidi"/>
          <w:bCs/>
          <w:iCs/>
          <w:sz w:val="20"/>
          <w:szCs w:val="20"/>
        </w:rPr>
        <w:t>pdf.</w:t>
      </w:r>
      <w:r w:rsidRPr="002A4B5B">
        <w:rPr>
          <w:rFonts w:asciiTheme="majorBidi" w:hAnsiTheme="majorBidi" w:cstheme="majorBidi"/>
          <w:iCs/>
          <w:sz w:val="20"/>
          <w:szCs w:val="20"/>
        </w:rPr>
        <w:t>usaid</w:t>
      </w:r>
      <w:r w:rsidRPr="002A4B5B">
        <w:rPr>
          <w:rFonts w:asciiTheme="majorBidi" w:hAnsiTheme="majorBidi" w:cstheme="majorBidi"/>
          <w:bCs/>
          <w:iCs/>
          <w:sz w:val="20"/>
          <w:szCs w:val="20"/>
        </w:rPr>
        <w:t>.gov/pdf_docs/PNADH508.pdf</w:t>
      </w:r>
    </w:p>
    <w:p w:rsidR="00BA4EE0" w:rsidRPr="00BA4EE0" w:rsidRDefault="00CC29E3" w:rsidP="002A4B5B">
      <w:pPr>
        <w:numPr>
          <w:ilvl w:val="0"/>
          <w:numId w:val="46"/>
        </w:numPr>
        <w:tabs>
          <w:tab w:val="left" w:pos="709"/>
        </w:tabs>
        <w:spacing w:before="240" w:after="240" w:line="240" w:lineRule="auto"/>
        <w:jc w:val="both"/>
        <w:rPr>
          <w:rFonts w:asciiTheme="majorBidi" w:hAnsiTheme="majorBidi" w:cstheme="majorBidi"/>
          <w:bCs/>
          <w:i/>
          <w:iCs/>
          <w:sz w:val="20"/>
          <w:szCs w:val="20"/>
        </w:rPr>
      </w:pPr>
      <w:r w:rsidRPr="002A4B5B">
        <w:rPr>
          <w:rFonts w:asciiTheme="majorBidi" w:hAnsiTheme="majorBidi" w:cstheme="majorBidi"/>
          <w:bCs/>
          <w:sz w:val="20"/>
          <w:szCs w:val="20"/>
        </w:rPr>
        <w:t>USAID., 2008 :</w:t>
      </w:r>
      <w:r w:rsidRPr="002A4B5B">
        <w:rPr>
          <w:rFonts w:asciiTheme="majorBidi" w:hAnsiTheme="majorBidi" w:cstheme="majorBidi"/>
          <w:b/>
          <w:bCs/>
          <w:sz w:val="20"/>
          <w:szCs w:val="20"/>
        </w:rPr>
        <w:t xml:space="preserve"> </w:t>
      </w:r>
      <w:r w:rsidRPr="002A4B5B">
        <w:rPr>
          <w:rFonts w:asciiTheme="majorBidi" w:hAnsiTheme="majorBidi" w:cstheme="majorBidi"/>
          <w:bCs/>
          <w:sz w:val="20"/>
          <w:szCs w:val="20"/>
        </w:rPr>
        <w:t xml:space="preserve">« Stratégie nationale de développement du secteur des plantes aromatiques et médicinales </w:t>
      </w:r>
      <w:r w:rsidRPr="002A4B5B">
        <w:rPr>
          <w:rFonts w:asciiTheme="majorBidi" w:hAnsiTheme="majorBidi" w:cstheme="majorBidi"/>
          <w:sz w:val="20"/>
          <w:szCs w:val="20"/>
        </w:rPr>
        <w:t>» </w:t>
      </w:r>
      <w:r w:rsidRPr="002A4B5B">
        <w:rPr>
          <w:rFonts w:asciiTheme="majorBidi" w:hAnsiTheme="majorBidi" w:cstheme="majorBidi"/>
          <w:bCs/>
          <w:sz w:val="20"/>
          <w:szCs w:val="20"/>
        </w:rPr>
        <w:t xml:space="preserve">.66p. </w:t>
      </w:r>
    </w:p>
    <w:p w:rsidR="00CC29E3" w:rsidRPr="002A4B5B" w:rsidRDefault="00CC29E3" w:rsidP="00BA4EE0">
      <w:pPr>
        <w:tabs>
          <w:tab w:val="left" w:pos="709"/>
        </w:tabs>
        <w:spacing w:before="240" w:after="240" w:line="240" w:lineRule="auto"/>
        <w:ind w:left="786"/>
        <w:jc w:val="both"/>
        <w:rPr>
          <w:rFonts w:asciiTheme="majorBidi" w:hAnsiTheme="majorBidi" w:cstheme="majorBidi"/>
          <w:bCs/>
          <w:i/>
          <w:iCs/>
          <w:sz w:val="20"/>
          <w:szCs w:val="20"/>
        </w:rPr>
      </w:pPr>
      <w:r w:rsidRPr="002A4B5B">
        <w:rPr>
          <w:rFonts w:asciiTheme="majorBidi" w:hAnsiTheme="majorBidi" w:cstheme="majorBidi"/>
          <w:bCs/>
          <w:sz w:val="20"/>
          <w:szCs w:val="20"/>
        </w:rPr>
        <w:t>pdf.</w:t>
      </w:r>
      <w:r w:rsidRPr="002A4B5B">
        <w:rPr>
          <w:rFonts w:asciiTheme="majorBidi" w:hAnsiTheme="majorBidi" w:cstheme="majorBidi"/>
          <w:sz w:val="20"/>
          <w:szCs w:val="20"/>
        </w:rPr>
        <w:t>usaid</w:t>
      </w:r>
      <w:r w:rsidRPr="002A4B5B">
        <w:rPr>
          <w:rFonts w:asciiTheme="majorBidi" w:hAnsiTheme="majorBidi" w:cstheme="majorBidi"/>
          <w:bCs/>
          <w:sz w:val="20"/>
          <w:szCs w:val="20"/>
        </w:rPr>
        <w:t>.gov/pdf_docs/PNADQ481.pdf.</w:t>
      </w:r>
    </w:p>
    <w:p w:rsidR="00CC29E3" w:rsidRPr="002A4B5B" w:rsidRDefault="00366C81" w:rsidP="002A4B5B">
      <w:pPr>
        <w:numPr>
          <w:ilvl w:val="0"/>
          <w:numId w:val="46"/>
        </w:numPr>
        <w:tabs>
          <w:tab w:val="left" w:pos="709"/>
        </w:tabs>
        <w:spacing w:before="240" w:after="240" w:line="240" w:lineRule="auto"/>
        <w:jc w:val="both"/>
        <w:rPr>
          <w:rFonts w:asciiTheme="majorBidi" w:hAnsiTheme="majorBidi" w:cstheme="majorBidi"/>
          <w:bCs/>
          <w:sz w:val="20"/>
          <w:szCs w:val="20"/>
          <w:lang w:val="en-US"/>
        </w:rPr>
      </w:pPr>
      <w:r w:rsidRPr="002A4B5B">
        <w:rPr>
          <w:rFonts w:asciiTheme="majorBidi" w:hAnsiTheme="majorBidi" w:cstheme="majorBidi"/>
          <w:sz w:val="20"/>
          <w:szCs w:val="20"/>
          <w:lang w:val="en-US"/>
        </w:rPr>
        <w:t>TRAFFIC</w:t>
      </w:r>
      <w:r w:rsidR="00CC29E3" w:rsidRPr="002A4B5B">
        <w:rPr>
          <w:rFonts w:asciiTheme="majorBidi" w:hAnsiTheme="majorBidi" w:cstheme="majorBidi"/>
          <w:bCs/>
          <w:sz w:val="20"/>
          <w:szCs w:val="20"/>
          <w:lang w:val="en-US"/>
        </w:rPr>
        <w:t>. 1998:« Europe’s medicinal and aromatic plants: their use, trade and conservation ». a traffic species in danger report June 1998.</w:t>
      </w:r>
    </w:p>
    <w:p w:rsidR="00CC29E3" w:rsidRPr="002A4B5B" w:rsidRDefault="00366C81" w:rsidP="002A4B5B">
      <w:pPr>
        <w:tabs>
          <w:tab w:val="left" w:pos="709"/>
        </w:tabs>
        <w:spacing w:before="240" w:after="240" w:line="240" w:lineRule="auto"/>
        <w:jc w:val="both"/>
        <w:rPr>
          <w:rStyle w:val="Lienhypertexte"/>
          <w:rFonts w:asciiTheme="majorBidi" w:hAnsiTheme="majorBidi" w:cstheme="majorBidi"/>
          <w:bCs/>
          <w:color w:val="auto"/>
          <w:sz w:val="20"/>
          <w:szCs w:val="20"/>
          <w:u w:val="none"/>
          <w:lang w:val="en-US"/>
        </w:rPr>
      </w:pPr>
      <w:r w:rsidRPr="002A4B5B">
        <w:rPr>
          <w:sz w:val="20"/>
          <w:szCs w:val="20"/>
          <w:lang w:val="en-US"/>
        </w:rPr>
        <w:t xml:space="preserve">             </w:t>
      </w:r>
      <w:r w:rsidR="00CC29E3" w:rsidRPr="002A4B5B">
        <w:rPr>
          <w:rStyle w:val="Lienhypertexte"/>
          <w:rFonts w:asciiTheme="majorBidi" w:hAnsiTheme="majorBidi" w:cstheme="majorBidi"/>
          <w:bCs/>
          <w:color w:val="auto"/>
          <w:sz w:val="20"/>
          <w:szCs w:val="20"/>
          <w:u w:val="none"/>
          <w:lang w:val="en-US"/>
        </w:rPr>
        <w:t>www.traffic.org/species-reports/traffic_species_plants3.pdf</w:t>
      </w:r>
    </w:p>
    <w:p w:rsidR="00CC29E3" w:rsidRPr="002A4B5B" w:rsidRDefault="00CC29E3" w:rsidP="002A4B5B">
      <w:pPr>
        <w:tabs>
          <w:tab w:val="left" w:pos="709"/>
        </w:tabs>
        <w:spacing w:before="240" w:after="240" w:line="240" w:lineRule="auto"/>
        <w:jc w:val="both"/>
        <w:rPr>
          <w:rFonts w:asciiTheme="majorBidi" w:hAnsiTheme="majorBidi" w:cstheme="majorBidi"/>
          <w:bCs/>
          <w:sz w:val="20"/>
          <w:szCs w:val="20"/>
          <w:lang w:val="en-US"/>
        </w:rPr>
      </w:pPr>
    </w:p>
    <w:p w:rsidR="00CC29E3" w:rsidRPr="00C82FD1" w:rsidRDefault="00CC29E3" w:rsidP="00CC29E3">
      <w:pPr>
        <w:rPr>
          <w:rFonts w:asciiTheme="majorBidi" w:hAnsiTheme="majorBidi" w:cstheme="majorBidi"/>
          <w:sz w:val="24"/>
          <w:szCs w:val="24"/>
          <w:lang w:val="en-US"/>
        </w:rPr>
      </w:pPr>
    </w:p>
    <w:p w:rsidR="00CC29E3" w:rsidRPr="008A45A3" w:rsidRDefault="00CC29E3" w:rsidP="00366C81">
      <w:pPr>
        <w:tabs>
          <w:tab w:val="left" w:pos="1049"/>
        </w:tabs>
        <w:rPr>
          <w:rFonts w:asciiTheme="majorBidi" w:hAnsiTheme="majorBidi" w:cstheme="majorBidi"/>
          <w:lang w:val="en-US"/>
        </w:rPr>
      </w:pPr>
      <w:r w:rsidRPr="00C82FD1">
        <w:rPr>
          <w:rFonts w:asciiTheme="majorBidi" w:hAnsiTheme="majorBidi" w:cstheme="majorBidi"/>
          <w:sz w:val="24"/>
          <w:szCs w:val="24"/>
          <w:lang w:val="en-US"/>
        </w:rPr>
        <w:tab/>
      </w:r>
    </w:p>
    <w:p w:rsidR="00CC29E3" w:rsidRPr="008A45A3" w:rsidRDefault="00CC29E3" w:rsidP="004A2A5D">
      <w:pPr>
        <w:spacing w:line="360" w:lineRule="auto"/>
        <w:jc w:val="both"/>
        <w:rPr>
          <w:rFonts w:asciiTheme="majorBidi" w:hAnsiTheme="majorBidi" w:cstheme="majorBidi"/>
          <w:sz w:val="24"/>
          <w:szCs w:val="24"/>
          <w:lang w:val="en-US"/>
        </w:rPr>
        <w:sectPr w:rsidR="00CC29E3" w:rsidRPr="008A45A3" w:rsidSect="00063900">
          <w:headerReference w:type="default" r:id="rId137"/>
          <w:pgSz w:w="11906" w:h="16838"/>
          <w:pgMar w:top="993" w:right="849" w:bottom="1135" w:left="1134" w:header="708" w:footer="708" w:gutter="0"/>
          <w:cols w:space="708"/>
          <w:docGrid w:linePitch="360"/>
        </w:sectPr>
      </w:pPr>
    </w:p>
    <w:p w:rsidR="004A2A5D" w:rsidRPr="008818BB" w:rsidRDefault="00B10E62" w:rsidP="00B10E62">
      <w:pPr>
        <w:pStyle w:val="Titre"/>
        <w:spacing w:line="360" w:lineRule="auto"/>
        <w:rPr>
          <w:rFonts w:asciiTheme="majorBidi" w:hAnsiTheme="majorBidi" w:cstheme="majorBidi"/>
          <w:sz w:val="28"/>
          <w:szCs w:val="28"/>
        </w:rPr>
      </w:pPr>
      <w:bookmarkStart w:id="1723" w:name="_Toc252094088"/>
      <w:bookmarkStart w:id="1724" w:name="_Toc252365477"/>
      <w:bookmarkStart w:id="1725" w:name="_Toc252365748"/>
      <w:bookmarkStart w:id="1726" w:name="_Toc252366293"/>
      <w:r w:rsidRPr="008818BB">
        <w:rPr>
          <w:rFonts w:asciiTheme="majorBidi" w:hAnsiTheme="majorBidi" w:cstheme="majorBidi"/>
          <w:sz w:val="28"/>
          <w:szCs w:val="28"/>
        </w:rPr>
        <w:lastRenderedPageBreak/>
        <w:t>Annexe</w:t>
      </w:r>
      <w:bookmarkEnd w:id="1723"/>
      <w:bookmarkEnd w:id="1724"/>
      <w:bookmarkEnd w:id="1725"/>
      <w:bookmarkEnd w:id="1726"/>
      <w:r w:rsidRPr="008818BB">
        <w:rPr>
          <w:rFonts w:asciiTheme="majorBidi" w:hAnsiTheme="majorBidi" w:cstheme="majorBidi"/>
          <w:sz w:val="28"/>
          <w:szCs w:val="28"/>
        </w:rPr>
        <w:t xml:space="preserve"> </w:t>
      </w:r>
    </w:p>
    <w:p w:rsidR="00CC29E3" w:rsidRPr="00D01F8F" w:rsidRDefault="00CC29E3" w:rsidP="00CC29E3">
      <w:pPr>
        <w:jc w:val="both"/>
        <w:rPr>
          <w:rFonts w:asciiTheme="majorBidi" w:hAnsiTheme="majorBidi" w:cstheme="majorBidi"/>
          <w:b/>
          <w:iCs/>
          <w:sz w:val="24"/>
          <w:szCs w:val="24"/>
        </w:rPr>
      </w:pPr>
      <w:r w:rsidRPr="00D01F8F">
        <w:rPr>
          <w:rFonts w:asciiTheme="majorBidi" w:hAnsiTheme="majorBidi" w:cstheme="majorBidi"/>
          <w:b/>
          <w:iCs/>
          <w:sz w:val="24"/>
          <w:szCs w:val="24"/>
        </w:rPr>
        <w:t>Annexe 1 : test de germination</w:t>
      </w:r>
      <w:r w:rsidRPr="00D01F8F">
        <w:rPr>
          <w:rFonts w:asciiTheme="majorBidi" w:hAnsiTheme="majorBidi" w:cstheme="majorBidi"/>
          <w:b/>
          <w:i/>
          <w:sz w:val="24"/>
          <w:szCs w:val="24"/>
        </w:rPr>
        <w:t xml:space="preserve">  (</w:t>
      </w:r>
      <w:r w:rsidRPr="00D01F8F">
        <w:rPr>
          <w:rFonts w:asciiTheme="majorBidi" w:hAnsiTheme="majorBidi" w:cstheme="majorBidi"/>
          <w:b/>
          <w:i/>
          <w:iCs/>
          <w:sz w:val="24"/>
          <w:szCs w:val="24"/>
        </w:rPr>
        <w:t>Trigonella foenum</w:t>
      </w:r>
      <w:r w:rsidR="00CA70A2">
        <w:rPr>
          <w:rFonts w:asciiTheme="majorBidi" w:hAnsiTheme="majorBidi" w:cstheme="majorBidi"/>
          <w:b/>
          <w:i/>
          <w:iCs/>
          <w:sz w:val="24"/>
          <w:szCs w:val="24"/>
        </w:rPr>
        <w:t xml:space="preserve"> </w:t>
      </w:r>
      <w:r w:rsidRPr="00D01F8F">
        <w:rPr>
          <w:rFonts w:asciiTheme="majorBidi" w:hAnsiTheme="majorBidi" w:cstheme="majorBidi"/>
          <w:b/>
          <w:i/>
          <w:iCs/>
          <w:sz w:val="24"/>
          <w:szCs w:val="24"/>
        </w:rPr>
        <w:t xml:space="preserve"> graecum</w:t>
      </w:r>
      <w:r w:rsidRPr="00D01F8F">
        <w:rPr>
          <w:rFonts w:asciiTheme="majorBidi" w:hAnsiTheme="majorBidi" w:cstheme="majorBidi"/>
          <w:b/>
          <w:i/>
          <w:sz w:val="24"/>
          <w:szCs w:val="24"/>
        </w:rPr>
        <w:t xml:space="preserve"> </w:t>
      </w:r>
      <w:r w:rsidRPr="00D01F8F">
        <w:rPr>
          <w:rFonts w:asciiTheme="majorBidi" w:hAnsiTheme="majorBidi" w:cstheme="majorBidi"/>
          <w:b/>
          <w:iCs/>
          <w:sz w:val="24"/>
          <w:szCs w:val="24"/>
        </w:rPr>
        <w:t>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5"/>
        <w:gridCol w:w="1829"/>
        <w:gridCol w:w="870"/>
        <w:gridCol w:w="1241"/>
        <w:gridCol w:w="1241"/>
        <w:gridCol w:w="1241"/>
        <w:gridCol w:w="1241"/>
        <w:gridCol w:w="1241"/>
      </w:tblGrid>
      <w:tr w:rsidR="00CC29E3" w:rsidRPr="00D01F8F" w:rsidTr="008514DE">
        <w:trPr>
          <w:trHeight w:val="20"/>
        </w:trPr>
        <w:tc>
          <w:tcPr>
            <w:tcW w:w="6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Bloc</w:t>
            </w:r>
          </w:p>
        </w:tc>
        <w:tc>
          <w:tcPr>
            <w:tcW w:w="9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PAR</w:t>
            </w:r>
          </w:p>
        </w:tc>
        <w:tc>
          <w:tcPr>
            <w:tcW w:w="42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P1</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P2</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P3</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P4</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P5</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P6</w:t>
            </w:r>
          </w:p>
        </w:tc>
      </w:tr>
      <w:tr w:rsidR="00CC29E3" w:rsidRPr="00D01F8F" w:rsidTr="008514DE">
        <w:trPr>
          <w:trHeight w:val="20"/>
        </w:trPr>
        <w:tc>
          <w:tcPr>
            <w:tcW w:w="60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1</w:t>
            </w:r>
          </w:p>
        </w:tc>
        <w:tc>
          <w:tcPr>
            <w:tcW w:w="9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DG</w:t>
            </w:r>
            <w:r w:rsidR="0023560F">
              <w:rPr>
                <w:rFonts w:asciiTheme="majorBidi" w:hAnsiTheme="majorBidi" w:cstheme="majorBidi"/>
                <w:b/>
                <w:iCs/>
                <w:sz w:val="20"/>
                <w:szCs w:val="20"/>
              </w:rPr>
              <w:t>R</w:t>
            </w:r>
          </w:p>
        </w:tc>
        <w:tc>
          <w:tcPr>
            <w:tcW w:w="42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4</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4</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4</w:t>
            </w:r>
          </w:p>
        </w:tc>
      </w:tr>
      <w:tr w:rsidR="00CC29E3" w:rsidRPr="00D01F8F" w:rsidTr="008514DE">
        <w:trPr>
          <w:trHeight w:val="20"/>
        </w:trPr>
        <w:tc>
          <w:tcPr>
            <w:tcW w:w="60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p>
        </w:tc>
        <w:tc>
          <w:tcPr>
            <w:tcW w:w="9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23560F" w:rsidP="0023560F">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GJM</w:t>
            </w:r>
          </w:p>
        </w:tc>
        <w:tc>
          <w:tcPr>
            <w:tcW w:w="42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25</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20</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25</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18,6</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15,66</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25</w:t>
            </w:r>
          </w:p>
        </w:tc>
      </w:tr>
      <w:tr w:rsidR="00CC29E3" w:rsidRPr="00D01F8F" w:rsidTr="008514DE">
        <w:trPr>
          <w:trHeight w:val="20"/>
        </w:trPr>
        <w:tc>
          <w:tcPr>
            <w:tcW w:w="60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p>
        </w:tc>
        <w:tc>
          <w:tcPr>
            <w:tcW w:w="9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23560F" w:rsidP="008514DE">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VC</w:t>
            </w:r>
            <w:r w:rsidR="00CC29E3" w:rsidRPr="00D01F8F">
              <w:rPr>
                <w:rFonts w:asciiTheme="majorBidi" w:hAnsiTheme="majorBidi" w:cstheme="majorBidi"/>
                <w:b/>
                <w:iCs/>
                <w:sz w:val="20"/>
                <w:szCs w:val="20"/>
              </w:rPr>
              <w:t xml:space="preserve"> </w:t>
            </w:r>
          </w:p>
        </w:tc>
        <w:tc>
          <w:tcPr>
            <w:tcW w:w="42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23560F"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42</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46D88"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34,5</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D37AD6"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38</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D37AD6"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25</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D37AD6"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35,5</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773C8"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30</w:t>
            </w:r>
          </w:p>
        </w:tc>
      </w:tr>
      <w:tr w:rsidR="00CC29E3" w:rsidRPr="00D01F8F" w:rsidTr="008514DE">
        <w:trPr>
          <w:trHeight w:val="20"/>
        </w:trPr>
        <w:tc>
          <w:tcPr>
            <w:tcW w:w="60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p>
        </w:tc>
        <w:tc>
          <w:tcPr>
            <w:tcW w:w="9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VGJ</w:t>
            </w:r>
          </w:p>
        </w:tc>
        <w:tc>
          <w:tcPr>
            <w:tcW w:w="42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25</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22,33</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24</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17,02</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20,59</w:t>
            </w:r>
          </w:p>
        </w:tc>
        <w:tc>
          <w:tcPr>
            <w:tcW w:w="6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21</w:t>
            </w:r>
          </w:p>
        </w:tc>
      </w:tr>
      <w:tr w:rsidR="0023560F" w:rsidRPr="00D01F8F" w:rsidTr="008514DE">
        <w:trPr>
          <w:trHeight w:val="20"/>
        </w:trPr>
        <w:tc>
          <w:tcPr>
            <w:tcW w:w="609" w:type="pct"/>
            <w:vMerge w:val="restar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2</w:t>
            </w:r>
          </w:p>
        </w:tc>
        <w:tc>
          <w:tcPr>
            <w:tcW w:w="90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DG</w:t>
            </w:r>
            <w:r>
              <w:rPr>
                <w:rFonts w:asciiTheme="majorBidi" w:hAnsiTheme="majorBidi" w:cstheme="majorBidi"/>
                <w:b/>
                <w:iCs/>
                <w:sz w:val="20"/>
                <w:szCs w:val="20"/>
              </w:rPr>
              <w:t>R</w:t>
            </w:r>
          </w:p>
        </w:tc>
        <w:tc>
          <w:tcPr>
            <w:tcW w:w="429"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4</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4</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4</w:t>
            </w:r>
          </w:p>
        </w:tc>
      </w:tr>
      <w:tr w:rsidR="0023560F" w:rsidRPr="00D01F8F" w:rsidTr="008514DE">
        <w:trPr>
          <w:trHeight w:val="20"/>
        </w:trPr>
        <w:tc>
          <w:tcPr>
            <w:tcW w:w="609"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iCs/>
                <w:sz w:val="20"/>
                <w:szCs w:val="20"/>
              </w:rPr>
            </w:pPr>
          </w:p>
        </w:tc>
        <w:tc>
          <w:tcPr>
            <w:tcW w:w="90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GJM</w:t>
            </w:r>
          </w:p>
        </w:tc>
        <w:tc>
          <w:tcPr>
            <w:tcW w:w="429"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19,6</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24,75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18,2</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D37AD6"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15,1</w:t>
            </w:r>
            <w:r w:rsidR="0023560F" w:rsidRPr="00D01F8F">
              <w:rPr>
                <w:rFonts w:asciiTheme="majorBidi" w:hAnsiTheme="majorBidi" w:cstheme="majorBidi"/>
                <w:bCs/>
                <w:sz w:val="20"/>
                <w:szCs w:val="20"/>
              </w:rPr>
              <w:t>6</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C773C8"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24,5</w:t>
            </w:r>
          </w:p>
        </w:tc>
      </w:tr>
      <w:tr w:rsidR="0023560F" w:rsidRPr="00D01F8F" w:rsidTr="008514DE">
        <w:trPr>
          <w:trHeight w:val="20"/>
        </w:trPr>
        <w:tc>
          <w:tcPr>
            <w:tcW w:w="609"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iCs/>
                <w:sz w:val="20"/>
                <w:szCs w:val="20"/>
              </w:rPr>
            </w:pPr>
          </w:p>
        </w:tc>
        <w:tc>
          <w:tcPr>
            <w:tcW w:w="90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VC</w:t>
            </w:r>
            <w:r w:rsidRPr="00D01F8F">
              <w:rPr>
                <w:rFonts w:asciiTheme="majorBidi" w:hAnsiTheme="majorBidi" w:cstheme="majorBidi"/>
                <w:b/>
                <w:iCs/>
                <w:sz w:val="20"/>
                <w:szCs w:val="20"/>
              </w:rPr>
              <w:t xml:space="preserve"> </w:t>
            </w:r>
          </w:p>
        </w:tc>
        <w:tc>
          <w:tcPr>
            <w:tcW w:w="429"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38,</w:t>
            </w:r>
            <w:r w:rsidRPr="00D01F8F">
              <w:rPr>
                <w:rFonts w:asciiTheme="majorBidi" w:hAnsiTheme="majorBidi" w:cstheme="majorBidi"/>
                <w:bCs/>
                <w:sz w:val="20"/>
                <w:szCs w:val="20"/>
              </w:rPr>
              <w:t>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CF69A9"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35,5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D37AD6"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23,5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D37AD6"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30</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D37AD6"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31,5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C773C8"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28,33</w:t>
            </w:r>
          </w:p>
        </w:tc>
      </w:tr>
      <w:tr w:rsidR="0023560F" w:rsidRPr="00D01F8F" w:rsidTr="008514DE">
        <w:trPr>
          <w:trHeight w:val="20"/>
        </w:trPr>
        <w:tc>
          <w:tcPr>
            <w:tcW w:w="609"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iCs/>
                <w:sz w:val="20"/>
                <w:szCs w:val="20"/>
              </w:rPr>
            </w:pPr>
          </w:p>
        </w:tc>
        <w:tc>
          <w:tcPr>
            <w:tcW w:w="90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VGJ</w:t>
            </w:r>
          </w:p>
        </w:tc>
        <w:tc>
          <w:tcPr>
            <w:tcW w:w="429"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24,04</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22,14</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20,06</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19,32</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19,36</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18,20</w:t>
            </w:r>
          </w:p>
        </w:tc>
      </w:tr>
      <w:tr w:rsidR="0023560F" w:rsidRPr="00D01F8F" w:rsidTr="008514DE">
        <w:trPr>
          <w:trHeight w:val="20"/>
        </w:trPr>
        <w:tc>
          <w:tcPr>
            <w:tcW w:w="609" w:type="pct"/>
            <w:vMerge w:val="restar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3</w:t>
            </w:r>
          </w:p>
        </w:tc>
        <w:tc>
          <w:tcPr>
            <w:tcW w:w="90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DG</w:t>
            </w:r>
            <w:r>
              <w:rPr>
                <w:rFonts w:asciiTheme="majorBidi" w:hAnsiTheme="majorBidi" w:cstheme="majorBidi"/>
                <w:b/>
                <w:iCs/>
                <w:sz w:val="20"/>
                <w:szCs w:val="20"/>
              </w:rPr>
              <w:t>R</w:t>
            </w:r>
          </w:p>
        </w:tc>
        <w:tc>
          <w:tcPr>
            <w:tcW w:w="429"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4</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4</w:t>
            </w:r>
          </w:p>
        </w:tc>
      </w:tr>
      <w:tr w:rsidR="0023560F" w:rsidRPr="00D01F8F" w:rsidTr="008514DE">
        <w:trPr>
          <w:trHeight w:val="20"/>
        </w:trPr>
        <w:tc>
          <w:tcPr>
            <w:tcW w:w="609"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iCs/>
                <w:sz w:val="20"/>
                <w:szCs w:val="20"/>
              </w:rPr>
            </w:pPr>
          </w:p>
        </w:tc>
        <w:tc>
          <w:tcPr>
            <w:tcW w:w="90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GJM</w:t>
            </w:r>
          </w:p>
        </w:tc>
        <w:tc>
          <w:tcPr>
            <w:tcW w:w="429"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24,75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CF69A9"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23,28</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w:t>
            </w:r>
            <w:r w:rsidR="00D37AD6">
              <w:rPr>
                <w:rFonts w:asciiTheme="majorBidi" w:hAnsiTheme="majorBidi" w:cstheme="majorBidi"/>
                <w:bCs/>
                <w:sz w:val="20"/>
                <w:szCs w:val="20"/>
              </w:rPr>
              <w:t>4,87</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16,4</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15,66</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24,75</w:t>
            </w:r>
          </w:p>
        </w:tc>
      </w:tr>
      <w:tr w:rsidR="0023560F" w:rsidRPr="00D01F8F" w:rsidTr="008514DE">
        <w:trPr>
          <w:trHeight w:val="20"/>
        </w:trPr>
        <w:tc>
          <w:tcPr>
            <w:tcW w:w="609"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iCs/>
                <w:sz w:val="20"/>
                <w:szCs w:val="20"/>
              </w:rPr>
            </w:pPr>
          </w:p>
        </w:tc>
        <w:tc>
          <w:tcPr>
            <w:tcW w:w="90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VC</w:t>
            </w:r>
            <w:r w:rsidRPr="00D01F8F">
              <w:rPr>
                <w:rFonts w:asciiTheme="majorBidi" w:hAnsiTheme="majorBidi" w:cstheme="majorBidi"/>
                <w:b/>
                <w:iCs/>
                <w:sz w:val="20"/>
                <w:szCs w:val="20"/>
              </w:rPr>
              <w:t xml:space="preserve"> </w:t>
            </w:r>
          </w:p>
        </w:tc>
        <w:tc>
          <w:tcPr>
            <w:tcW w:w="429"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34,</w:t>
            </w:r>
            <w:r w:rsidRPr="00D01F8F">
              <w:rPr>
                <w:rFonts w:asciiTheme="majorBidi" w:hAnsiTheme="majorBidi" w:cstheme="majorBidi"/>
                <w:bCs/>
                <w:sz w:val="20"/>
                <w:szCs w:val="20"/>
              </w:rPr>
              <w:t>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CF69A9"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39</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D37AD6"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41,5</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D37AD6"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25,33</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D37AD6"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34</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C773C8"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28</w:t>
            </w:r>
            <w:r w:rsidR="0023560F" w:rsidRPr="00D01F8F">
              <w:rPr>
                <w:rFonts w:asciiTheme="majorBidi" w:hAnsiTheme="majorBidi" w:cstheme="majorBidi"/>
                <w:bCs/>
                <w:sz w:val="20"/>
                <w:szCs w:val="20"/>
              </w:rPr>
              <w:t>,</w:t>
            </w:r>
            <w:r>
              <w:rPr>
                <w:rFonts w:asciiTheme="majorBidi" w:hAnsiTheme="majorBidi" w:cstheme="majorBidi"/>
                <w:bCs/>
                <w:sz w:val="20"/>
                <w:szCs w:val="20"/>
              </w:rPr>
              <w:t>33</w:t>
            </w:r>
          </w:p>
        </w:tc>
      </w:tr>
      <w:tr w:rsidR="0023560F" w:rsidRPr="00D01F8F" w:rsidTr="008514DE">
        <w:trPr>
          <w:trHeight w:val="90"/>
        </w:trPr>
        <w:tc>
          <w:tcPr>
            <w:tcW w:w="609"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iCs/>
                <w:sz w:val="20"/>
                <w:szCs w:val="20"/>
              </w:rPr>
            </w:pPr>
          </w:p>
        </w:tc>
        <w:tc>
          <w:tcPr>
            <w:tcW w:w="90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VGJ</w:t>
            </w:r>
          </w:p>
        </w:tc>
        <w:tc>
          <w:tcPr>
            <w:tcW w:w="429"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22,90</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23,39</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24,87</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16,4</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20,29</w:t>
            </w:r>
          </w:p>
        </w:tc>
        <w:tc>
          <w:tcPr>
            <w:tcW w:w="612"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19,02</w:t>
            </w:r>
          </w:p>
        </w:tc>
      </w:tr>
    </w:tbl>
    <w:p w:rsidR="00CC29E3" w:rsidRPr="00D01F8F" w:rsidRDefault="00CC29E3" w:rsidP="00CC29E3">
      <w:pPr>
        <w:rPr>
          <w:rFonts w:asciiTheme="majorBidi" w:hAnsiTheme="majorBidi" w:cstheme="majorBidi"/>
          <w:b/>
          <w:i/>
          <w:sz w:val="24"/>
          <w:szCs w:val="24"/>
        </w:rPr>
      </w:pPr>
    </w:p>
    <w:p w:rsidR="00CC29E3" w:rsidRPr="00D01F8F" w:rsidRDefault="00CC29E3" w:rsidP="00CC29E3">
      <w:pPr>
        <w:rPr>
          <w:rFonts w:asciiTheme="majorBidi" w:hAnsiTheme="majorBidi" w:cstheme="majorBidi"/>
          <w:b/>
          <w:i/>
          <w:sz w:val="20"/>
          <w:szCs w:val="20"/>
        </w:rPr>
      </w:pPr>
      <w:r w:rsidRPr="00D01F8F">
        <w:rPr>
          <w:rFonts w:asciiTheme="majorBidi" w:hAnsiTheme="majorBidi" w:cstheme="majorBidi"/>
          <w:b/>
          <w:iCs/>
          <w:sz w:val="24"/>
          <w:szCs w:val="24"/>
        </w:rPr>
        <w:t>Annexe 2 : Analyse de la variance Fenugrec</w:t>
      </w:r>
      <w:r w:rsidRPr="00D01F8F">
        <w:rPr>
          <w:rFonts w:asciiTheme="majorBidi" w:hAnsiTheme="majorBidi" w:cstheme="majorBidi"/>
          <w:b/>
          <w:i/>
          <w:sz w:val="20"/>
          <w:szCs w:val="20"/>
        </w:rPr>
        <w:t xml:space="preserve"> </w:t>
      </w:r>
      <w:r w:rsidRPr="00D01F8F">
        <w:rPr>
          <w:rFonts w:asciiTheme="majorBidi" w:hAnsiTheme="majorBidi" w:cstheme="majorBidi"/>
          <w:b/>
          <w:i/>
          <w:iCs/>
          <w:sz w:val="24"/>
          <w:szCs w:val="24"/>
        </w:rPr>
        <w:t>(Trigonella foenum graecum</w:t>
      </w:r>
      <w:r w:rsidRPr="00D01F8F">
        <w:rPr>
          <w:rFonts w:asciiTheme="majorBidi" w:hAnsiTheme="majorBidi" w:cstheme="majorBidi"/>
          <w:b/>
          <w:sz w:val="24"/>
          <w:szCs w:val="24"/>
        </w:rPr>
        <w:t xml:space="preserve"> L</w:t>
      </w:r>
      <w:r w:rsidRPr="00D01F8F">
        <w:rPr>
          <w:rFonts w:asciiTheme="majorBidi" w:hAnsiTheme="majorBidi" w:cstheme="majorBidi"/>
          <w:b/>
          <w:i/>
          <w:iCs/>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0"/>
        <w:gridCol w:w="748"/>
        <w:gridCol w:w="793"/>
        <w:gridCol w:w="921"/>
        <w:gridCol w:w="921"/>
        <w:gridCol w:w="921"/>
        <w:gridCol w:w="921"/>
        <w:gridCol w:w="921"/>
        <w:gridCol w:w="983"/>
        <w:gridCol w:w="884"/>
        <w:gridCol w:w="596"/>
      </w:tblGrid>
      <w:tr w:rsidR="00CC29E3" w:rsidRPr="00D01F8F" w:rsidTr="008514DE">
        <w:trPr>
          <w:trHeight w:val="20"/>
        </w:trPr>
        <w:tc>
          <w:tcPr>
            <w:tcW w:w="755"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Population</w:t>
            </w:r>
          </w:p>
        </w:tc>
        <w:tc>
          <w:tcPr>
            <w:tcW w:w="369"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PAR</w:t>
            </w:r>
          </w:p>
        </w:tc>
        <w:tc>
          <w:tcPr>
            <w:tcW w:w="391"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w:t>
            </w:r>
          </w:p>
        </w:tc>
        <w:tc>
          <w:tcPr>
            <w:tcW w:w="454"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P2</w:t>
            </w:r>
          </w:p>
        </w:tc>
        <w:tc>
          <w:tcPr>
            <w:tcW w:w="454"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P3</w:t>
            </w:r>
          </w:p>
        </w:tc>
        <w:tc>
          <w:tcPr>
            <w:tcW w:w="454"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P4</w:t>
            </w:r>
          </w:p>
        </w:tc>
        <w:tc>
          <w:tcPr>
            <w:tcW w:w="454"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P5</w:t>
            </w:r>
          </w:p>
        </w:tc>
        <w:tc>
          <w:tcPr>
            <w:tcW w:w="454"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P6</w:t>
            </w:r>
          </w:p>
        </w:tc>
        <w:tc>
          <w:tcPr>
            <w:tcW w:w="485"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Ecart type groupé</w:t>
            </w:r>
          </w:p>
        </w:tc>
        <w:tc>
          <w:tcPr>
            <w:tcW w:w="436"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Proba</w:t>
            </w:r>
          </w:p>
        </w:tc>
        <w:tc>
          <w:tcPr>
            <w:tcW w:w="294"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Sig</w:t>
            </w:r>
          </w:p>
        </w:tc>
      </w:tr>
      <w:tr w:rsidR="00CC29E3" w:rsidRPr="00D01F8F" w:rsidTr="008514DE">
        <w:trPr>
          <w:trHeight w:val="20"/>
        </w:trPr>
        <w:tc>
          <w:tcPr>
            <w:tcW w:w="755"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VGJ</w:t>
            </w:r>
          </w:p>
        </w:tc>
        <w:tc>
          <w:tcPr>
            <w:tcW w:w="369"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23,98</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22,36</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22,98</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17,58</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20,08</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19,41</w:t>
            </w:r>
          </w:p>
        </w:tc>
        <w:tc>
          <w:tcPr>
            <w:tcW w:w="485"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1,45</w:t>
            </w:r>
          </w:p>
        </w:tc>
        <w:tc>
          <w:tcPr>
            <w:tcW w:w="436"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0,001</w:t>
            </w:r>
          </w:p>
        </w:tc>
        <w:tc>
          <w:tcPr>
            <w:tcW w:w="294"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1,05</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2,56</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1,54</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0,64</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1,44</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GH</w:t>
            </w:r>
          </w:p>
        </w:tc>
        <w:tc>
          <w:tcPr>
            <w:tcW w:w="39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85" w:type="pct"/>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p>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CG</w:t>
            </w:r>
          </w:p>
        </w:tc>
        <w:tc>
          <w:tcPr>
            <w:tcW w:w="369"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99,97</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98,33</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99,67</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88,67</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93</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99</w:t>
            </w:r>
          </w:p>
        </w:tc>
        <w:tc>
          <w:tcPr>
            <w:tcW w:w="485"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2,62</w:t>
            </w:r>
          </w:p>
        </w:tc>
        <w:tc>
          <w:tcPr>
            <w:tcW w:w="436"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0,001</w:t>
            </w:r>
          </w:p>
        </w:tc>
        <w:tc>
          <w:tcPr>
            <w:tcW w:w="294"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0,58</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1,53</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0,58</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5,86</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1,73</w:t>
            </w:r>
          </w:p>
        </w:tc>
        <w:tc>
          <w:tcPr>
            <w:tcW w:w="454"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GH</w:t>
            </w:r>
          </w:p>
        </w:tc>
        <w:tc>
          <w:tcPr>
            <w:tcW w:w="391"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4"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VG</w:t>
            </w: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955,5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714,13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926,5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475,49</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522,19</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715,14</w:t>
            </w:r>
          </w:p>
        </w:tc>
        <w:tc>
          <w:tcPr>
            <w:tcW w:w="48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64,6</w:t>
            </w:r>
          </w:p>
        </w:tc>
        <w:tc>
          <w:tcPr>
            <w:tcW w:w="43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9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98,3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36,9</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124,4</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65,9</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40,2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30,4</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GH</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w:t>
            </w: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13,75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13,5</w:t>
            </w:r>
          </w:p>
        </w:tc>
        <w:tc>
          <w:tcPr>
            <w:tcW w:w="48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0,935</w:t>
            </w:r>
          </w:p>
        </w:tc>
        <w:tc>
          <w:tcPr>
            <w:tcW w:w="43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0,009</w:t>
            </w:r>
          </w:p>
        </w:tc>
        <w:tc>
          <w:tcPr>
            <w:tcW w:w="29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0,96</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0,58</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0,58</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GH</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PL</w:t>
            </w: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w:t>
            </w:r>
          </w:p>
        </w:tc>
        <w:tc>
          <w:tcPr>
            <w:tcW w:w="48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1,92</w:t>
            </w:r>
          </w:p>
        </w:tc>
        <w:tc>
          <w:tcPr>
            <w:tcW w:w="43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0,001</w:t>
            </w:r>
          </w:p>
        </w:tc>
        <w:tc>
          <w:tcPr>
            <w:tcW w:w="29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GH</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1377C5" w:rsidP="008514DE">
            <w:pPr>
              <w:spacing w:after="0" w:line="240" w:lineRule="auto"/>
              <w:jc w:val="center"/>
              <w:rPr>
                <w:rFonts w:asciiTheme="majorBidi" w:hAnsiTheme="majorBidi" w:cstheme="majorBidi"/>
                <w:sz w:val="20"/>
                <w:szCs w:val="20"/>
              </w:rPr>
            </w:pPr>
            <w:r>
              <w:rPr>
                <w:rFonts w:asciiTheme="majorBidi" w:hAnsiTheme="majorBidi" w:cstheme="majorBidi"/>
                <w:sz w:val="20"/>
                <w:szCs w:val="20"/>
              </w:rPr>
              <w:t>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1377C5" w:rsidP="008514DE">
            <w:pPr>
              <w:spacing w:after="0" w:line="240" w:lineRule="auto"/>
              <w:jc w:val="center"/>
              <w:rPr>
                <w:rFonts w:asciiTheme="majorBidi" w:hAnsiTheme="majorBidi" w:cstheme="majorBidi"/>
                <w:sz w:val="20"/>
                <w:szCs w:val="20"/>
              </w:rPr>
            </w:pPr>
            <w:r>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1377C5" w:rsidP="008514DE">
            <w:pPr>
              <w:spacing w:after="0" w:line="240" w:lineRule="auto"/>
              <w:jc w:val="center"/>
              <w:rPr>
                <w:rFonts w:asciiTheme="majorBidi" w:hAnsiTheme="majorBidi" w:cstheme="majorBidi"/>
                <w:sz w:val="20"/>
                <w:szCs w:val="20"/>
              </w:rPr>
            </w:pPr>
            <w:r>
              <w:rPr>
                <w:rFonts w:asciiTheme="majorBidi" w:hAnsiTheme="majorBidi" w:cstheme="majorBidi"/>
                <w:sz w:val="20"/>
                <w:szCs w:val="20"/>
              </w:rPr>
              <w:t>a</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PGL</w:t>
            </w: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85,08</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92,03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70,86</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83,67</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85,78</w:t>
            </w:r>
          </w:p>
        </w:tc>
        <w:tc>
          <w:tcPr>
            <w:tcW w:w="48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3,85</w:t>
            </w:r>
          </w:p>
        </w:tc>
        <w:tc>
          <w:tcPr>
            <w:tcW w:w="43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9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4,83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2,75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6,69</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2,70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2,28</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GH</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DF</w:t>
            </w: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63,25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62,5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66,25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63,5</w:t>
            </w:r>
          </w:p>
        </w:tc>
        <w:tc>
          <w:tcPr>
            <w:tcW w:w="48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1,80</w:t>
            </w:r>
          </w:p>
        </w:tc>
        <w:tc>
          <w:tcPr>
            <w:tcW w:w="43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0,092</w:t>
            </w:r>
          </w:p>
        </w:tc>
        <w:tc>
          <w:tcPr>
            <w:tcW w:w="29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2,89</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0,96</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2,89</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GH</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PF</w:t>
            </w: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71,5</w:t>
            </w:r>
          </w:p>
        </w:tc>
        <w:tc>
          <w:tcPr>
            <w:tcW w:w="48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1,08</w:t>
            </w:r>
          </w:p>
        </w:tc>
        <w:tc>
          <w:tcPr>
            <w:tcW w:w="43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29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FF</w:t>
            </w: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95,75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97,25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96,5</w:t>
            </w:r>
          </w:p>
        </w:tc>
        <w:tc>
          <w:tcPr>
            <w:tcW w:w="48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1,12</w:t>
            </w:r>
          </w:p>
        </w:tc>
        <w:tc>
          <w:tcPr>
            <w:tcW w:w="43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0,04</w:t>
            </w:r>
          </w:p>
        </w:tc>
        <w:tc>
          <w:tcPr>
            <w:tcW w:w="29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1,73</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GH</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ETF</w:t>
            </w: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31,25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31,75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32,25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32,5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28,75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33</w:t>
            </w:r>
          </w:p>
        </w:tc>
        <w:tc>
          <w:tcPr>
            <w:tcW w:w="48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2,16</w:t>
            </w:r>
          </w:p>
        </w:tc>
        <w:tc>
          <w:tcPr>
            <w:tcW w:w="43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0,13</w:t>
            </w:r>
          </w:p>
        </w:tc>
        <w:tc>
          <w:tcPr>
            <w:tcW w:w="29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2,36</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0,96</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0,36</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2,25</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NO</w:t>
            </w: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72,5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72,5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76</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76</w:t>
            </w:r>
          </w:p>
        </w:tc>
        <w:tc>
          <w:tcPr>
            <w:tcW w:w="48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1,31</w:t>
            </w:r>
          </w:p>
        </w:tc>
        <w:tc>
          <w:tcPr>
            <w:tcW w:w="43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0,001</w:t>
            </w:r>
          </w:p>
        </w:tc>
        <w:tc>
          <w:tcPr>
            <w:tcW w:w="29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GH</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FG</w:t>
            </w: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M</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89</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89</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91,5</w:t>
            </w:r>
          </w:p>
        </w:tc>
        <w:tc>
          <w:tcPr>
            <w:tcW w:w="48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0,97</w:t>
            </w:r>
          </w:p>
        </w:tc>
        <w:tc>
          <w:tcPr>
            <w:tcW w:w="43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0,001</w:t>
            </w:r>
          </w:p>
        </w:tc>
        <w:tc>
          <w:tcPr>
            <w:tcW w:w="29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
                <w:sz w:val="20"/>
                <w:szCs w:val="20"/>
              </w:rPr>
            </w:pPr>
          </w:p>
        </w:tc>
        <w:tc>
          <w:tcPr>
            <w:tcW w:w="36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ET</w:t>
            </w:r>
          </w:p>
        </w:tc>
        <w:tc>
          <w:tcPr>
            <w:tcW w:w="39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8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9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bl>
    <w:p w:rsidR="00CC29E3" w:rsidRPr="00D01F8F" w:rsidRDefault="00CC29E3" w:rsidP="00CC29E3">
      <w:pPr>
        <w:rPr>
          <w:rFonts w:asciiTheme="majorBidi" w:hAnsiTheme="majorBidi" w:cstheme="majorBidi"/>
          <w:b/>
          <w:i/>
          <w:sz w:val="20"/>
          <w:szCs w:val="20"/>
        </w:rPr>
      </w:pPr>
    </w:p>
    <w:p w:rsidR="00CC29E3" w:rsidRPr="00D01F8F" w:rsidRDefault="00CC29E3" w:rsidP="00CC29E3">
      <w:pPr>
        <w:rPr>
          <w:rFonts w:asciiTheme="majorBidi" w:hAnsiTheme="majorBidi" w:cstheme="majorBidi"/>
          <w:b/>
          <w:i/>
          <w:sz w:val="20"/>
          <w:szCs w:val="20"/>
        </w:rPr>
      </w:pPr>
      <w:r w:rsidRPr="00D01F8F">
        <w:rPr>
          <w:rFonts w:asciiTheme="majorBidi" w:hAnsiTheme="majorBidi" w:cstheme="majorBidi"/>
          <w:b/>
          <w:iCs/>
          <w:sz w:val="24"/>
          <w:szCs w:val="24"/>
        </w:rPr>
        <w:lastRenderedPageBreak/>
        <w:t>Annexe 2 (suite) : Analyse de la variance Fenugrec</w:t>
      </w:r>
      <w:r w:rsidRPr="00D01F8F">
        <w:rPr>
          <w:rFonts w:asciiTheme="majorBidi" w:hAnsiTheme="majorBidi" w:cstheme="majorBidi"/>
          <w:b/>
          <w:i/>
          <w:iCs/>
          <w:sz w:val="24"/>
          <w:szCs w:val="24"/>
        </w:rPr>
        <w:t xml:space="preserve"> (Trigonella foenum graecum </w:t>
      </w:r>
      <w:r w:rsidRPr="00D01F8F">
        <w:rPr>
          <w:rFonts w:asciiTheme="majorBidi" w:hAnsiTheme="majorBidi" w:cstheme="majorBidi"/>
          <w:b/>
          <w:sz w:val="24"/>
          <w:szCs w:val="24"/>
        </w:rPr>
        <w:t>L</w:t>
      </w:r>
      <w:r w:rsidRPr="00D01F8F">
        <w:rPr>
          <w:rFonts w:asciiTheme="majorBidi" w:hAnsiTheme="majorBidi" w:cstheme="majorBidi"/>
          <w:b/>
          <w:i/>
          <w:iCs/>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0"/>
        <w:gridCol w:w="776"/>
        <w:gridCol w:w="791"/>
        <w:gridCol w:w="919"/>
        <w:gridCol w:w="919"/>
        <w:gridCol w:w="921"/>
        <w:gridCol w:w="919"/>
        <w:gridCol w:w="919"/>
        <w:gridCol w:w="981"/>
        <w:gridCol w:w="882"/>
        <w:gridCol w:w="582"/>
      </w:tblGrid>
      <w:tr w:rsidR="00CC29E3" w:rsidRPr="00D01F8F" w:rsidTr="008514DE">
        <w:trPr>
          <w:trHeight w:val="20"/>
        </w:trPr>
        <w:tc>
          <w:tcPr>
            <w:tcW w:w="75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rPr>
                <w:rFonts w:asciiTheme="majorBidi" w:hAnsiTheme="majorBidi" w:cstheme="majorBidi"/>
                <w:sz w:val="20"/>
                <w:szCs w:val="20"/>
              </w:rPr>
            </w:pPr>
            <w:r w:rsidRPr="00D01F8F">
              <w:rPr>
                <w:rFonts w:asciiTheme="majorBidi" w:hAnsiTheme="majorBidi" w:cstheme="majorBidi"/>
                <w:sz w:val="20"/>
                <w:szCs w:val="20"/>
              </w:rPr>
              <w:t>a</w:t>
            </w:r>
          </w:p>
        </w:tc>
        <w:tc>
          <w:tcPr>
            <w:tcW w:w="48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124,25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123,75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123,75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124,25</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3,41</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3,73</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3,30</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3,37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3,30</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H1</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12,81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12,97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8,14</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12,42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7,82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9,47</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2,67</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3,73</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2,79</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2,71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1,90</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H2</w:t>
            </w:r>
          </w:p>
        </w:tc>
        <w:tc>
          <w:tcPr>
            <w:tcW w:w="38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18,45</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17,25</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11,44</w:t>
            </w:r>
          </w:p>
        </w:tc>
        <w:tc>
          <w:tcPr>
            <w:tcW w:w="454"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19,19</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12,11</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13,64</w:t>
            </w:r>
          </w:p>
        </w:tc>
        <w:tc>
          <w:tcPr>
            <w:tcW w:w="484" w:type="pct"/>
            <w:vMerge w:val="restar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3,42</w:t>
            </w:r>
          </w:p>
        </w:tc>
        <w:tc>
          <w:tcPr>
            <w:tcW w:w="435" w:type="pct"/>
            <w:vMerge w:val="restar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87" w:type="pct"/>
            <w:vMerge w:val="restar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iCs/>
                <w:sz w:val="20"/>
                <w:szCs w:val="20"/>
              </w:rPr>
            </w:pPr>
          </w:p>
        </w:tc>
        <w:tc>
          <w:tcPr>
            <w:tcW w:w="38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5,11</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3,07</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2,44</w:t>
            </w:r>
          </w:p>
        </w:tc>
        <w:tc>
          <w:tcPr>
            <w:tcW w:w="454"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3,59</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2,82</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2,83</w:t>
            </w:r>
          </w:p>
        </w:tc>
        <w:tc>
          <w:tcPr>
            <w:tcW w:w="484"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iCs/>
                <w:sz w:val="20"/>
                <w:szCs w:val="20"/>
              </w:rPr>
            </w:pPr>
          </w:p>
        </w:tc>
        <w:tc>
          <w:tcPr>
            <w:tcW w:w="38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454"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45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84"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H3</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25,2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15,22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23,32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16,51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17,65</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4,45</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7,14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4,19</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3,48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3,65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4,20</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cd</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H4</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32,9</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30,9</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20,34</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29,85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23,19</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22,72</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5,34</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7,92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5,28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4,21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5,13</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5,19</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H5</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38,22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36,6</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25,1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36,95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29,01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27,11</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6,31</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8,72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5,64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4,89</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4,96</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6,06</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7,00</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VCH</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0,76</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0,63</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0,20</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0,14</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0,22</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cd</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NR1</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3,35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1,63</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1,75</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1,53</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abc</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NR2</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0,02</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0,82</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0,026</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NRT</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2,72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3,6</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3,93</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2,42</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2,13</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1,93</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2,36</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2,67</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1,60</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2,67</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abc</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NGAP</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8,35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7,78</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6,82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8,6</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7,7</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2,13</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0,003</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2,28</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1,54</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NGR1</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5,95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7,07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5,92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6,92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4,69</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6,59</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0,44</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6,77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7,10</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6,90</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6,3</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7,01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5,28</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NGR2</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1,41</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0,26</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3,32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0,32</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0,69</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0,22</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16,15</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13,85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14,82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16,47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12,75</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8,58</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0,34</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8,17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10,09</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7,34</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7,52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10,98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6,43</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PGP</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5,36</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4,3</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3,75</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4,13</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4,81</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2,50</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2,94</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2,17</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2,33</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2,17</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0,36</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0,36</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0,33</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0,46</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0,12</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PGRSG</w:t>
            </w: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0,21</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0,23</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0,23</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0,08</w:t>
            </w: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0,80</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0,078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0,08</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0,08</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0,89</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0,84</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75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GH</w:t>
            </w:r>
          </w:p>
        </w:tc>
        <w:tc>
          <w:tcPr>
            <w:tcW w:w="39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5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8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bl>
    <w:p w:rsidR="00CC29E3" w:rsidRPr="00D01F8F" w:rsidRDefault="00CC29E3" w:rsidP="00CC29E3">
      <w:pPr>
        <w:rPr>
          <w:rFonts w:asciiTheme="majorBidi" w:hAnsiTheme="majorBidi" w:cstheme="majorBidi"/>
          <w:b/>
          <w:i/>
          <w:sz w:val="24"/>
          <w:szCs w:val="24"/>
        </w:rPr>
      </w:pPr>
    </w:p>
    <w:p w:rsidR="00CC29E3" w:rsidRPr="00D01F8F" w:rsidRDefault="00CC29E3" w:rsidP="00CC29E3">
      <w:pPr>
        <w:rPr>
          <w:rFonts w:asciiTheme="majorBidi" w:hAnsiTheme="majorBidi" w:cstheme="majorBidi"/>
          <w:b/>
          <w:i/>
          <w:sz w:val="24"/>
          <w:szCs w:val="24"/>
        </w:rPr>
      </w:pPr>
    </w:p>
    <w:p w:rsidR="00CC29E3" w:rsidRPr="00D01F8F" w:rsidRDefault="00CC29E3" w:rsidP="00CC29E3">
      <w:pPr>
        <w:rPr>
          <w:rFonts w:asciiTheme="majorBidi" w:hAnsiTheme="majorBidi" w:cstheme="majorBidi"/>
          <w:b/>
          <w:i/>
          <w:sz w:val="24"/>
          <w:szCs w:val="24"/>
        </w:rPr>
      </w:pPr>
    </w:p>
    <w:p w:rsidR="00CC29E3" w:rsidRPr="00D01F8F" w:rsidRDefault="00CC29E3" w:rsidP="00CC29E3">
      <w:pPr>
        <w:rPr>
          <w:rFonts w:asciiTheme="majorBidi" w:hAnsiTheme="majorBidi" w:cstheme="majorBidi"/>
          <w:b/>
          <w:i/>
          <w:sz w:val="24"/>
          <w:szCs w:val="24"/>
        </w:rPr>
      </w:pPr>
    </w:p>
    <w:p w:rsidR="00CC29E3" w:rsidRPr="00D01F8F" w:rsidRDefault="00CC29E3" w:rsidP="00CC29E3">
      <w:pPr>
        <w:spacing w:after="120" w:line="240" w:lineRule="auto"/>
        <w:jc w:val="center"/>
        <w:rPr>
          <w:rFonts w:asciiTheme="majorBidi" w:hAnsiTheme="majorBidi" w:cstheme="majorBidi"/>
          <w:b/>
          <w:i/>
          <w:sz w:val="24"/>
          <w:szCs w:val="24"/>
        </w:rPr>
      </w:pPr>
      <w:r w:rsidRPr="00D01F8F">
        <w:rPr>
          <w:rFonts w:asciiTheme="majorBidi" w:hAnsiTheme="majorBidi" w:cstheme="majorBidi"/>
          <w:b/>
          <w:iCs/>
          <w:sz w:val="24"/>
          <w:szCs w:val="24"/>
        </w:rPr>
        <w:lastRenderedPageBreak/>
        <w:t>Annexe 2 (suite): Analyse de la variance Fenugrec</w:t>
      </w:r>
      <w:r w:rsidRPr="00D01F8F">
        <w:rPr>
          <w:rFonts w:asciiTheme="majorBidi" w:hAnsiTheme="majorBidi" w:cstheme="majorBidi"/>
          <w:b/>
          <w:i/>
          <w:sz w:val="24"/>
          <w:szCs w:val="24"/>
        </w:rPr>
        <w:t xml:space="preserve"> (</w:t>
      </w:r>
      <w:r w:rsidRPr="00D01F8F">
        <w:rPr>
          <w:rFonts w:asciiTheme="majorBidi" w:hAnsiTheme="majorBidi" w:cstheme="majorBidi"/>
          <w:b/>
          <w:i/>
          <w:iCs/>
          <w:sz w:val="24"/>
          <w:szCs w:val="24"/>
        </w:rPr>
        <w:t>Trigonella foenum graecum</w:t>
      </w:r>
      <w:r w:rsidRPr="00D01F8F">
        <w:rPr>
          <w:rFonts w:asciiTheme="majorBidi" w:hAnsiTheme="majorBidi" w:cstheme="majorBidi"/>
          <w:b/>
          <w:i/>
          <w:sz w:val="24"/>
          <w:szCs w:val="24"/>
        </w:rPr>
        <w:t xml:space="preserve"> </w:t>
      </w:r>
      <w:r w:rsidRPr="00D01F8F">
        <w:rPr>
          <w:rFonts w:asciiTheme="majorBidi" w:hAnsiTheme="majorBidi" w:cstheme="majorBidi"/>
          <w:b/>
          <w:iCs/>
          <w:sz w:val="24"/>
          <w:szCs w:val="24"/>
        </w:rPr>
        <w:t>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74"/>
        <w:gridCol w:w="712"/>
        <w:gridCol w:w="837"/>
        <w:gridCol w:w="957"/>
        <w:gridCol w:w="957"/>
        <w:gridCol w:w="837"/>
        <w:gridCol w:w="957"/>
        <w:gridCol w:w="957"/>
        <w:gridCol w:w="963"/>
        <w:gridCol w:w="870"/>
        <w:gridCol w:w="718"/>
      </w:tblGrid>
      <w:tr w:rsidR="00CC29E3" w:rsidRPr="00D01F8F" w:rsidTr="008514DE">
        <w:trPr>
          <w:trHeight w:val="20"/>
        </w:trPr>
        <w:tc>
          <w:tcPr>
            <w:tcW w:w="677" w:type="pct"/>
            <w:vMerge w:val="restar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LG</w:t>
            </w:r>
          </w:p>
        </w:tc>
        <w:tc>
          <w:tcPr>
            <w:tcW w:w="351"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1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9,5</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10,42</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9,08</w:t>
            </w:r>
          </w:p>
        </w:tc>
        <w:tc>
          <w:tcPr>
            <w:tcW w:w="41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9,59</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9,44</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10,85</w:t>
            </w:r>
          </w:p>
        </w:tc>
        <w:tc>
          <w:tcPr>
            <w:tcW w:w="475" w:type="pct"/>
            <w:vMerge w:val="restar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1,64</w:t>
            </w:r>
          </w:p>
        </w:tc>
        <w:tc>
          <w:tcPr>
            <w:tcW w:w="429" w:type="pct"/>
            <w:vMerge w:val="restar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354" w:type="pct"/>
            <w:vMerge w:val="restar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iCs/>
                <w:sz w:val="20"/>
                <w:szCs w:val="20"/>
              </w:rPr>
            </w:pPr>
          </w:p>
        </w:tc>
        <w:tc>
          <w:tcPr>
            <w:tcW w:w="351"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41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1,69</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2,18</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1,58</w:t>
            </w:r>
          </w:p>
        </w:tc>
        <w:tc>
          <w:tcPr>
            <w:tcW w:w="41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1,16</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1,66</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1,39</w:t>
            </w:r>
          </w:p>
        </w:tc>
        <w:tc>
          <w:tcPr>
            <w:tcW w:w="475"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iCs/>
                <w:sz w:val="20"/>
                <w:szCs w:val="20"/>
              </w:rPr>
            </w:pPr>
          </w:p>
        </w:tc>
        <w:tc>
          <w:tcPr>
            <w:tcW w:w="351"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41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1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7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75"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DG</w:t>
            </w: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3,96</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4,06</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3,92</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4,05</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4,03</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4,13</w:t>
            </w:r>
          </w:p>
        </w:tc>
        <w:tc>
          <w:tcPr>
            <w:tcW w:w="47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0,37</w:t>
            </w:r>
          </w:p>
        </w:tc>
        <w:tc>
          <w:tcPr>
            <w:tcW w:w="4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0,032</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0,36</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0,38</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0,44</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0,42</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0,32</w:t>
            </w:r>
          </w:p>
        </w:tc>
        <w:tc>
          <w:tcPr>
            <w:tcW w:w="47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7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NGRS</w:t>
            </w: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12,85</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15,57</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12,8</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11,9</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9,58</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14,08</w:t>
            </w:r>
          </w:p>
        </w:tc>
        <w:tc>
          <w:tcPr>
            <w:tcW w:w="47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3,97</w:t>
            </w:r>
          </w:p>
        </w:tc>
        <w:tc>
          <w:tcPr>
            <w:tcW w:w="4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4,7</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3,59</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4,05</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4,13</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4,3</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2,79</w:t>
            </w:r>
          </w:p>
        </w:tc>
        <w:tc>
          <w:tcPr>
            <w:tcW w:w="47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47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NGRAE</w:t>
            </w: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2,05</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1,33</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1,63</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1,13</w:t>
            </w:r>
          </w:p>
        </w:tc>
        <w:tc>
          <w:tcPr>
            <w:tcW w:w="47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2,63</w:t>
            </w:r>
          </w:p>
        </w:tc>
        <w:tc>
          <w:tcPr>
            <w:tcW w:w="4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2,02</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2,56</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2,02</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3,17</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3,74</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1,61</w:t>
            </w:r>
          </w:p>
        </w:tc>
        <w:tc>
          <w:tcPr>
            <w:tcW w:w="47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7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NTGR</w:t>
            </w: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14,9</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16,9</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14,43</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14,3</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13,68</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15,23</w:t>
            </w:r>
          </w:p>
        </w:tc>
        <w:tc>
          <w:tcPr>
            <w:tcW w:w="47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3,16</w:t>
            </w:r>
          </w:p>
        </w:tc>
        <w:tc>
          <w:tcPr>
            <w:tcW w:w="4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3,97</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2,41</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3,15</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2,96</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3,16</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2,72</w:t>
            </w:r>
          </w:p>
        </w:tc>
        <w:tc>
          <w:tcPr>
            <w:tcW w:w="47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7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P1000</w:t>
            </w: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17,98</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17,08</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16,4</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18,94</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16,77</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22,32</w:t>
            </w:r>
          </w:p>
        </w:tc>
        <w:tc>
          <w:tcPr>
            <w:tcW w:w="47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0,33</w:t>
            </w:r>
          </w:p>
        </w:tc>
        <w:tc>
          <w:tcPr>
            <w:tcW w:w="4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0,153</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0,21</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0,53</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0,193</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0,15</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0,55</w:t>
            </w:r>
          </w:p>
        </w:tc>
        <w:tc>
          <w:tcPr>
            <w:tcW w:w="47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47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RPG</w:t>
            </w: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1,16</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0,,96</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0,93</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1,05</w:t>
            </w:r>
          </w:p>
        </w:tc>
        <w:tc>
          <w:tcPr>
            <w:tcW w:w="475"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0,50</w:t>
            </w:r>
          </w:p>
        </w:tc>
        <w:tc>
          <w:tcPr>
            <w:tcW w:w="4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0,854</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6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0,87</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0,23</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0,69</w:t>
            </w:r>
          </w:p>
        </w:tc>
        <w:tc>
          <w:tcPr>
            <w:tcW w:w="47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0,35</w:t>
            </w:r>
          </w:p>
        </w:tc>
        <w:tc>
          <w:tcPr>
            <w:tcW w:w="475"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bl>
    <w:p w:rsidR="00CC29E3" w:rsidRPr="00D01F8F" w:rsidRDefault="00CC29E3" w:rsidP="00CC29E3">
      <w:pPr>
        <w:tabs>
          <w:tab w:val="left" w:pos="1120"/>
        </w:tabs>
        <w:spacing w:after="0" w:line="240" w:lineRule="auto"/>
        <w:rPr>
          <w:rFonts w:asciiTheme="majorBidi" w:hAnsiTheme="majorBidi" w:cstheme="majorBidi"/>
          <w:sz w:val="16"/>
          <w:szCs w:val="16"/>
        </w:rPr>
      </w:pPr>
    </w:p>
    <w:p w:rsidR="00CC29E3" w:rsidRPr="00D01F8F" w:rsidRDefault="00CC29E3" w:rsidP="00CC29E3">
      <w:pPr>
        <w:tabs>
          <w:tab w:val="left" w:pos="8240"/>
        </w:tabs>
        <w:spacing w:after="120" w:line="240" w:lineRule="auto"/>
        <w:rPr>
          <w:rFonts w:asciiTheme="majorBidi" w:hAnsiTheme="majorBidi" w:cstheme="majorBidi"/>
          <w:b/>
          <w:iCs/>
          <w:sz w:val="24"/>
          <w:szCs w:val="24"/>
        </w:rPr>
      </w:pPr>
      <w:r w:rsidRPr="00D01F8F">
        <w:rPr>
          <w:rFonts w:asciiTheme="majorBidi" w:hAnsiTheme="majorBidi" w:cstheme="majorBidi"/>
          <w:b/>
          <w:bCs/>
          <w:iCs/>
          <w:sz w:val="24"/>
          <w:szCs w:val="24"/>
        </w:rPr>
        <w:t>Annexe 3: Matrice de corrélation Fenugrec</w:t>
      </w:r>
      <w:r w:rsidRPr="00D01F8F">
        <w:rPr>
          <w:rFonts w:asciiTheme="majorBidi" w:hAnsiTheme="majorBidi" w:cstheme="majorBidi"/>
          <w:b/>
          <w:bCs/>
          <w:i/>
          <w:sz w:val="24"/>
          <w:szCs w:val="24"/>
        </w:rPr>
        <w:t xml:space="preserve"> </w:t>
      </w:r>
      <w:r w:rsidRPr="00D01F8F">
        <w:rPr>
          <w:rFonts w:asciiTheme="majorBidi" w:hAnsiTheme="majorBidi" w:cstheme="majorBidi"/>
          <w:b/>
          <w:iCs/>
          <w:sz w:val="24"/>
          <w:szCs w:val="24"/>
        </w:rPr>
        <w:t>(</w:t>
      </w:r>
      <w:r w:rsidRPr="00D01F8F">
        <w:rPr>
          <w:rFonts w:asciiTheme="majorBidi" w:hAnsiTheme="majorBidi" w:cstheme="majorBidi"/>
          <w:b/>
          <w:i/>
          <w:iCs/>
          <w:sz w:val="24"/>
          <w:szCs w:val="24"/>
        </w:rPr>
        <w:t>Trigonella foenum graecum</w:t>
      </w:r>
      <w:r w:rsidRPr="00D01F8F">
        <w:rPr>
          <w:rFonts w:asciiTheme="majorBidi" w:hAnsiTheme="majorBidi" w:cstheme="majorBidi"/>
          <w:b/>
          <w:i/>
          <w:sz w:val="24"/>
          <w:szCs w:val="24"/>
        </w:rPr>
        <w:t xml:space="preserve"> </w:t>
      </w:r>
      <w:r w:rsidRPr="00D01F8F">
        <w:rPr>
          <w:rFonts w:asciiTheme="majorBidi" w:hAnsiTheme="majorBidi" w:cstheme="majorBidi"/>
          <w:b/>
          <w:iCs/>
          <w:sz w:val="24"/>
          <w:szCs w:val="24"/>
        </w:rPr>
        <w:t>L.)</w:t>
      </w:r>
    </w:p>
    <w:p w:rsidR="00CC29E3" w:rsidRPr="00D01F8F" w:rsidRDefault="00CC29E3" w:rsidP="00CC29E3">
      <w:pPr>
        <w:tabs>
          <w:tab w:val="left" w:pos="8240"/>
        </w:tabs>
        <w:spacing w:after="120" w:line="240" w:lineRule="auto"/>
        <w:rPr>
          <w:rFonts w:asciiTheme="majorBidi" w:hAnsiTheme="majorBidi" w:cstheme="majorBidi"/>
          <w:bCs/>
          <w:color w:val="000000"/>
          <w:sz w:val="24"/>
          <w:szCs w:val="24"/>
        </w:rPr>
      </w:pPr>
      <w:r w:rsidRPr="00D01F8F">
        <w:rPr>
          <w:rFonts w:asciiTheme="majorBidi" w:hAnsiTheme="majorBidi" w:cstheme="majorBidi"/>
          <w:bCs/>
          <w:color w:val="000000"/>
          <w:sz w:val="24"/>
          <w:szCs w:val="24"/>
        </w:rPr>
        <w:t xml:space="preserve">Les corrélations </w:t>
      </w:r>
      <w:r w:rsidRPr="00D01F8F">
        <w:rPr>
          <w:rFonts w:asciiTheme="majorBidi" w:hAnsiTheme="majorBidi" w:cstheme="majorBidi"/>
          <w:iCs/>
          <w:color w:val="000000"/>
          <w:sz w:val="24"/>
          <w:szCs w:val="24"/>
        </w:rPr>
        <w:t>en gras et en italic</w:t>
      </w:r>
      <w:r w:rsidRPr="00D01F8F">
        <w:rPr>
          <w:rFonts w:asciiTheme="majorBidi" w:hAnsiTheme="majorBidi" w:cstheme="majorBidi"/>
          <w:color w:val="000000"/>
          <w:sz w:val="24"/>
          <w:szCs w:val="24"/>
        </w:rPr>
        <w:t xml:space="preserve"> sont</w:t>
      </w:r>
      <w:r w:rsidRPr="00D01F8F">
        <w:rPr>
          <w:rFonts w:asciiTheme="majorBidi" w:hAnsiTheme="majorBidi" w:cstheme="majorBidi"/>
          <w:bCs/>
          <w:color w:val="000000"/>
          <w:sz w:val="24"/>
          <w:szCs w:val="24"/>
        </w:rPr>
        <w:t xml:space="preserve"> significatives à p &lt; 0,05 (DDL= 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8"/>
        <w:gridCol w:w="815"/>
        <w:gridCol w:w="809"/>
        <w:gridCol w:w="809"/>
        <w:gridCol w:w="876"/>
        <w:gridCol w:w="744"/>
        <w:gridCol w:w="817"/>
        <w:gridCol w:w="811"/>
        <w:gridCol w:w="811"/>
        <w:gridCol w:w="811"/>
        <w:gridCol w:w="811"/>
        <w:gridCol w:w="807"/>
      </w:tblGrid>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VGJ</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CG</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VG</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PL</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PGL</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DF</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PF</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FF</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NO</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FG</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VGJ</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CG</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0,80</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VG</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0,88</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0,88</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-0,92</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-0,73</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-0,85</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PL</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0,51</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0,69</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0,40</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-0,29</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PGL</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0,86</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0,92</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0,86</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-0,75</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0,79</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1,00</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DF</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0,38</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0,20</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0,19</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-0,18</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0,66</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0,55</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PF</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-0,25</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-0,49</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0,30</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0,47</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-0,08</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FF</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0,35</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0,64</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0,68</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-0,44</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0,31</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0,64</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NO</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-0,21</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0,14</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0,29</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0,61</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0,45</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FG</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0,29</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0,02</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0,04</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0,67</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0,56</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0,52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0,51</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-0,35</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-0,26</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0,25</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-0,01</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ETF</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-0,15</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-0,34</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-0,08</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-0,12</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VCH</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-0,38</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-0,19</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-0,47</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-0,30</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-0,78</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-0,83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-0,91</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NR1</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-0,45</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-0,09</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-0,78</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-0,57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-0,55</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-0,89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-0,79</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NR2</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-0,36</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-0,58</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-0,40</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-0,89</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-0,45</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-0,66</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NTR</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-0,26</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-0,39</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-0,28</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-0,79</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-0,64</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-0,86</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-0,83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-0,75</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NGAP</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0,64</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0,50</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0,32</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-0,39</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0,83</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0,65</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0,44</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0,27</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NGR1</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-0,29</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-0,75</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-0,59</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-0,63</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-0,76</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-0,54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-0,50</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NGR2</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0,15</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-0,11</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-0,27</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-0,12</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-0,48</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0,41</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r w:rsidRPr="00D01F8F">
              <w:rPr>
                <w:rFonts w:asciiTheme="majorBidi" w:hAnsiTheme="majorBidi" w:cstheme="majorBidi"/>
                <w:b/>
                <w:i/>
                <w:sz w:val="20"/>
                <w:szCs w:val="20"/>
              </w:rPr>
              <w:t>0,59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-0,35</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-0,41</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-0,45</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-0,25</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0,28</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0,48</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PGP</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0,28</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0,37</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0,36</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0,21</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-0,41</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0,37</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0,14</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0,31</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0,20</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0,12</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PGRSG</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-0,11</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0,39</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0,15</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0,01</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-0,70</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0,31</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0,08</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LG</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-0,26</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0,23</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0,29</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0,22</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DG</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-0,66</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-0,26</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-0,61</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0,72</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-0,01</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0,61</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0,08</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NTGR</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0,33</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0,47</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0,25</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-0,40</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0,14</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0,31</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-0,11</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-0,21</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NGRS</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0,32</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0,58</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0,42</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-0,45</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0,21</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NGRAE</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-0,26</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-0,60</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-0,53</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0,43</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0,02</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-0,28</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-0,50</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0,09</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P1000</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-0,51</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0,02</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-0,15</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0,56</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-0,50</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r>
      <w:tr w:rsidR="00CC29E3" w:rsidRPr="00D01F8F" w:rsidTr="008514DE">
        <w:trPr>
          <w:trHeight w:val="20"/>
        </w:trPr>
        <w:tc>
          <w:tcPr>
            <w:tcW w:w="6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
                <w:sz w:val="20"/>
                <w:szCs w:val="20"/>
              </w:rPr>
            </w:pPr>
            <w:r w:rsidRPr="00D01F8F">
              <w:rPr>
                <w:rFonts w:asciiTheme="majorBidi" w:hAnsiTheme="majorBidi" w:cstheme="majorBidi"/>
                <w:b/>
                <w:bCs/>
                <w:i/>
                <w:sz w:val="20"/>
                <w:szCs w:val="20"/>
              </w:rPr>
              <w:t>RPG</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-0,02</w:t>
            </w:r>
          </w:p>
        </w:tc>
        <w:tc>
          <w:tcPr>
            <w:tcW w:w="39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-0,20</w:t>
            </w:r>
          </w:p>
        </w:tc>
        <w:tc>
          <w:tcPr>
            <w:tcW w:w="43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w:t>
            </w:r>
          </w:p>
        </w:tc>
        <w:tc>
          <w:tcPr>
            <w:tcW w:w="36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0,55</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0,19</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0,64</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0,63</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r w:rsidRPr="00D01F8F">
              <w:rPr>
                <w:rFonts w:asciiTheme="majorBidi" w:hAnsiTheme="majorBidi" w:cstheme="majorBidi"/>
                <w:b/>
                <w:i/>
                <w:sz w:val="20"/>
                <w:szCs w:val="20"/>
              </w:rPr>
              <w:t>0,52</w:t>
            </w:r>
          </w:p>
        </w:tc>
        <w:tc>
          <w:tcPr>
            <w:tcW w:w="40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0,22</w:t>
            </w:r>
          </w:p>
        </w:tc>
      </w:tr>
    </w:tbl>
    <w:p w:rsidR="00CC29E3" w:rsidRPr="00D01F8F" w:rsidRDefault="00CC29E3" w:rsidP="00CC29E3">
      <w:pPr>
        <w:tabs>
          <w:tab w:val="left" w:pos="8240"/>
        </w:tabs>
        <w:spacing w:after="120" w:line="240" w:lineRule="auto"/>
        <w:rPr>
          <w:rFonts w:asciiTheme="majorBidi" w:hAnsiTheme="majorBidi" w:cstheme="majorBidi"/>
          <w:b/>
          <w:bCs/>
          <w:i/>
          <w:sz w:val="20"/>
          <w:szCs w:val="20"/>
        </w:rPr>
      </w:pPr>
    </w:p>
    <w:p w:rsidR="00CC29E3" w:rsidRPr="00D01F8F" w:rsidRDefault="00CC29E3" w:rsidP="00CC29E3">
      <w:pPr>
        <w:tabs>
          <w:tab w:val="left" w:pos="8240"/>
        </w:tabs>
        <w:spacing w:after="120" w:line="240" w:lineRule="auto"/>
        <w:rPr>
          <w:rFonts w:asciiTheme="majorBidi" w:hAnsiTheme="majorBidi" w:cstheme="majorBidi"/>
          <w:b/>
          <w:iCs/>
          <w:sz w:val="24"/>
          <w:szCs w:val="24"/>
        </w:rPr>
      </w:pPr>
      <w:r w:rsidRPr="00D01F8F">
        <w:rPr>
          <w:rFonts w:asciiTheme="majorBidi" w:hAnsiTheme="majorBidi" w:cstheme="majorBidi"/>
          <w:b/>
          <w:bCs/>
          <w:iCs/>
          <w:sz w:val="24"/>
          <w:szCs w:val="24"/>
        </w:rPr>
        <w:lastRenderedPageBreak/>
        <w:t xml:space="preserve">Annexe 3 (suite): Matrice de corrélation Fenugrec </w:t>
      </w:r>
      <w:r w:rsidRPr="00D01F8F">
        <w:rPr>
          <w:rFonts w:asciiTheme="majorBidi" w:hAnsiTheme="majorBidi" w:cstheme="majorBidi"/>
          <w:b/>
          <w:iCs/>
          <w:sz w:val="24"/>
          <w:szCs w:val="24"/>
        </w:rPr>
        <w:t>(</w:t>
      </w:r>
      <w:r w:rsidRPr="00D01F8F">
        <w:rPr>
          <w:rFonts w:asciiTheme="majorBidi" w:hAnsiTheme="majorBidi" w:cstheme="majorBidi"/>
          <w:b/>
          <w:i/>
          <w:sz w:val="24"/>
          <w:szCs w:val="24"/>
        </w:rPr>
        <w:t>Trigonella foenum graecum</w:t>
      </w:r>
      <w:r w:rsidRPr="00D01F8F">
        <w:rPr>
          <w:rFonts w:asciiTheme="majorBidi" w:hAnsiTheme="majorBidi" w:cstheme="majorBidi"/>
          <w:b/>
          <w:iCs/>
          <w:sz w:val="24"/>
          <w:szCs w:val="24"/>
        </w:rPr>
        <w:t xml:space="preserve"> L.)</w:t>
      </w:r>
    </w:p>
    <w:p w:rsidR="00CC29E3" w:rsidRPr="00D01F8F" w:rsidRDefault="00CC29E3" w:rsidP="00CC29E3">
      <w:pPr>
        <w:tabs>
          <w:tab w:val="left" w:pos="8240"/>
        </w:tabs>
        <w:spacing w:after="120" w:line="240" w:lineRule="auto"/>
        <w:rPr>
          <w:rFonts w:asciiTheme="majorBidi" w:hAnsiTheme="majorBidi" w:cstheme="majorBidi"/>
          <w:bCs/>
          <w:color w:val="000000"/>
          <w:sz w:val="24"/>
          <w:szCs w:val="24"/>
        </w:rPr>
      </w:pPr>
      <w:r w:rsidRPr="00D01F8F">
        <w:rPr>
          <w:rFonts w:asciiTheme="majorBidi" w:hAnsiTheme="majorBidi" w:cstheme="majorBidi"/>
          <w:bCs/>
          <w:color w:val="000000"/>
          <w:sz w:val="24"/>
          <w:szCs w:val="24"/>
        </w:rPr>
        <w:t xml:space="preserve">Les corrélations </w:t>
      </w:r>
      <w:r w:rsidRPr="00D01F8F">
        <w:rPr>
          <w:rFonts w:asciiTheme="majorBidi" w:hAnsiTheme="majorBidi" w:cstheme="majorBidi"/>
          <w:iCs/>
          <w:color w:val="000000"/>
          <w:sz w:val="24"/>
          <w:szCs w:val="24"/>
        </w:rPr>
        <w:t>en gras et en italic</w:t>
      </w:r>
      <w:r w:rsidRPr="00D01F8F">
        <w:rPr>
          <w:rFonts w:asciiTheme="majorBidi" w:hAnsiTheme="majorBidi" w:cstheme="majorBidi"/>
          <w:color w:val="000000"/>
          <w:sz w:val="24"/>
          <w:szCs w:val="24"/>
        </w:rPr>
        <w:t xml:space="preserve"> sont</w:t>
      </w:r>
      <w:r w:rsidRPr="00D01F8F">
        <w:rPr>
          <w:rFonts w:asciiTheme="majorBidi" w:hAnsiTheme="majorBidi" w:cstheme="majorBidi"/>
          <w:bCs/>
          <w:color w:val="000000"/>
          <w:sz w:val="24"/>
          <w:szCs w:val="24"/>
        </w:rPr>
        <w:t xml:space="preserve"> significatives à p &lt; 0,05 (DDL= 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0"/>
        <w:gridCol w:w="890"/>
        <w:gridCol w:w="773"/>
        <w:gridCol w:w="856"/>
        <w:gridCol w:w="756"/>
        <w:gridCol w:w="799"/>
        <w:gridCol w:w="817"/>
        <w:gridCol w:w="939"/>
        <w:gridCol w:w="913"/>
        <w:gridCol w:w="913"/>
        <w:gridCol w:w="815"/>
        <w:gridCol w:w="728"/>
      </w:tblGrid>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sz w:val="20"/>
                <w:szCs w:val="20"/>
              </w:rPr>
            </w:pP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ETF</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VCH</w:t>
            </w: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NR1</w:t>
            </w: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NR2</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NTR</w:t>
            </w: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NGAP</w:t>
            </w: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NGR1</w:t>
            </w: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NGR2</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w:t>
            </w: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PGP</w:t>
            </w:r>
          </w:p>
        </w:tc>
      </w:tr>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ETF</w:t>
            </w: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0,59</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VCH</w:t>
            </w: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-0,27</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NR1</w:t>
            </w: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0,18</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0,13</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0,72</w:t>
            </w: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1,00</w:t>
            </w: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NR2</w:t>
            </w: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0,29</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0,30</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0,52</w:t>
            </w: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0,94</w:t>
            </w: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NTR</w:t>
            </w: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0,47</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0,42</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0,60</w:t>
            </w: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0,93</w:t>
            </w: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0,95</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NGAP</w:t>
            </w: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-0,21</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-0,66</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-0,37</w:t>
            </w: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-0,62</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-0,53</w:t>
            </w: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NGR1</w:t>
            </w: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-0,12</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-0,40</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0,64</w:t>
            </w: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0,80</w:t>
            </w: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0,75</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0,61</w:t>
            </w: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NGR2</w:t>
            </w: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0,59</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0,08</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0,41</w:t>
            </w: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0,66</w:t>
            </w: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0,54</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0,67</w:t>
            </w: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0,18</w:t>
            </w: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0,45</w:t>
            </w: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w:t>
            </w: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-0,78</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0,52</w:t>
            </w: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0,41</w:t>
            </w: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0,25</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0,47</w:t>
            </w: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0,77</w:t>
            </w: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0,51</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46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PGP</w:t>
            </w:r>
          </w:p>
        </w:tc>
        <w:tc>
          <w:tcPr>
            <w:tcW w:w="43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0,11</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0,40</w:t>
            </w:r>
          </w:p>
        </w:tc>
        <w:tc>
          <w:tcPr>
            <w:tcW w:w="3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39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-0,33</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46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0,26</w:t>
            </w: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-0,44</w:t>
            </w:r>
          </w:p>
        </w:tc>
        <w:tc>
          <w:tcPr>
            <w:tcW w:w="4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-0,29</w:t>
            </w:r>
          </w:p>
        </w:tc>
        <w:tc>
          <w:tcPr>
            <w:tcW w:w="35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r>
    </w:tbl>
    <w:p w:rsidR="00CC29E3" w:rsidRPr="00D01F8F" w:rsidRDefault="00CC29E3" w:rsidP="00CC29E3">
      <w:pPr>
        <w:rPr>
          <w:rFonts w:asciiTheme="majorBidi" w:hAnsiTheme="majorBidi" w:cstheme="majorBidi"/>
          <w:b/>
          <w:bCs/>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0"/>
        <w:gridCol w:w="963"/>
        <w:gridCol w:w="1182"/>
        <w:gridCol w:w="900"/>
        <w:gridCol w:w="835"/>
        <w:gridCol w:w="1030"/>
        <w:gridCol w:w="1000"/>
        <w:gridCol w:w="1227"/>
        <w:gridCol w:w="955"/>
        <w:gridCol w:w="817"/>
      </w:tblGrid>
      <w:tr w:rsidR="00CC29E3" w:rsidRPr="00D01F8F" w:rsidTr="008514DE">
        <w:trPr>
          <w:trHeight w:val="20"/>
        </w:trPr>
        <w:tc>
          <w:tcPr>
            <w:tcW w:w="60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p>
        </w:tc>
        <w:tc>
          <w:tcPr>
            <w:tcW w:w="4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w:t>
            </w:r>
          </w:p>
        </w:tc>
        <w:tc>
          <w:tcPr>
            <w:tcW w:w="5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PGRSG</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LG</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DG</w:t>
            </w:r>
          </w:p>
        </w:tc>
        <w:tc>
          <w:tcPr>
            <w:tcW w:w="5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NTGR</w:t>
            </w:r>
          </w:p>
        </w:tc>
        <w:tc>
          <w:tcPr>
            <w:tcW w:w="49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NGRS</w:t>
            </w:r>
          </w:p>
        </w:tc>
        <w:tc>
          <w:tcPr>
            <w:tcW w:w="6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NGRAE</w:t>
            </w:r>
          </w:p>
        </w:tc>
        <w:tc>
          <w:tcPr>
            <w:tcW w:w="47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P1000</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RPG</w:t>
            </w:r>
          </w:p>
        </w:tc>
      </w:tr>
      <w:tr w:rsidR="00CC29E3" w:rsidRPr="00D01F8F" w:rsidTr="008514DE">
        <w:trPr>
          <w:trHeight w:val="57"/>
        </w:trPr>
        <w:tc>
          <w:tcPr>
            <w:tcW w:w="60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w:t>
            </w:r>
          </w:p>
        </w:tc>
        <w:tc>
          <w:tcPr>
            <w:tcW w:w="4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5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7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83"/>
        </w:trPr>
        <w:tc>
          <w:tcPr>
            <w:tcW w:w="60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PGRSG</w:t>
            </w:r>
          </w:p>
        </w:tc>
        <w:tc>
          <w:tcPr>
            <w:tcW w:w="4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0,97</w:t>
            </w:r>
          </w:p>
        </w:tc>
        <w:tc>
          <w:tcPr>
            <w:tcW w:w="5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7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83"/>
        </w:trPr>
        <w:tc>
          <w:tcPr>
            <w:tcW w:w="60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LG</w:t>
            </w:r>
          </w:p>
        </w:tc>
        <w:tc>
          <w:tcPr>
            <w:tcW w:w="4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0,93</w:t>
            </w:r>
          </w:p>
        </w:tc>
        <w:tc>
          <w:tcPr>
            <w:tcW w:w="5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0,82</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1,00</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7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83"/>
        </w:trPr>
        <w:tc>
          <w:tcPr>
            <w:tcW w:w="60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DG</w:t>
            </w:r>
          </w:p>
        </w:tc>
        <w:tc>
          <w:tcPr>
            <w:tcW w:w="4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0,70</w:t>
            </w:r>
          </w:p>
        </w:tc>
        <w:tc>
          <w:tcPr>
            <w:tcW w:w="5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0,55</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0,87</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5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7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83"/>
        </w:trPr>
        <w:tc>
          <w:tcPr>
            <w:tcW w:w="60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NTGR</w:t>
            </w:r>
          </w:p>
        </w:tc>
        <w:tc>
          <w:tcPr>
            <w:tcW w:w="4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0,69</w:t>
            </w:r>
          </w:p>
        </w:tc>
        <w:tc>
          <w:tcPr>
            <w:tcW w:w="5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0,70</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0,67</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0,32</w:t>
            </w:r>
          </w:p>
        </w:tc>
        <w:tc>
          <w:tcPr>
            <w:tcW w:w="5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9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7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83"/>
        </w:trPr>
        <w:tc>
          <w:tcPr>
            <w:tcW w:w="60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NGRS</w:t>
            </w:r>
          </w:p>
        </w:tc>
        <w:tc>
          <w:tcPr>
            <w:tcW w:w="4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0,79</w:t>
            </w:r>
          </w:p>
        </w:tc>
        <w:tc>
          <w:tcPr>
            <w:tcW w:w="5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0,85</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0,64</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w:t>
            </w:r>
          </w:p>
        </w:tc>
        <w:tc>
          <w:tcPr>
            <w:tcW w:w="5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0,93</w:t>
            </w:r>
          </w:p>
        </w:tc>
        <w:tc>
          <w:tcPr>
            <w:tcW w:w="49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6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7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83"/>
        </w:trPr>
        <w:tc>
          <w:tcPr>
            <w:tcW w:w="60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NGRAE</w:t>
            </w:r>
          </w:p>
        </w:tc>
        <w:tc>
          <w:tcPr>
            <w:tcW w:w="4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-0,78</w:t>
            </w:r>
          </w:p>
        </w:tc>
        <w:tc>
          <w:tcPr>
            <w:tcW w:w="5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-0,89</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-0,53</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-0,13</w:t>
            </w:r>
          </w:p>
        </w:tc>
        <w:tc>
          <w:tcPr>
            <w:tcW w:w="5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-0,71</w:t>
            </w:r>
          </w:p>
        </w:tc>
        <w:tc>
          <w:tcPr>
            <w:tcW w:w="49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-0,92</w:t>
            </w:r>
          </w:p>
        </w:tc>
        <w:tc>
          <w:tcPr>
            <w:tcW w:w="6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7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83"/>
        </w:trPr>
        <w:tc>
          <w:tcPr>
            <w:tcW w:w="60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P1000</w:t>
            </w:r>
          </w:p>
        </w:tc>
        <w:tc>
          <w:tcPr>
            <w:tcW w:w="4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0,74</w:t>
            </w:r>
          </w:p>
        </w:tc>
        <w:tc>
          <w:tcPr>
            <w:tcW w:w="5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0,67</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0,72</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0,73</w:t>
            </w:r>
          </w:p>
        </w:tc>
        <w:tc>
          <w:tcPr>
            <w:tcW w:w="5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c>
          <w:tcPr>
            <w:tcW w:w="49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0,27</w:t>
            </w:r>
          </w:p>
        </w:tc>
        <w:tc>
          <w:tcPr>
            <w:tcW w:w="6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-0,41</w:t>
            </w:r>
          </w:p>
        </w:tc>
        <w:tc>
          <w:tcPr>
            <w:tcW w:w="47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83"/>
        </w:trPr>
        <w:tc>
          <w:tcPr>
            <w:tcW w:w="60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RPG</w:t>
            </w:r>
          </w:p>
        </w:tc>
        <w:tc>
          <w:tcPr>
            <w:tcW w:w="4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-0,39</w:t>
            </w:r>
          </w:p>
        </w:tc>
        <w:tc>
          <w:tcPr>
            <w:tcW w:w="5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-0,54</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-0,01</w:t>
            </w:r>
          </w:p>
        </w:tc>
        <w:tc>
          <w:tcPr>
            <w:tcW w:w="5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0,01</w:t>
            </w:r>
          </w:p>
        </w:tc>
        <w:tc>
          <w:tcPr>
            <w:tcW w:w="49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-0,33</w:t>
            </w:r>
          </w:p>
        </w:tc>
        <w:tc>
          <w:tcPr>
            <w:tcW w:w="6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0,63</w:t>
            </w:r>
          </w:p>
        </w:tc>
        <w:tc>
          <w:tcPr>
            <w:tcW w:w="47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-0,54</w:t>
            </w:r>
          </w:p>
        </w:tc>
        <w:tc>
          <w:tcPr>
            <w:tcW w:w="40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r>
    </w:tbl>
    <w:p w:rsidR="00CC29E3" w:rsidRPr="00D01F8F" w:rsidRDefault="00CC29E3" w:rsidP="00CC29E3">
      <w:pPr>
        <w:rPr>
          <w:rFonts w:asciiTheme="majorBidi" w:hAnsiTheme="majorBidi" w:cstheme="majorBidi"/>
          <w:b/>
          <w:bCs/>
          <w:i/>
          <w:sz w:val="24"/>
          <w:szCs w:val="24"/>
        </w:rPr>
      </w:pPr>
    </w:p>
    <w:p w:rsidR="00CC29E3" w:rsidRPr="00D01F8F" w:rsidRDefault="00CC29E3" w:rsidP="00CC29E3">
      <w:pPr>
        <w:rPr>
          <w:rFonts w:asciiTheme="majorBidi" w:hAnsiTheme="majorBidi" w:cstheme="majorBidi"/>
          <w:b/>
          <w:bCs/>
          <w:i/>
          <w:sz w:val="24"/>
          <w:szCs w:val="24"/>
        </w:rPr>
      </w:pPr>
    </w:p>
    <w:p w:rsidR="00CC29E3" w:rsidRPr="00D01F8F" w:rsidRDefault="00CC29E3" w:rsidP="00CC29E3">
      <w:pPr>
        <w:jc w:val="center"/>
        <w:rPr>
          <w:rFonts w:asciiTheme="majorBidi" w:hAnsiTheme="majorBidi" w:cstheme="majorBidi"/>
          <w:b/>
          <w:bCs/>
          <w:i/>
          <w:sz w:val="24"/>
          <w:szCs w:val="24"/>
        </w:rPr>
      </w:pPr>
      <w:r w:rsidRPr="00D01F8F">
        <w:rPr>
          <w:rFonts w:asciiTheme="majorBidi" w:hAnsiTheme="majorBidi" w:cstheme="majorBidi"/>
          <w:b/>
          <w:bCs/>
          <w:i/>
          <w:sz w:val="24"/>
          <w:szCs w:val="24"/>
        </w:rPr>
        <w:br w:type="page"/>
      </w:r>
      <w:r w:rsidRPr="00D01F8F">
        <w:rPr>
          <w:rFonts w:asciiTheme="majorBidi" w:hAnsiTheme="majorBidi" w:cstheme="majorBidi"/>
          <w:b/>
          <w:bCs/>
          <w:iCs/>
          <w:sz w:val="24"/>
          <w:szCs w:val="24"/>
        </w:rPr>
        <w:lastRenderedPageBreak/>
        <w:t>Annexe 4: le cycle végétatif du fenugrec</w:t>
      </w:r>
      <w:r w:rsidRPr="00D01F8F">
        <w:rPr>
          <w:rFonts w:asciiTheme="majorBidi" w:hAnsiTheme="majorBidi" w:cstheme="majorBidi"/>
          <w:b/>
          <w:bCs/>
          <w:i/>
          <w:sz w:val="24"/>
          <w:szCs w:val="24"/>
        </w:rPr>
        <w:t xml:space="preserve"> </w:t>
      </w:r>
      <w:r w:rsidRPr="00D01F8F">
        <w:rPr>
          <w:rFonts w:asciiTheme="majorBidi" w:hAnsiTheme="majorBidi" w:cstheme="majorBidi"/>
          <w:b/>
          <w:bCs/>
          <w:iCs/>
          <w:sz w:val="24"/>
          <w:szCs w:val="24"/>
        </w:rPr>
        <w:t>(</w:t>
      </w:r>
      <w:r w:rsidRPr="00D01F8F">
        <w:rPr>
          <w:rFonts w:asciiTheme="majorBidi" w:hAnsiTheme="majorBidi" w:cstheme="majorBidi"/>
          <w:b/>
          <w:bCs/>
          <w:i/>
          <w:iCs/>
          <w:sz w:val="24"/>
          <w:szCs w:val="24"/>
        </w:rPr>
        <w:t>Trigonella foenum graecum</w:t>
      </w:r>
      <w:r w:rsidRPr="00D01F8F">
        <w:rPr>
          <w:rFonts w:asciiTheme="majorBidi" w:hAnsiTheme="majorBidi" w:cstheme="majorBidi"/>
          <w:b/>
          <w:bCs/>
          <w:i/>
          <w:sz w:val="24"/>
          <w:szCs w:val="24"/>
        </w:rPr>
        <w:t xml:space="preserve"> </w:t>
      </w:r>
      <w:r w:rsidRPr="00D01F8F">
        <w:rPr>
          <w:rFonts w:asciiTheme="majorBidi" w:hAnsiTheme="majorBidi" w:cstheme="majorBidi"/>
          <w:b/>
          <w:bCs/>
          <w:iCs/>
          <w:sz w:val="24"/>
          <w:szCs w:val="24"/>
        </w:rPr>
        <w:t>L.)</w:t>
      </w:r>
    </w:p>
    <w:p w:rsidR="00CC29E3" w:rsidRPr="00D01F8F" w:rsidRDefault="00CC29E3" w:rsidP="00CC29E3">
      <w:pPr>
        <w:rPr>
          <w:rFonts w:asciiTheme="majorBidi" w:hAnsiTheme="majorBidi" w:cstheme="majorBidi"/>
          <w:sz w:val="24"/>
          <w:szCs w:val="24"/>
        </w:rPr>
      </w:pPr>
    </w:p>
    <w:p w:rsidR="00CC29E3" w:rsidRPr="00D01F8F" w:rsidRDefault="00CB4176" w:rsidP="00CC29E3">
      <w:pPr>
        <w:spacing w:before="240" w:line="360" w:lineRule="auto"/>
        <w:jc w:val="center"/>
        <w:rPr>
          <w:rFonts w:asciiTheme="majorBidi" w:hAnsiTheme="majorBidi" w:cstheme="majorBidi"/>
          <w:b/>
          <w:i/>
          <w:sz w:val="24"/>
          <w:szCs w:val="24"/>
        </w:rPr>
      </w:pPr>
      <w:r w:rsidRPr="00CB4176">
        <w:rPr>
          <w:rFonts w:asciiTheme="majorBidi" w:hAnsiTheme="majorBidi" w:cstheme="majorBidi"/>
          <w:b/>
          <w:i/>
          <w:noProof/>
          <w:sz w:val="24"/>
          <w:szCs w:val="24"/>
        </w:rPr>
        <w:drawing>
          <wp:inline distT="0" distB="0" distL="0" distR="0">
            <wp:extent cx="5399693" cy="6315075"/>
            <wp:effectExtent l="76200" t="0" r="29557" b="0"/>
            <wp:docPr id="2" name="Diagramme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CC29E3" w:rsidRPr="00D01F8F" w:rsidRDefault="00CC29E3" w:rsidP="00CC29E3">
      <w:pPr>
        <w:spacing w:before="240" w:line="360" w:lineRule="auto"/>
        <w:rPr>
          <w:rFonts w:asciiTheme="majorBidi" w:hAnsiTheme="majorBidi" w:cstheme="majorBidi"/>
          <w:b/>
          <w:i/>
          <w:sz w:val="24"/>
          <w:szCs w:val="24"/>
        </w:rPr>
      </w:pPr>
    </w:p>
    <w:p w:rsidR="00CC29E3" w:rsidRPr="00D01F8F" w:rsidRDefault="00CC29E3" w:rsidP="00CC29E3">
      <w:pPr>
        <w:spacing w:before="120" w:after="120" w:line="240" w:lineRule="auto"/>
        <w:jc w:val="center"/>
        <w:rPr>
          <w:rFonts w:asciiTheme="majorBidi" w:hAnsiTheme="majorBidi" w:cstheme="majorBidi"/>
          <w:sz w:val="24"/>
          <w:szCs w:val="24"/>
        </w:rPr>
      </w:pPr>
      <w:r w:rsidRPr="00D01F8F">
        <w:rPr>
          <w:rFonts w:asciiTheme="majorBidi" w:hAnsiTheme="majorBidi" w:cstheme="majorBidi"/>
          <w:b/>
          <w:i/>
          <w:sz w:val="24"/>
          <w:szCs w:val="24"/>
        </w:rPr>
        <w:br w:type="page"/>
      </w:r>
      <w:r w:rsidRPr="00D01F8F">
        <w:rPr>
          <w:rFonts w:asciiTheme="majorBidi" w:hAnsiTheme="majorBidi" w:cstheme="majorBidi"/>
          <w:b/>
          <w:iCs/>
          <w:sz w:val="24"/>
          <w:szCs w:val="24"/>
        </w:rPr>
        <w:lastRenderedPageBreak/>
        <w:t>Annexe 5 : Test de germination</w:t>
      </w:r>
      <w:r w:rsidRPr="00D01F8F">
        <w:rPr>
          <w:rFonts w:asciiTheme="majorBidi" w:hAnsiTheme="majorBidi" w:cstheme="majorBidi"/>
          <w:b/>
          <w:i/>
          <w:sz w:val="24"/>
          <w:szCs w:val="24"/>
        </w:rPr>
        <w:t xml:space="preserve">  (</w:t>
      </w:r>
      <w:r w:rsidRPr="00D01F8F">
        <w:rPr>
          <w:rFonts w:asciiTheme="majorBidi" w:hAnsiTheme="majorBidi" w:cstheme="majorBidi"/>
          <w:b/>
          <w:i/>
          <w:iCs/>
          <w:sz w:val="24"/>
          <w:szCs w:val="24"/>
        </w:rPr>
        <w:t>Carthamus tinctorius</w:t>
      </w:r>
      <w:r w:rsidRPr="00D01F8F">
        <w:rPr>
          <w:rFonts w:asciiTheme="majorBidi" w:hAnsiTheme="majorBidi" w:cstheme="majorBidi"/>
          <w:b/>
          <w:i/>
          <w:sz w:val="24"/>
          <w:szCs w:val="24"/>
        </w:rPr>
        <w:t xml:space="preserve"> </w:t>
      </w:r>
      <w:r w:rsidRPr="00D01F8F">
        <w:rPr>
          <w:rFonts w:asciiTheme="majorBidi" w:hAnsiTheme="majorBidi" w:cstheme="majorBidi"/>
          <w:b/>
          <w:iCs/>
          <w:sz w:val="24"/>
          <w:szCs w:val="24"/>
        </w:rPr>
        <w:t>L</w:t>
      </w:r>
      <w:r w:rsidRPr="00D01F8F">
        <w:rPr>
          <w:rFonts w:asciiTheme="majorBidi" w:hAnsiTheme="majorBidi" w:cstheme="majorBidi"/>
          <w:b/>
          <w:i/>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0"/>
        <w:gridCol w:w="1689"/>
        <w:gridCol w:w="1689"/>
        <w:gridCol w:w="1689"/>
        <w:gridCol w:w="1691"/>
        <w:gridCol w:w="1691"/>
      </w:tblGrid>
      <w:tr w:rsidR="00CC29E3" w:rsidRPr="00D01F8F" w:rsidTr="008514DE">
        <w:trPr>
          <w:trHeight w:val="20"/>
        </w:trPr>
        <w:tc>
          <w:tcPr>
            <w:tcW w:w="8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0238B9" w:rsidP="008514DE">
            <w:pPr>
              <w:spacing w:after="0" w:line="240" w:lineRule="auto"/>
              <w:jc w:val="center"/>
              <w:rPr>
                <w:rFonts w:asciiTheme="majorBidi" w:hAnsiTheme="majorBidi" w:cstheme="majorBidi"/>
                <w:b/>
                <w:sz w:val="20"/>
                <w:szCs w:val="20"/>
              </w:rPr>
            </w:pPr>
            <w:r>
              <w:rPr>
                <w:rFonts w:asciiTheme="majorBidi" w:hAnsiTheme="majorBidi" w:cstheme="majorBidi"/>
                <w:b/>
                <w:sz w:val="20"/>
                <w:szCs w:val="20"/>
              </w:rPr>
              <w:t>Bloc</w:t>
            </w:r>
          </w:p>
        </w:tc>
        <w:tc>
          <w:tcPr>
            <w:tcW w:w="8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P'1</w:t>
            </w:r>
          </w:p>
        </w:tc>
        <w:tc>
          <w:tcPr>
            <w:tcW w:w="8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P'2</w:t>
            </w:r>
          </w:p>
        </w:tc>
        <w:tc>
          <w:tcPr>
            <w:tcW w:w="83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P'3</w:t>
            </w:r>
          </w:p>
        </w:tc>
        <w:tc>
          <w:tcPr>
            <w:tcW w:w="83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P'4</w:t>
            </w:r>
          </w:p>
        </w:tc>
      </w:tr>
      <w:tr w:rsidR="000E066F" w:rsidRPr="00D01F8F" w:rsidTr="008514DE">
        <w:trPr>
          <w:trHeight w:val="20"/>
        </w:trPr>
        <w:tc>
          <w:tcPr>
            <w:tcW w:w="833" w:type="pct"/>
            <w:vMerge w:val="restar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1</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DG</w:t>
            </w:r>
            <w:r>
              <w:rPr>
                <w:rFonts w:asciiTheme="majorBidi" w:hAnsiTheme="majorBidi" w:cstheme="majorBidi"/>
                <w:b/>
                <w:iCs/>
                <w:sz w:val="20"/>
                <w:szCs w:val="20"/>
              </w:rPr>
              <w:t>R</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r>
      <w:tr w:rsidR="000E066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GJM</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11,6</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8,8</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456C7D"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18,8</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10</w:t>
            </w:r>
          </w:p>
        </w:tc>
      </w:tr>
      <w:tr w:rsidR="000E066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VC</w:t>
            </w:r>
            <w:r w:rsidRPr="00D01F8F">
              <w:rPr>
                <w:rFonts w:asciiTheme="majorBidi" w:hAnsiTheme="majorBidi" w:cstheme="majorBidi"/>
                <w:b/>
                <w:iCs/>
                <w:sz w:val="20"/>
                <w:szCs w:val="20"/>
              </w:rPr>
              <w:t xml:space="preserve"> </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8B05F5"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16.66</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8B05F5"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10,5</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456C7D"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27,33</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456C7D"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12</w:t>
            </w:r>
          </w:p>
        </w:tc>
      </w:tr>
      <w:tr w:rsidR="000E066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VGJ</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8,45</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5,19</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18,33</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6,8</w:t>
            </w:r>
          </w:p>
        </w:tc>
      </w:tr>
      <w:tr w:rsidR="000E066F" w:rsidRPr="00D01F8F" w:rsidTr="008514DE">
        <w:trPr>
          <w:trHeight w:val="20"/>
        </w:trPr>
        <w:tc>
          <w:tcPr>
            <w:tcW w:w="833" w:type="pct"/>
            <w:vMerge w:val="restar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0238B9">
            <w:pPr>
              <w:spacing w:after="0" w:line="240" w:lineRule="auto"/>
              <w:rPr>
                <w:rFonts w:asciiTheme="majorBidi" w:hAnsiTheme="majorBidi" w:cstheme="majorBidi"/>
                <w:b/>
                <w:bCs/>
                <w:iCs/>
                <w:sz w:val="20"/>
                <w:szCs w:val="20"/>
              </w:rPr>
            </w:pPr>
            <w:r>
              <w:rPr>
                <w:rFonts w:asciiTheme="majorBidi" w:hAnsiTheme="majorBidi" w:cstheme="majorBidi"/>
                <w:b/>
                <w:bCs/>
                <w:iCs/>
                <w:sz w:val="20"/>
                <w:szCs w:val="20"/>
              </w:rPr>
              <w:t xml:space="preserve">            </w:t>
            </w:r>
            <w:r w:rsidRPr="00D01F8F">
              <w:rPr>
                <w:rFonts w:asciiTheme="majorBidi" w:hAnsiTheme="majorBidi" w:cstheme="majorBidi"/>
                <w:b/>
                <w:bCs/>
                <w:iCs/>
                <w:sz w:val="20"/>
                <w:szCs w:val="20"/>
              </w:rPr>
              <w:t>2</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DG</w:t>
            </w:r>
            <w:r>
              <w:rPr>
                <w:rFonts w:asciiTheme="majorBidi" w:hAnsiTheme="majorBidi" w:cstheme="majorBidi"/>
                <w:b/>
                <w:iCs/>
                <w:sz w:val="20"/>
                <w:szCs w:val="20"/>
              </w:rPr>
              <w:t>R</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r>
      <w:tr w:rsidR="000E066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GJM</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11,8</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10,6</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456C7D"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18</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456C7D"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9</w:t>
            </w:r>
          </w:p>
        </w:tc>
      </w:tr>
      <w:tr w:rsidR="000E066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VC</w:t>
            </w:r>
            <w:r w:rsidRPr="00D01F8F">
              <w:rPr>
                <w:rFonts w:asciiTheme="majorBidi" w:hAnsiTheme="majorBidi" w:cstheme="majorBidi"/>
                <w:b/>
                <w:iCs/>
                <w:sz w:val="20"/>
                <w:szCs w:val="20"/>
              </w:rPr>
              <w:t xml:space="preserve"> </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8B05F5"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14,5</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8B05F5"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13</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456C7D"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22,5</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456C7D"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11</w:t>
            </w:r>
          </w:p>
        </w:tc>
      </w:tr>
      <w:tr w:rsidR="000E066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VGJ</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7,39</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6,32</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15,12</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4,66</w:t>
            </w:r>
          </w:p>
        </w:tc>
      </w:tr>
      <w:tr w:rsidR="000E066F" w:rsidRPr="00D01F8F" w:rsidTr="008514DE">
        <w:trPr>
          <w:trHeight w:val="20"/>
        </w:trPr>
        <w:tc>
          <w:tcPr>
            <w:tcW w:w="833" w:type="pct"/>
            <w:vMerge w:val="restar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3</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DG</w:t>
            </w:r>
            <w:r>
              <w:rPr>
                <w:rFonts w:asciiTheme="majorBidi" w:hAnsiTheme="majorBidi" w:cstheme="majorBidi"/>
                <w:b/>
                <w:iCs/>
                <w:sz w:val="20"/>
                <w:szCs w:val="20"/>
              </w:rPr>
              <w:t>R</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w:t>
            </w:r>
          </w:p>
        </w:tc>
      </w:tr>
      <w:tr w:rsidR="000E066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GJM</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17,4</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11,8</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23</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6,2</w:t>
            </w:r>
          </w:p>
        </w:tc>
      </w:tr>
      <w:tr w:rsidR="000E066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VC</w:t>
            </w:r>
            <w:r w:rsidRPr="00D01F8F">
              <w:rPr>
                <w:rFonts w:asciiTheme="majorBidi" w:hAnsiTheme="majorBidi" w:cstheme="majorBidi"/>
                <w:b/>
                <w:iCs/>
                <w:sz w:val="20"/>
                <w:szCs w:val="20"/>
              </w:rPr>
              <w:t xml:space="preserve"> </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8B05F5"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19,5</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8B05F5"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12</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456C7D"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35</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456C7D"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5,5</w:t>
            </w:r>
          </w:p>
        </w:tc>
      </w:tr>
      <w:tr w:rsidR="000E066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VGJ</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10,58</w:t>
            </w:r>
          </w:p>
        </w:tc>
        <w:tc>
          <w:tcPr>
            <w:tcW w:w="833"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6,06</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22</w:t>
            </w:r>
          </w:p>
        </w:tc>
        <w:tc>
          <w:tcPr>
            <w:tcW w:w="834" w:type="pct"/>
            <w:tcBorders>
              <w:top w:val="single" w:sz="4" w:space="0" w:color="000000"/>
              <w:left w:val="single" w:sz="4" w:space="0" w:color="000000"/>
              <w:bottom w:val="single" w:sz="4" w:space="0" w:color="000000"/>
              <w:right w:val="single" w:sz="4" w:space="0" w:color="000000"/>
            </w:tcBorders>
            <w:vAlign w:val="center"/>
          </w:tcPr>
          <w:p w:rsidR="000E066F" w:rsidRPr="00D01F8F" w:rsidRDefault="000E066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2,34</w:t>
            </w:r>
          </w:p>
        </w:tc>
      </w:tr>
    </w:tbl>
    <w:p w:rsidR="00CC29E3" w:rsidRPr="00D01F8F" w:rsidRDefault="00CC29E3" w:rsidP="00CC29E3">
      <w:pPr>
        <w:spacing w:after="0" w:line="240" w:lineRule="auto"/>
        <w:rPr>
          <w:rFonts w:asciiTheme="majorBidi" w:hAnsiTheme="majorBidi" w:cstheme="majorBidi"/>
          <w:sz w:val="16"/>
          <w:szCs w:val="16"/>
        </w:rPr>
      </w:pPr>
    </w:p>
    <w:p w:rsidR="00CC29E3" w:rsidRPr="00D01F8F" w:rsidRDefault="00CC29E3" w:rsidP="00CC29E3">
      <w:pPr>
        <w:spacing w:after="120" w:line="240" w:lineRule="auto"/>
        <w:jc w:val="center"/>
        <w:rPr>
          <w:rFonts w:asciiTheme="majorBidi" w:hAnsiTheme="majorBidi" w:cstheme="majorBidi"/>
          <w:b/>
          <w:i/>
          <w:sz w:val="24"/>
          <w:szCs w:val="24"/>
        </w:rPr>
      </w:pPr>
      <w:r w:rsidRPr="00D01F8F">
        <w:rPr>
          <w:rFonts w:asciiTheme="majorBidi" w:hAnsiTheme="majorBidi" w:cstheme="majorBidi"/>
          <w:b/>
          <w:iCs/>
          <w:sz w:val="24"/>
          <w:szCs w:val="24"/>
        </w:rPr>
        <w:t>Annexe 6 : Analyse de la variance carthame</w:t>
      </w:r>
      <w:r w:rsidRPr="00D01F8F">
        <w:rPr>
          <w:rFonts w:asciiTheme="majorBidi" w:hAnsiTheme="majorBidi" w:cstheme="majorBidi"/>
          <w:b/>
          <w:i/>
          <w:sz w:val="24"/>
          <w:szCs w:val="24"/>
        </w:rPr>
        <w:t xml:space="preserve"> (</w:t>
      </w:r>
      <w:r w:rsidRPr="00D01F8F">
        <w:rPr>
          <w:rFonts w:asciiTheme="majorBidi" w:hAnsiTheme="majorBidi" w:cstheme="majorBidi"/>
          <w:b/>
          <w:i/>
          <w:iCs/>
          <w:sz w:val="24"/>
          <w:szCs w:val="24"/>
        </w:rPr>
        <w:t>Carthamus tinctorius</w:t>
      </w:r>
      <w:r w:rsidRPr="00D01F8F">
        <w:rPr>
          <w:rFonts w:asciiTheme="majorBidi" w:hAnsiTheme="majorBidi" w:cstheme="majorBidi"/>
          <w:b/>
          <w:i/>
          <w:sz w:val="24"/>
          <w:szCs w:val="24"/>
        </w:rPr>
        <w:t xml:space="preserve"> </w:t>
      </w:r>
      <w:r w:rsidRPr="00D01F8F">
        <w:rPr>
          <w:rFonts w:asciiTheme="majorBidi" w:hAnsiTheme="majorBidi" w:cstheme="majorBidi"/>
          <w:b/>
          <w:iCs/>
          <w:sz w:val="24"/>
          <w:szCs w:val="24"/>
        </w:rPr>
        <w:t>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93"/>
        <w:gridCol w:w="768"/>
        <w:gridCol w:w="1274"/>
        <w:gridCol w:w="1027"/>
        <w:gridCol w:w="1037"/>
        <w:gridCol w:w="919"/>
        <w:gridCol w:w="1049"/>
        <w:gridCol w:w="947"/>
        <w:gridCol w:w="774"/>
      </w:tblGrid>
      <w:tr w:rsidR="00CC29E3" w:rsidRPr="00D01F8F" w:rsidTr="008514DE">
        <w:trPr>
          <w:trHeight w:val="20"/>
        </w:trPr>
        <w:tc>
          <w:tcPr>
            <w:tcW w:w="1493" w:type="dxa"/>
            <w:tcBorders>
              <w:top w:val="single" w:sz="4" w:space="0" w:color="000000"/>
              <w:left w:val="single" w:sz="4" w:space="0" w:color="000000"/>
              <w:bottom w:val="single" w:sz="4" w:space="0" w:color="auto"/>
              <w:right w:val="single" w:sz="4" w:space="0" w:color="000000"/>
            </w:tcBorders>
            <w:vAlign w:val="center"/>
          </w:tcPr>
          <w:p w:rsidR="00CC29E3" w:rsidRPr="000F4674" w:rsidRDefault="00CC29E3" w:rsidP="008514DE">
            <w:pPr>
              <w:spacing w:after="0" w:line="240" w:lineRule="auto"/>
              <w:jc w:val="center"/>
              <w:rPr>
                <w:rFonts w:asciiTheme="majorBidi" w:hAnsiTheme="majorBidi" w:cstheme="majorBidi"/>
                <w:b/>
                <w:bCs/>
                <w:iCs/>
                <w:sz w:val="20"/>
                <w:szCs w:val="20"/>
              </w:rPr>
            </w:pPr>
            <w:r w:rsidRPr="000F4674">
              <w:rPr>
                <w:rFonts w:asciiTheme="majorBidi" w:hAnsiTheme="majorBidi" w:cstheme="majorBidi"/>
                <w:b/>
                <w:bCs/>
                <w:iCs/>
                <w:sz w:val="20"/>
                <w:szCs w:val="20"/>
              </w:rPr>
              <w:t>Population</w:t>
            </w:r>
          </w:p>
        </w:tc>
        <w:tc>
          <w:tcPr>
            <w:tcW w:w="768" w:type="dxa"/>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p>
        </w:tc>
        <w:tc>
          <w:tcPr>
            <w:tcW w:w="1274" w:type="dxa"/>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w:t>
            </w:r>
          </w:p>
        </w:tc>
        <w:tc>
          <w:tcPr>
            <w:tcW w:w="1027" w:type="dxa"/>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P'2</w:t>
            </w:r>
          </w:p>
        </w:tc>
        <w:tc>
          <w:tcPr>
            <w:tcW w:w="1037" w:type="dxa"/>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P'3</w:t>
            </w:r>
          </w:p>
        </w:tc>
        <w:tc>
          <w:tcPr>
            <w:tcW w:w="919" w:type="dxa"/>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P'4</w:t>
            </w:r>
          </w:p>
        </w:tc>
        <w:tc>
          <w:tcPr>
            <w:tcW w:w="1049" w:type="dxa"/>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Ecart type groupé</w:t>
            </w:r>
          </w:p>
        </w:tc>
        <w:tc>
          <w:tcPr>
            <w:tcW w:w="947" w:type="dxa"/>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Proba</w:t>
            </w:r>
          </w:p>
        </w:tc>
        <w:tc>
          <w:tcPr>
            <w:tcW w:w="774" w:type="dxa"/>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Sig</w:t>
            </w:r>
          </w:p>
        </w:tc>
      </w:tr>
      <w:tr w:rsidR="00CC29E3" w:rsidRPr="00D01F8F" w:rsidTr="008514DE">
        <w:trPr>
          <w:trHeight w:val="20"/>
        </w:trPr>
        <w:tc>
          <w:tcPr>
            <w:tcW w:w="1493" w:type="dxa"/>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VGJ</w:t>
            </w:r>
          </w:p>
        </w:tc>
        <w:tc>
          <w:tcPr>
            <w:tcW w:w="768"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ind w:left="708"/>
              <w:jc w:val="center"/>
              <w:rPr>
                <w:rFonts w:asciiTheme="majorBidi" w:hAnsiTheme="majorBidi" w:cstheme="majorBidi"/>
                <w:sz w:val="20"/>
                <w:szCs w:val="20"/>
              </w:rPr>
            </w:pPr>
            <w:r w:rsidRPr="00D01F8F">
              <w:rPr>
                <w:rFonts w:asciiTheme="majorBidi" w:hAnsiTheme="majorBidi" w:cstheme="majorBidi"/>
                <w:sz w:val="20"/>
                <w:szCs w:val="20"/>
              </w:rPr>
              <w:t>8,81</w:t>
            </w:r>
          </w:p>
        </w:tc>
        <w:tc>
          <w:tcPr>
            <w:tcW w:w="1027"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5,86</w:t>
            </w:r>
          </w:p>
        </w:tc>
        <w:tc>
          <w:tcPr>
            <w:tcW w:w="1037"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18,14</w:t>
            </w:r>
          </w:p>
        </w:tc>
        <w:tc>
          <w:tcPr>
            <w:tcW w:w="919"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4,6</w:t>
            </w:r>
          </w:p>
        </w:tc>
        <w:tc>
          <w:tcPr>
            <w:tcW w:w="1049" w:type="dxa"/>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2,23</w:t>
            </w:r>
          </w:p>
        </w:tc>
        <w:tc>
          <w:tcPr>
            <w:tcW w:w="947" w:type="dxa"/>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774" w:type="dxa"/>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1,62</w:t>
            </w:r>
          </w:p>
        </w:tc>
        <w:tc>
          <w:tcPr>
            <w:tcW w:w="1027"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0,59</w:t>
            </w:r>
          </w:p>
        </w:tc>
        <w:tc>
          <w:tcPr>
            <w:tcW w:w="1037"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3,44</w:t>
            </w:r>
          </w:p>
        </w:tc>
        <w:tc>
          <w:tcPr>
            <w:tcW w:w="919"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2,23</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493" w:type="dxa"/>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1274"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1027"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1037"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919"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1049" w:type="dxa"/>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493" w:type="dxa"/>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CG</w:t>
            </w:r>
          </w:p>
        </w:tc>
        <w:tc>
          <w:tcPr>
            <w:tcW w:w="768"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78,67</w:t>
            </w:r>
          </w:p>
        </w:tc>
        <w:tc>
          <w:tcPr>
            <w:tcW w:w="1027"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53,33</w:t>
            </w:r>
          </w:p>
        </w:tc>
        <w:tc>
          <w:tcPr>
            <w:tcW w:w="1037"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92</w:t>
            </w:r>
          </w:p>
        </w:tc>
        <w:tc>
          <w:tcPr>
            <w:tcW w:w="919"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46</w:t>
            </w:r>
          </w:p>
        </w:tc>
        <w:tc>
          <w:tcPr>
            <w:tcW w:w="1049" w:type="dxa"/>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10,38</w:t>
            </w:r>
          </w:p>
        </w:tc>
        <w:tc>
          <w:tcPr>
            <w:tcW w:w="947" w:type="dxa"/>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0,002</w:t>
            </w:r>
          </w:p>
        </w:tc>
        <w:tc>
          <w:tcPr>
            <w:tcW w:w="774" w:type="dxa"/>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17,01</w:t>
            </w:r>
          </w:p>
        </w:tc>
        <w:tc>
          <w:tcPr>
            <w:tcW w:w="1027"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10,07</w:t>
            </w:r>
          </w:p>
        </w:tc>
        <w:tc>
          <w:tcPr>
            <w:tcW w:w="1037"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2,00</w:t>
            </w:r>
          </w:p>
        </w:tc>
        <w:tc>
          <w:tcPr>
            <w:tcW w:w="919" w:type="dxa"/>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6,00</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1274" w:type="dxa"/>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1027" w:type="dxa"/>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1037" w:type="dxa"/>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919" w:type="dxa"/>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VG</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243,58</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125,9</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536,29</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84,37</w:t>
            </w:r>
          </w:p>
        </w:tc>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89,81</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0,001</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91,37</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29,41</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143,82</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44,78</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7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13,75</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11,75</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A15507" w:rsidP="008514DE">
            <w:pPr>
              <w:spacing w:after="0" w:line="240" w:lineRule="auto"/>
              <w:jc w:val="center"/>
              <w:rPr>
                <w:rFonts w:asciiTheme="majorBidi" w:hAnsiTheme="majorBidi" w:cstheme="majorBidi"/>
                <w:sz w:val="20"/>
                <w:szCs w:val="20"/>
              </w:rPr>
            </w:pPr>
            <w:r>
              <w:rPr>
                <w:rFonts w:asciiTheme="majorBidi" w:hAnsiTheme="majorBidi" w:cstheme="majorBidi"/>
                <w:sz w:val="20"/>
                <w:szCs w:val="20"/>
              </w:rPr>
              <w:t>12</w:t>
            </w:r>
            <w:r w:rsidR="00CC29E3" w:rsidRPr="00D01F8F">
              <w:rPr>
                <w:rFonts w:asciiTheme="majorBidi" w:hAnsiTheme="majorBidi" w:cstheme="majorBidi"/>
                <w:sz w:val="20"/>
                <w:szCs w:val="20"/>
              </w:rPr>
              <w:t>,25</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w:t>
            </w:r>
          </w:p>
        </w:tc>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4,06</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0,375</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0,96</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8,06</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0,50</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PL</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14,75</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A15507" w:rsidP="008514DE">
            <w:pPr>
              <w:spacing w:after="0" w:line="240" w:lineRule="auto"/>
              <w:jc w:val="center"/>
              <w:rPr>
                <w:rFonts w:asciiTheme="majorBidi" w:hAnsiTheme="majorBidi" w:cstheme="majorBidi"/>
                <w:sz w:val="20"/>
                <w:szCs w:val="20"/>
              </w:rPr>
            </w:pPr>
            <w:r>
              <w:rPr>
                <w:rFonts w:asciiTheme="majorBidi" w:hAnsiTheme="majorBidi" w:cstheme="majorBidi"/>
                <w:sz w:val="20"/>
                <w:szCs w:val="20"/>
              </w:rPr>
              <w:t>14,7</w:t>
            </w:r>
            <w:r w:rsidR="00CC29E3" w:rsidRPr="00D01F8F">
              <w:rPr>
                <w:rFonts w:asciiTheme="majorBidi" w:hAnsiTheme="majorBidi" w:cstheme="majorBidi"/>
                <w:sz w:val="20"/>
                <w:szCs w:val="20"/>
              </w:rPr>
              <w:t>5</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22,5</w:t>
            </w:r>
          </w:p>
        </w:tc>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,51</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0,441</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0,96</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8,22</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1,91</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PGL</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85,94</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72,4</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81,25</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80,21</w:t>
            </w:r>
          </w:p>
        </w:tc>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15,27</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0,663</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15,99</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19,20</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10,35</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14,18</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32,25</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30</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35,25</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w:t>
            </w:r>
          </w:p>
        </w:tc>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4,45</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0,147</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3,59</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6,98</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2,99</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2,94</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FB</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59,5</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59</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58,5</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58,5</w:t>
            </w:r>
          </w:p>
        </w:tc>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1,323</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0,674</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1,91</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BF</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77,5</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76,5</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76</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77,5</w:t>
            </w:r>
          </w:p>
        </w:tc>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1,323</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0,324</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NS</w:t>
            </w:r>
          </w:p>
        </w:tc>
      </w:tr>
      <w:tr w:rsidR="00CC29E3" w:rsidRPr="00D01F8F" w:rsidTr="008514DE">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1,91</w:t>
            </w:r>
          </w:p>
        </w:tc>
        <w:tc>
          <w:tcPr>
            <w:tcW w:w="10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w:t>
            </w:r>
          </w:p>
        </w:tc>
        <w:tc>
          <w:tcPr>
            <w:tcW w:w="10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91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1,91</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p>
        </w:tc>
      </w:tr>
      <w:tr w:rsidR="00CC29E3" w:rsidRPr="00D01F8F" w:rsidTr="00D40FB3">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DF</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90</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94</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90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94</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0,000</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w:t>
            </w:r>
          </w:p>
          <w:p w:rsidR="00CC29E3" w:rsidRPr="00D40FB3" w:rsidRDefault="00CC29E3" w:rsidP="008514DE">
            <w:pPr>
              <w:spacing w:after="0" w:line="240" w:lineRule="auto"/>
              <w:jc w:val="center"/>
              <w:rPr>
                <w:rFonts w:asciiTheme="majorBidi" w:hAnsiTheme="majorBidi" w:cstheme="majorBidi"/>
                <w:sz w:val="20"/>
                <w:szCs w:val="20"/>
              </w:rPr>
            </w:pPr>
          </w:p>
        </w:tc>
        <w:tc>
          <w:tcPr>
            <w:tcW w:w="7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NS</w:t>
            </w:r>
          </w:p>
        </w:tc>
      </w:tr>
      <w:tr w:rsidR="00CC29E3" w:rsidRPr="00D01F8F" w:rsidTr="00D40FB3">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r>
      <w:tr w:rsidR="00CC29E3" w:rsidRPr="00D01F8F" w:rsidTr="00D40FB3">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PF</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101</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101</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98</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101</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0,000</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w:t>
            </w:r>
          </w:p>
          <w:p w:rsidR="00CC29E3" w:rsidRPr="00D40FB3" w:rsidRDefault="00CC29E3" w:rsidP="002B3683">
            <w:pPr>
              <w:spacing w:after="0" w:line="240" w:lineRule="auto"/>
              <w:rPr>
                <w:rFonts w:asciiTheme="majorBidi" w:hAnsiTheme="majorBidi" w:cstheme="majorBidi"/>
                <w:sz w:val="20"/>
                <w:szCs w:val="20"/>
              </w:rPr>
            </w:pPr>
          </w:p>
        </w:tc>
        <w:tc>
          <w:tcPr>
            <w:tcW w:w="7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NS</w:t>
            </w:r>
          </w:p>
        </w:tc>
      </w:tr>
      <w:tr w:rsidR="00CC29E3" w:rsidRPr="00D01F8F" w:rsidTr="00D40FB3">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r>
      <w:tr w:rsidR="00CC29E3" w:rsidRPr="00D01F8F" w:rsidTr="00D40FB3">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FF</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146</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146,5</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146</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146,75</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1,52</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0,865</w:t>
            </w:r>
          </w:p>
        </w:tc>
        <w:tc>
          <w:tcPr>
            <w:tcW w:w="7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NS</w:t>
            </w:r>
          </w:p>
        </w:tc>
      </w:tr>
      <w:tr w:rsidR="00CC29E3" w:rsidRPr="00D01F8F" w:rsidTr="00D40FB3">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1,41</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1,73</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1,41</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r>
      <w:tr w:rsidR="00CC29E3" w:rsidRPr="00D01F8F" w:rsidTr="00D40FB3">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ETF</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52</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52,5</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56</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52,75</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1,52</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0,01</w:t>
            </w:r>
          </w:p>
        </w:tc>
        <w:tc>
          <w:tcPr>
            <w:tcW w:w="7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w:t>
            </w:r>
          </w:p>
        </w:tc>
      </w:tr>
      <w:tr w:rsidR="00CC29E3" w:rsidRPr="00D01F8F" w:rsidTr="00D40FB3">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1,41</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1,73</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1,41</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r>
      <w:tr w:rsidR="00CC29E3" w:rsidRPr="00D01F8F" w:rsidTr="00D40FB3">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b</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b</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a</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b</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p>
        </w:tc>
      </w:tr>
      <w:tr w:rsidR="00CC29E3" w:rsidRPr="00D01F8F" w:rsidTr="00D40FB3">
        <w:trPr>
          <w:trHeight w:val="20"/>
        </w:trPr>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155,25</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155,5</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152</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156,5</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2,90</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0,198</w:t>
            </w:r>
          </w:p>
        </w:tc>
        <w:tc>
          <w:tcPr>
            <w:tcW w:w="7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NS</w:t>
            </w:r>
          </w:p>
        </w:tc>
      </w:tr>
      <w:tr w:rsidR="00CC29E3" w:rsidRPr="00D01F8F" w:rsidTr="00D40FB3">
        <w:trPr>
          <w:trHeight w:val="20"/>
        </w:trPr>
        <w:tc>
          <w:tcPr>
            <w:tcW w:w="1493"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2,99</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4,04</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9E3" w:rsidRPr="00D01F8F" w:rsidRDefault="00CC29E3" w:rsidP="008514DE">
            <w:pPr>
              <w:spacing w:after="0" w:line="240" w:lineRule="auto"/>
              <w:rPr>
                <w:rFonts w:asciiTheme="majorBidi" w:hAnsiTheme="majorBidi" w:cstheme="majorBidi"/>
                <w:sz w:val="20"/>
                <w:szCs w:val="20"/>
              </w:rPr>
            </w:pPr>
            <w:r w:rsidRPr="00D01F8F">
              <w:rPr>
                <w:rFonts w:asciiTheme="majorBidi" w:hAnsiTheme="majorBidi" w:cstheme="majorBidi"/>
                <w:sz w:val="20"/>
                <w:szCs w:val="20"/>
              </w:rPr>
              <w:t>2,89</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74" w:type="dxa"/>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bl>
    <w:p w:rsidR="00CC29E3" w:rsidRPr="00D01F8F" w:rsidRDefault="00CC29E3" w:rsidP="00CC29E3">
      <w:pPr>
        <w:spacing w:before="240" w:line="240" w:lineRule="auto"/>
        <w:rPr>
          <w:rFonts w:asciiTheme="majorBidi" w:hAnsiTheme="majorBidi" w:cstheme="majorBidi"/>
          <w:b/>
          <w:i/>
          <w:sz w:val="24"/>
          <w:szCs w:val="24"/>
        </w:rPr>
      </w:pPr>
      <w:r w:rsidRPr="00D01F8F">
        <w:rPr>
          <w:rFonts w:asciiTheme="majorBidi" w:hAnsiTheme="majorBidi" w:cstheme="majorBidi"/>
          <w:b/>
          <w:i/>
          <w:sz w:val="24"/>
          <w:szCs w:val="24"/>
        </w:rPr>
        <w:br w:type="page"/>
      </w:r>
      <w:r w:rsidRPr="00D01F8F">
        <w:rPr>
          <w:rFonts w:asciiTheme="majorBidi" w:hAnsiTheme="majorBidi" w:cstheme="majorBidi"/>
          <w:b/>
          <w:iCs/>
          <w:sz w:val="24"/>
          <w:szCs w:val="24"/>
        </w:rPr>
        <w:lastRenderedPageBreak/>
        <w:t>Annexe 6 (suite): Analyse de la variance carthame</w:t>
      </w:r>
      <w:r w:rsidRPr="00D01F8F">
        <w:rPr>
          <w:rFonts w:asciiTheme="majorBidi" w:hAnsiTheme="majorBidi" w:cstheme="majorBidi"/>
          <w:b/>
          <w:i/>
          <w:sz w:val="24"/>
          <w:szCs w:val="24"/>
        </w:rPr>
        <w:t xml:space="preserve"> (</w:t>
      </w:r>
      <w:r w:rsidRPr="00D01F8F">
        <w:rPr>
          <w:rFonts w:asciiTheme="majorBidi" w:hAnsiTheme="majorBidi" w:cstheme="majorBidi"/>
          <w:b/>
          <w:i/>
          <w:iCs/>
          <w:sz w:val="24"/>
          <w:szCs w:val="24"/>
        </w:rPr>
        <w:t>Carthamus tinctorius</w:t>
      </w:r>
      <w:r w:rsidRPr="00D01F8F">
        <w:rPr>
          <w:rFonts w:asciiTheme="majorBidi" w:hAnsiTheme="majorBidi" w:cstheme="majorBidi"/>
          <w:b/>
          <w:i/>
          <w:sz w:val="24"/>
          <w:szCs w:val="24"/>
        </w:rPr>
        <w:t xml:space="preserve"> </w:t>
      </w:r>
      <w:r w:rsidRPr="00D01F8F">
        <w:rPr>
          <w:rFonts w:asciiTheme="majorBidi" w:hAnsiTheme="majorBidi" w:cstheme="majorBidi"/>
          <w:b/>
          <w:iCs/>
          <w:sz w:val="24"/>
          <w:szCs w:val="24"/>
        </w:rPr>
        <w:t>L</w:t>
      </w:r>
      <w:r w:rsidRPr="00D01F8F">
        <w:rPr>
          <w:rFonts w:asciiTheme="majorBidi" w:hAnsiTheme="majorBidi" w:cstheme="majorBidi"/>
          <w:b/>
          <w:i/>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70"/>
        <w:gridCol w:w="872"/>
        <w:gridCol w:w="1156"/>
        <w:gridCol w:w="6"/>
        <w:gridCol w:w="1166"/>
        <w:gridCol w:w="1156"/>
        <w:gridCol w:w="6"/>
        <w:gridCol w:w="1018"/>
        <w:gridCol w:w="6"/>
        <w:gridCol w:w="1156"/>
        <w:gridCol w:w="8"/>
        <w:gridCol w:w="1059"/>
        <w:gridCol w:w="860"/>
      </w:tblGrid>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H1</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8,32</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6,54</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12,5</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9,27</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5,99</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6,96</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4,32</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7,26</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4,88</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H2</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18,18</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15,88</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23,98</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19,88</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11,06</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0,01</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12,82</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9,21</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12,39</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9,28</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H3</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36,45</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35,3</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43,12</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41,08</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14,59</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0,054</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17,43</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13,78</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14,71</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11,88</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H4</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63,3</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63,93</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62,8</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65,55</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11,14</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0,710</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12,70</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11,19</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11,63</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8,64</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H5</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78,27</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75,8</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74,72</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78,15</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8,86</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0,197</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9,73</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9,06</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9,37</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7,42</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VCH</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2,49</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2,47</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2,22</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2,46</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0,26</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0,27</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0,28</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0,19</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0,27</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NBP</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16,95</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17,52</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19,17</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15,47</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4,12</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0,001</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4,42</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4,13</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3,56</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4,33</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NCP</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45,4</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51,05</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83,13</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46,5</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21,65</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18,12</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26,71</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18,69</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NCB</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2,57</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2,81</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4,26</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2,94</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0,88</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0,62</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0,86</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1,09</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0,87</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PCP</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133,53</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155,25</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156,83</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136,45</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58,77</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0,163</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56,42</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65,29</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59,56</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53,12</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PFP</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6,82</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7,52</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7,6</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7,6</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3,11</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0,617</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3,12</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3,28</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2,84</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2,48</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LC</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21,98</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22,39</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23,05</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21,51</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2,33</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0,003</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2,62</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2,35</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2,04</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DC</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32,48</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30,32</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24,94</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30,94</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3,33</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3,33</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4,3</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2,42</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2,99</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NGRSC</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51,48</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56,95</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33,9</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37,92</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33,08</w:t>
            </w:r>
          </w:p>
        </w:tc>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16,62</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61,30</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10,31</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15,40</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p>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NGRIC</w:t>
            </w: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3,92</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4,38</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0,93</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2,8</w:t>
            </w:r>
          </w:p>
        </w:tc>
        <w:tc>
          <w:tcPr>
            <w:tcW w:w="577" w:type="pct"/>
            <w:gridSpan w:val="3"/>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3,40</w:t>
            </w:r>
          </w:p>
        </w:tc>
        <w:tc>
          <w:tcPr>
            <w:tcW w:w="522" w:type="pct"/>
            <w:vMerge w:val="restart"/>
            <w:tcBorders>
              <w:top w:val="single" w:sz="4" w:space="0" w:color="000000"/>
              <w:left w:val="single" w:sz="4" w:space="0" w:color="000000"/>
              <w:bottom w:val="single" w:sz="4" w:space="0" w:color="000000"/>
              <w:right w:val="single" w:sz="4" w:space="0" w:color="auto"/>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24" w:type="pct"/>
            <w:vMerge w:val="restart"/>
            <w:tcBorders>
              <w:top w:val="single" w:sz="4" w:space="0" w:color="000000"/>
              <w:left w:val="single" w:sz="4" w:space="0" w:color="auto"/>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4,47</w:t>
            </w:r>
          </w:p>
        </w:tc>
        <w:tc>
          <w:tcPr>
            <w:tcW w:w="5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1,34</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2,90</w:t>
            </w:r>
          </w:p>
        </w:tc>
        <w:tc>
          <w:tcPr>
            <w:tcW w:w="577" w:type="pct"/>
            <w:gridSpan w:val="3"/>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auto"/>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auto"/>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CC29E3" w:rsidRPr="00D01F8F" w:rsidTr="000E68E4">
        <w:trPr>
          <w:trHeight w:val="20"/>
        </w:trPr>
        <w:tc>
          <w:tcPr>
            <w:tcW w:w="82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sz w:val="20"/>
                <w:szCs w:val="20"/>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gridSpan w:val="2"/>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5" w:type="pct"/>
            <w:tcBorders>
              <w:top w:val="single" w:sz="4" w:space="0" w:color="000000"/>
              <w:left w:val="single" w:sz="4" w:space="0" w:color="000000"/>
              <w:bottom w:val="single" w:sz="4" w:space="0" w:color="000000"/>
              <w:right w:val="single" w:sz="4" w:space="0" w:color="auto"/>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gridSpan w:val="2"/>
            <w:tcBorders>
              <w:top w:val="single" w:sz="4" w:space="0" w:color="000000"/>
              <w:left w:val="single" w:sz="4" w:space="0" w:color="auto"/>
              <w:bottom w:val="single" w:sz="4" w:space="0" w:color="000000"/>
              <w:right w:val="single" w:sz="4" w:space="0" w:color="auto"/>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502" w:type="pct"/>
            <w:tcBorders>
              <w:top w:val="single" w:sz="4" w:space="0" w:color="000000"/>
              <w:left w:val="single" w:sz="4" w:space="0" w:color="auto"/>
              <w:bottom w:val="single" w:sz="4" w:space="0" w:color="000000"/>
              <w:right w:val="single" w:sz="4" w:space="0" w:color="auto"/>
            </w:tcBorders>
            <w:vAlign w:val="center"/>
          </w:tcPr>
          <w:p w:rsidR="00CC29E3" w:rsidRPr="00D01F8F" w:rsidRDefault="00CC29E3" w:rsidP="000E68E4">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7" w:type="pct"/>
            <w:gridSpan w:val="3"/>
            <w:vMerge/>
            <w:tcBorders>
              <w:top w:val="single" w:sz="4" w:space="0" w:color="000000"/>
              <w:left w:val="single" w:sz="4" w:space="0" w:color="auto"/>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522" w:type="pct"/>
            <w:vMerge/>
            <w:tcBorders>
              <w:top w:val="single" w:sz="4" w:space="0" w:color="000000"/>
              <w:left w:val="single" w:sz="4" w:space="0" w:color="000000"/>
              <w:bottom w:val="single" w:sz="4" w:space="0" w:color="000000"/>
              <w:right w:val="single" w:sz="4" w:space="0" w:color="auto"/>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c>
          <w:tcPr>
            <w:tcW w:w="424" w:type="pct"/>
            <w:vMerge/>
            <w:tcBorders>
              <w:top w:val="single" w:sz="4" w:space="0" w:color="000000"/>
              <w:left w:val="single" w:sz="4" w:space="0" w:color="auto"/>
              <w:bottom w:val="single" w:sz="4" w:space="0" w:color="000000"/>
              <w:right w:val="single" w:sz="4" w:space="0" w:color="000000"/>
            </w:tcBorders>
            <w:vAlign w:val="center"/>
          </w:tcPr>
          <w:p w:rsidR="00CC29E3" w:rsidRPr="00D01F8F" w:rsidRDefault="00CC29E3" w:rsidP="000E68E4">
            <w:pPr>
              <w:spacing w:after="0" w:line="240" w:lineRule="auto"/>
              <w:jc w:val="center"/>
              <w:rPr>
                <w:rFonts w:asciiTheme="majorBidi" w:hAnsiTheme="majorBidi" w:cstheme="majorBidi"/>
                <w:sz w:val="20"/>
                <w:szCs w:val="20"/>
              </w:rPr>
            </w:pPr>
          </w:p>
        </w:tc>
      </w:tr>
      <w:tr w:rsidR="000E68E4" w:rsidRPr="000E68E4" w:rsidTr="00F15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24"/>
        </w:trPr>
        <w:tc>
          <w:tcPr>
            <w:tcW w:w="824" w:type="pct"/>
            <w:vMerge w:val="restart"/>
          </w:tcPr>
          <w:p w:rsidR="000E68E4" w:rsidRPr="000E68E4" w:rsidRDefault="007534ED" w:rsidP="000E68E4">
            <w:pPr>
              <w:spacing w:after="0" w:line="240" w:lineRule="auto"/>
              <w:jc w:val="center"/>
              <w:rPr>
                <w:rFonts w:asciiTheme="majorBidi" w:hAnsiTheme="majorBidi" w:cstheme="majorBidi"/>
                <w:b/>
                <w:bCs/>
                <w:iCs/>
                <w:sz w:val="20"/>
                <w:szCs w:val="20"/>
              </w:rPr>
            </w:pPr>
            <w:r>
              <w:rPr>
                <w:rFonts w:asciiTheme="majorBidi" w:hAnsiTheme="majorBidi" w:cstheme="majorBidi"/>
                <w:b/>
                <w:bCs/>
                <w:iCs/>
                <w:sz w:val="20"/>
                <w:szCs w:val="20"/>
              </w:rPr>
              <w:t>NTR</w:t>
            </w:r>
            <w:r w:rsidRPr="00D01F8F">
              <w:rPr>
                <w:rFonts w:asciiTheme="majorBidi" w:hAnsiTheme="majorBidi" w:cstheme="majorBidi"/>
                <w:b/>
                <w:bCs/>
                <w:iCs/>
                <w:sz w:val="20"/>
                <w:szCs w:val="20"/>
              </w:rPr>
              <w:t>C</w:t>
            </w:r>
          </w:p>
        </w:tc>
        <w:tc>
          <w:tcPr>
            <w:tcW w:w="430" w:type="pct"/>
            <w:vAlign w:val="center"/>
          </w:tcPr>
          <w:p w:rsidR="000E68E4" w:rsidRPr="00D01F8F" w:rsidRDefault="000E68E4" w:rsidP="00F1526F">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0" w:type="pct"/>
          </w:tcPr>
          <w:p w:rsidR="000E68E4" w:rsidRPr="00AE44FB" w:rsidRDefault="00AE44FB" w:rsidP="00AE44FB">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70.65 </w:t>
            </w:r>
          </w:p>
        </w:tc>
        <w:tc>
          <w:tcPr>
            <w:tcW w:w="578" w:type="pct"/>
            <w:gridSpan w:val="2"/>
          </w:tcPr>
          <w:p w:rsidR="000E68E4" w:rsidRPr="00AE44FB" w:rsidRDefault="00AE44FB" w:rsidP="000E68E4">
            <w:pPr>
              <w:spacing w:after="0" w:line="240" w:lineRule="auto"/>
              <w:jc w:val="center"/>
              <w:rPr>
                <w:rFonts w:asciiTheme="majorBidi" w:hAnsiTheme="majorBidi" w:cstheme="majorBidi"/>
                <w:sz w:val="20"/>
                <w:szCs w:val="20"/>
              </w:rPr>
            </w:pPr>
            <w:r w:rsidRPr="00AE44FB">
              <w:rPr>
                <w:rFonts w:asciiTheme="majorBidi" w:hAnsiTheme="majorBidi" w:cstheme="majorBidi"/>
                <w:sz w:val="20"/>
                <w:szCs w:val="20"/>
              </w:rPr>
              <w:t>75.37</w:t>
            </w:r>
          </w:p>
        </w:tc>
        <w:tc>
          <w:tcPr>
            <w:tcW w:w="570" w:type="pct"/>
          </w:tcPr>
          <w:p w:rsidR="000E68E4" w:rsidRPr="00AE44FB" w:rsidRDefault="00AE44FB" w:rsidP="000E68E4">
            <w:pPr>
              <w:spacing w:after="0" w:line="240" w:lineRule="auto"/>
              <w:jc w:val="center"/>
              <w:rPr>
                <w:rFonts w:asciiTheme="majorBidi" w:hAnsiTheme="majorBidi" w:cstheme="majorBidi"/>
                <w:sz w:val="20"/>
                <w:szCs w:val="20"/>
              </w:rPr>
            </w:pPr>
            <w:r>
              <w:rPr>
                <w:rFonts w:asciiTheme="majorBidi" w:hAnsiTheme="majorBidi" w:cstheme="majorBidi"/>
                <w:sz w:val="20"/>
                <w:szCs w:val="20"/>
              </w:rPr>
              <w:t>42.28</w:t>
            </w:r>
          </w:p>
        </w:tc>
        <w:tc>
          <w:tcPr>
            <w:tcW w:w="508" w:type="pct"/>
            <w:gridSpan w:val="3"/>
          </w:tcPr>
          <w:p w:rsidR="000E68E4" w:rsidRPr="00AE44FB" w:rsidRDefault="00AE44FB" w:rsidP="000E68E4">
            <w:pPr>
              <w:spacing w:after="0" w:line="240" w:lineRule="auto"/>
              <w:jc w:val="center"/>
              <w:rPr>
                <w:rFonts w:asciiTheme="majorBidi" w:hAnsiTheme="majorBidi" w:cstheme="majorBidi"/>
                <w:sz w:val="20"/>
                <w:szCs w:val="20"/>
              </w:rPr>
            </w:pPr>
            <w:r w:rsidRPr="00AE44FB">
              <w:rPr>
                <w:rFonts w:asciiTheme="majorBidi" w:hAnsiTheme="majorBidi" w:cstheme="majorBidi"/>
                <w:sz w:val="20"/>
                <w:szCs w:val="20"/>
              </w:rPr>
              <w:t>56.10</w:t>
            </w:r>
          </w:p>
        </w:tc>
        <w:tc>
          <w:tcPr>
            <w:tcW w:w="570" w:type="pct"/>
            <w:vMerge w:val="restart"/>
          </w:tcPr>
          <w:p w:rsidR="000E68E4" w:rsidRPr="00AE44FB" w:rsidRDefault="00AE44FB" w:rsidP="000E68E4">
            <w:pPr>
              <w:spacing w:after="0" w:line="240" w:lineRule="auto"/>
              <w:jc w:val="center"/>
              <w:rPr>
                <w:rFonts w:asciiTheme="majorBidi" w:hAnsiTheme="majorBidi" w:cstheme="majorBidi"/>
                <w:sz w:val="20"/>
                <w:szCs w:val="20"/>
              </w:rPr>
            </w:pPr>
            <w:r w:rsidRPr="00AE44FB">
              <w:rPr>
                <w:rFonts w:asciiTheme="majorBidi" w:hAnsiTheme="majorBidi" w:cstheme="majorBidi"/>
                <w:sz w:val="20"/>
                <w:szCs w:val="20"/>
              </w:rPr>
              <w:t>34.08</w:t>
            </w:r>
          </w:p>
        </w:tc>
        <w:tc>
          <w:tcPr>
            <w:tcW w:w="526" w:type="pct"/>
            <w:gridSpan w:val="2"/>
            <w:vMerge w:val="restart"/>
          </w:tcPr>
          <w:p w:rsidR="000E68E4" w:rsidRPr="00AE44FB" w:rsidRDefault="000E68E4" w:rsidP="000E68E4">
            <w:pPr>
              <w:spacing w:after="0" w:line="240" w:lineRule="auto"/>
              <w:jc w:val="center"/>
              <w:rPr>
                <w:rFonts w:asciiTheme="majorBidi" w:hAnsiTheme="majorBidi" w:cstheme="majorBidi"/>
                <w:sz w:val="20"/>
                <w:szCs w:val="20"/>
              </w:rPr>
            </w:pPr>
            <w:r w:rsidRPr="000E68E4">
              <w:rPr>
                <w:rFonts w:asciiTheme="majorBidi" w:hAnsiTheme="majorBidi" w:cstheme="majorBidi"/>
                <w:sz w:val="20"/>
                <w:szCs w:val="20"/>
              </w:rPr>
              <w:t>0.000</w:t>
            </w:r>
          </w:p>
        </w:tc>
        <w:tc>
          <w:tcPr>
            <w:tcW w:w="424" w:type="pct"/>
            <w:vMerge w:val="restart"/>
          </w:tcPr>
          <w:p w:rsidR="000E68E4" w:rsidRPr="000E68E4" w:rsidRDefault="000E68E4" w:rsidP="000E68E4">
            <w:pPr>
              <w:spacing w:after="0" w:line="240" w:lineRule="auto"/>
              <w:jc w:val="center"/>
              <w:rPr>
                <w:rFonts w:asciiTheme="majorBidi" w:hAnsiTheme="majorBidi" w:cstheme="majorBidi"/>
                <w:b/>
                <w:bCs/>
                <w:iCs/>
                <w:sz w:val="20"/>
                <w:szCs w:val="20"/>
              </w:rPr>
            </w:pPr>
            <w:r w:rsidRPr="000E68E4">
              <w:rPr>
                <w:rFonts w:asciiTheme="majorBidi" w:hAnsiTheme="majorBidi" w:cstheme="majorBidi"/>
                <w:sz w:val="20"/>
                <w:szCs w:val="20"/>
              </w:rPr>
              <w:t>***</w:t>
            </w:r>
          </w:p>
        </w:tc>
      </w:tr>
      <w:tr w:rsidR="000E68E4" w:rsidRPr="000E68E4" w:rsidTr="00F15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20"/>
        </w:trPr>
        <w:tc>
          <w:tcPr>
            <w:tcW w:w="824" w:type="pct"/>
            <w:vMerge/>
          </w:tcPr>
          <w:p w:rsidR="000E68E4" w:rsidRPr="000E68E4" w:rsidRDefault="000E68E4" w:rsidP="000E68E4">
            <w:pPr>
              <w:spacing w:after="0" w:line="240" w:lineRule="auto"/>
              <w:jc w:val="center"/>
              <w:rPr>
                <w:rFonts w:asciiTheme="majorBidi" w:hAnsiTheme="majorBidi" w:cstheme="majorBidi"/>
                <w:b/>
                <w:bCs/>
                <w:iCs/>
                <w:sz w:val="20"/>
                <w:szCs w:val="20"/>
              </w:rPr>
            </w:pPr>
          </w:p>
        </w:tc>
        <w:tc>
          <w:tcPr>
            <w:tcW w:w="430" w:type="pct"/>
            <w:vAlign w:val="center"/>
          </w:tcPr>
          <w:p w:rsidR="000E68E4" w:rsidRPr="00D01F8F" w:rsidRDefault="000E68E4" w:rsidP="00F1526F">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0" w:type="pct"/>
          </w:tcPr>
          <w:p w:rsidR="000E68E4" w:rsidRPr="00AE44FB" w:rsidRDefault="00AE44FB" w:rsidP="00AE44FB">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20.59 </w:t>
            </w:r>
          </w:p>
        </w:tc>
        <w:tc>
          <w:tcPr>
            <w:tcW w:w="578" w:type="pct"/>
            <w:gridSpan w:val="2"/>
          </w:tcPr>
          <w:p w:rsidR="000E68E4" w:rsidRPr="00AE44FB" w:rsidRDefault="00AE44FB" w:rsidP="000E68E4">
            <w:pPr>
              <w:spacing w:after="0" w:line="240" w:lineRule="auto"/>
              <w:jc w:val="center"/>
              <w:rPr>
                <w:rFonts w:asciiTheme="majorBidi" w:hAnsiTheme="majorBidi" w:cstheme="majorBidi"/>
                <w:sz w:val="20"/>
                <w:szCs w:val="20"/>
              </w:rPr>
            </w:pPr>
            <w:r w:rsidRPr="00AE44FB">
              <w:rPr>
                <w:rFonts w:asciiTheme="majorBidi" w:hAnsiTheme="majorBidi" w:cstheme="majorBidi"/>
                <w:sz w:val="20"/>
                <w:szCs w:val="20"/>
              </w:rPr>
              <w:t>60.88</w:t>
            </w:r>
          </w:p>
        </w:tc>
        <w:tc>
          <w:tcPr>
            <w:tcW w:w="570" w:type="pct"/>
          </w:tcPr>
          <w:p w:rsidR="000E68E4" w:rsidRPr="00AE44FB" w:rsidRDefault="00AE44FB" w:rsidP="000E68E4">
            <w:pPr>
              <w:spacing w:after="0" w:line="240" w:lineRule="auto"/>
              <w:jc w:val="center"/>
              <w:rPr>
                <w:rFonts w:asciiTheme="majorBidi" w:hAnsiTheme="majorBidi" w:cstheme="majorBidi"/>
                <w:sz w:val="20"/>
                <w:szCs w:val="20"/>
              </w:rPr>
            </w:pPr>
            <w:r>
              <w:rPr>
                <w:rFonts w:asciiTheme="majorBidi" w:hAnsiTheme="majorBidi" w:cstheme="majorBidi"/>
                <w:sz w:val="20"/>
                <w:szCs w:val="20"/>
              </w:rPr>
              <w:t>10.80</w:t>
            </w:r>
          </w:p>
        </w:tc>
        <w:tc>
          <w:tcPr>
            <w:tcW w:w="508" w:type="pct"/>
            <w:gridSpan w:val="3"/>
          </w:tcPr>
          <w:p w:rsidR="000E68E4" w:rsidRPr="00AE44FB" w:rsidRDefault="00AE44FB" w:rsidP="000E68E4">
            <w:pPr>
              <w:spacing w:after="0" w:line="240" w:lineRule="auto"/>
              <w:jc w:val="center"/>
              <w:rPr>
                <w:rFonts w:asciiTheme="majorBidi" w:hAnsiTheme="majorBidi" w:cstheme="majorBidi"/>
                <w:sz w:val="20"/>
                <w:szCs w:val="20"/>
              </w:rPr>
            </w:pPr>
            <w:r w:rsidRPr="00AE44FB">
              <w:rPr>
                <w:rFonts w:asciiTheme="majorBidi" w:hAnsiTheme="majorBidi" w:cstheme="majorBidi"/>
                <w:sz w:val="20"/>
                <w:szCs w:val="20"/>
              </w:rPr>
              <w:t>19.98</w:t>
            </w:r>
          </w:p>
        </w:tc>
        <w:tc>
          <w:tcPr>
            <w:tcW w:w="570" w:type="pct"/>
            <w:vMerge/>
          </w:tcPr>
          <w:p w:rsidR="000E68E4" w:rsidRPr="00AE44FB" w:rsidRDefault="000E68E4" w:rsidP="000E68E4">
            <w:pPr>
              <w:spacing w:after="0" w:line="240" w:lineRule="auto"/>
              <w:jc w:val="center"/>
              <w:rPr>
                <w:rFonts w:asciiTheme="majorBidi" w:hAnsiTheme="majorBidi" w:cstheme="majorBidi"/>
                <w:sz w:val="20"/>
                <w:szCs w:val="20"/>
              </w:rPr>
            </w:pPr>
          </w:p>
        </w:tc>
        <w:tc>
          <w:tcPr>
            <w:tcW w:w="526" w:type="pct"/>
            <w:gridSpan w:val="2"/>
            <w:vMerge/>
          </w:tcPr>
          <w:p w:rsidR="000E68E4" w:rsidRPr="00AE44FB" w:rsidRDefault="000E68E4" w:rsidP="000E68E4">
            <w:pPr>
              <w:spacing w:after="0" w:line="240" w:lineRule="auto"/>
              <w:jc w:val="center"/>
              <w:rPr>
                <w:rFonts w:asciiTheme="majorBidi" w:hAnsiTheme="majorBidi" w:cstheme="majorBidi"/>
                <w:sz w:val="20"/>
                <w:szCs w:val="20"/>
              </w:rPr>
            </w:pPr>
          </w:p>
        </w:tc>
        <w:tc>
          <w:tcPr>
            <w:tcW w:w="424" w:type="pct"/>
            <w:vMerge/>
          </w:tcPr>
          <w:p w:rsidR="000E68E4" w:rsidRPr="000E68E4" w:rsidRDefault="000E68E4" w:rsidP="000E68E4">
            <w:pPr>
              <w:spacing w:after="0" w:line="240" w:lineRule="auto"/>
              <w:jc w:val="center"/>
              <w:rPr>
                <w:rFonts w:asciiTheme="majorBidi" w:hAnsiTheme="majorBidi" w:cstheme="majorBidi"/>
                <w:b/>
                <w:bCs/>
                <w:iCs/>
                <w:sz w:val="20"/>
                <w:szCs w:val="20"/>
              </w:rPr>
            </w:pPr>
          </w:p>
        </w:tc>
      </w:tr>
      <w:tr w:rsidR="000E68E4" w:rsidRPr="000E68E4" w:rsidTr="00F15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79"/>
        </w:trPr>
        <w:tc>
          <w:tcPr>
            <w:tcW w:w="824" w:type="pct"/>
            <w:vMerge/>
          </w:tcPr>
          <w:p w:rsidR="000E68E4" w:rsidRPr="000E68E4" w:rsidRDefault="000E68E4" w:rsidP="000E68E4">
            <w:pPr>
              <w:spacing w:after="0" w:line="240" w:lineRule="auto"/>
              <w:jc w:val="center"/>
              <w:rPr>
                <w:rFonts w:asciiTheme="majorBidi" w:hAnsiTheme="majorBidi" w:cstheme="majorBidi"/>
                <w:b/>
                <w:bCs/>
                <w:iCs/>
                <w:sz w:val="20"/>
                <w:szCs w:val="20"/>
              </w:rPr>
            </w:pPr>
          </w:p>
        </w:tc>
        <w:tc>
          <w:tcPr>
            <w:tcW w:w="430" w:type="pct"/>
            <w:vAlign w:val="center"/>
          </w:tcPr>
          <w:p w:rsidR="000E68E4" w:rsidRPr="00D01F8F" w:rsidRDefault="000E68E4" w:rsidP="00F1526F">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0" w:type="pct"/>
          </w:tcPr>
          <w:p w:rsidR="000E68E4" w:rsidRPr="00AE44FB" w:rsidRDefault="00AE44FB" w:rsidP="000E68E4">
            <w:pPr>
              <w:spacing w:after="0" w:line="240" w:lineRule="auto"/>
              <w:jc w:val="center"/>
              <w:rPr>
                <w:rFonts w:asciiTheme="majorBidi" w:hAnsiTheme="majorBidi" w:cstheme="majorBidi"/>
                <w:sz w:val="20"/>
                <w:szCs w:val="20"/>
              </w:rPr>
            </w:pPr>
            <w:r w:rsidRPr="00AE44FB">
              <w:rPr>
                <w:rFonts w:asciiTheme="majorBidi" w:hAnsiTheme="majorBidi" w:cstheme="majorBidi"/>
                <w:sz w:val="20"/>
                <w:szCs w:val="20"/>
              </w:rPr>
              <w:t>a</w:t>
            </w:r>
          </w:p>
        </w:tc>
        <w:tc>
          <w:tcPr>
            <w:tcW w:w="578" w:type="pct"/>
            <w:gridSpan w:val="2"/>
          </w:tcPr>
          <w:p w:rsidR="000E68E4" w:rsidRPr="00AE44FB" w:rsidRDefault="00AE44FB" w:rsidP="000E68E4">
            <w:pPr>
              <w:spacing w:after="0" w:line="240" w:lineRule="auto"/>
              <w:jc w:val="center"/>
              <w:rPr>
                <w:rFonts w:asciiTheme="majorBidi" w:hAnsiTheme="majorBidi" w:cstheme="majorBidi"/>
                <w:sz w:val="20"/>
                <w:szCs w:val="20"/>
              </w:rPr>
            </w:pPr>
            <w:r w:rsidRPr="00AE44FB">
              <w:rPr>
                <w:rFonts w:asciiTheme="majorBidi" w:hAnsiTheme="majorBidi" w:cstheme="majorBidi"/>
                <w:sz w:val="20"/>
                <w:szCs w:val="20"/>
              </w:rPr>
              <w:t>a</w:t>
            </w:r>
          </w:p>
        </w:tc>
        <w:tc>
          <w:tcPr>
            <w:tcW w:w="570" w:type="pct"/>
          </w:tcPr>
          <w:p w:rsidR="000E68E4" w:rsidRPr="00AE44FB" w:rsidRDefault="00AE44FB" w:rsidP="000E68E4">
            <w:pPr>
              <w:spacing w:after="0" w:line="240" w:lineRule="auto"/>
              <w:jc w:val="center"/>
              <w:rPr>
                <w:rFonts w:asciiTheme="majorBidi" w:hAnsiTheme="majorBidi" w:cstheme="majorBidi"/>
                <w:sz w:val="20"/>
                <w:szCs w:val="20"/>
              </w:rPr>
            </w:pPr>
            <w:r w:rsidRPr="00AE44FB">
              <w:rPr>
                <w:rFonts w:asciiTheme="majorBidi" w:hAnsiTheme="majorBidi" w:cstheme="majorBidi"/>
                <w:sz w:val="20"/>
                <w:szCs w:val="20"/>
              </w:rPr>
              <w:t>c</w:t>
            </w:r>
          </w:p>
        </w:tc>
        <w:tc>
          <w:tcPr>
            <w:tcW w:w="508" w:type="pct"/>
            <w:gridSpan w:val="3"/>
          </w:tcPr>
          <w:p w:rsidR="000E68E4" w:rsidRPr="00AE44FB" w:rsidRDefault="00AE44FB" w:rsidP="000E68E4">
            <w:pPr>
              <w:spacing w:after="0" w:line="240" w:lineRule="auto"/>
              <w:jc w:val="center"/>
              <w:rPr>
                <w:rFonts w:asciiTheme="majorBidi" w:hAnsiTheme="majorBidi" w:cstheme="majorBidi"/>
                <w:sz w:val="20"/>
                <w:szCs w:val="20"/>
              </w:rPr>
            </w:pPr>
            <w:r w:rsidRPr="00AE44FB">
              <w:rPr>
                <w:rFonts w:asciiTheme="majorBidi" w:hAnsiTheme="majorBidi" w:cstheme="majorBidi"/>
                <w:sz w:val="20"/>
                <w:szCs w:val="20"/>
              </w:rPr>
              <w:t>c</w:t>
            </w:r>
          </w:p>
        </w:tc>
        <w:tc>
          <w:tcPr>
            <w:tcW w:w="570" w:type="pct"/>
            <w:vMerge/>
          </w:tcPr>
          <w:p w:rsidR="000E68E4" w:rsidRPr="000E68E4" w:rsidRDefault="000E68E4" w:rsidP="000E68E4">
            <w:pPr>
              <w:spacing w:after="0" w:line="240" w:lineRule="auto"/>
              <w:jc w:val="center"/>
              <w:rPr>
                <w:rFonts w:asciiTheme="majorBidi" w:hAnsiTheme="majorBidi" w:cstheme="majorBidi"/>
                <w:b/>
                <w:bCs/>
                <w:iCs/>
                <w:sz w:val="20"/>
                <w:szCs w:val="20"/>
              </w:rPr>
            </w:pPr>
          </w:p>
        </w:tc>
        <w:tc>
          <w:tcPr>
            <w:tcW w:w="526" w:type="pct"/>
            <w:gridSpan w:val="2"/>
            <w:vMerge/>
          </w:tcPr>
          <w:p w:rsidR="000E68E4" w:rsidRPr="000E68E4" w:rsidRDefault="000E68E4" w:rsidP="000E68E4">
            <w:pPr>
              <w:spacing w:after="0" w:line="240" w:lineRule="auto"/>
              <w:jc w:val="center"/>
              <w:rPr>
                <w:rFonts w:asciiTheme="majorBidi" w:hAnsiTheme="majorBidi" w:cstheme="majorBidi"/>
                <w:b/>
                <w:bCs/>
                <w:iCs/>
                <w:sz w:val="20"/>
                <w:szCs w:val="20"/>
              </w:rPr>
            </w:pPr>
          </w:p>
        </w:tc>
        <w:tc>
          <w:tcPr>
            <w:tcW w:w="424" w:type="pct"/>
            <w:vMerge/>
          </w:tcPr>
          <w:p w:rsidR="000E68E4" w:rsidRPr="000E68E4" w:rsidRDefault="000E68E4" w:rsidP="000E68E4">
            <w:pPr>
              <w:spacing w:after="0" w:line="240" w:lineRule="auto"/>
              <w:jc w:val="center"/>
              <w:rPr>
                <w:rFonts w:asciiTheme="majorBidi" w:hAnsiTheme="majorBidi" w:cstheme="majorBidi"/>
                <w:b/>
                <w:bCs/>
                <w:iCs/>
                <w:sz w:val="20"/>
                <w:szCs w:val="20"/>
              </w:rPr>
            </w:pPr>
          </w:p>
        </w:tc>
      </w:tr>
    </w:tbl>
    <w:p w:rsidR="000E68E4" w:rsidRPr="000E68E4" w:rsidRDefault="000E68E4" w:rsidP="000E68E4">
      <w:pPr>
        <w:spacing w:after="0" w:line="240" w:lineRule="auto"/>
        <w:jc w:val="center"/>
        <w:rPr>
          <w:rFonts w:asciiTheme="majorBidi" w:hAnsiTheme="majorBidi" w:cstheme="majorBidi"/>
          <w:b/>
          <w:bCs/>
          <w:iCs/>
          <w:sz w:val="20"/>
          <w:szCs w:val="20"/>
        </w:rPr>
      </w:pPr>
    </w:p>
    <w:p w:rsidR="00CC29E3" w:rsidRPr="00D01F8F" w:rsidRDefault="00CC29E3" w:rsidP="000E68E4">
      <w:pPr>
        <w:spacing w:after="0" w:line="240" w:lineRule="auto"/>
        <w:jc w:val="center"/>
        <w:rPr>
          <w:rFonts w:asciiTheme="majorBidi" w:hAnsiTheme="majorBidi" w:cstheme="majorBidi"/>
          <w:b/>
          <w:iCs/>
          <w:sz w:val="24"/>
          <w:szCs w:val="24"/>
        </w:rPr>
      </w:pPr>
      <w:r w:rsidRPr="000E68E4">
        <w:rPr>
          <w:rFonts w:asciiTheme="majorBidi" w:hAnsiTheme="majorBidi" w:cstheme="majorBidi"/>
          <w:b/>
          <w:bCs/>
          <w:iCs/>
          <w:sz w:val="20"/>
          <w:szCs w:val="20"/>
        </w:rPr>
        <w:br w:type="page"/>
      </w:r>
      <w:r w:rsidRPr="00D01F8F">
        <w:rPr>
          <w:rFonts w:asciiTheme="majorBidi" w:hAnsiTheme="majorBidi" w:cstheme="majorBidi"/>
          <w:b/>
          <w:iCs/>
          <w:sz w:val="24"/>
          <w:szCs w:val="24"/>
        </w:rPr>
        <w:lastRenderedPageBreak/>
        <w:t>Annexe 6 (suite): Analyse de la variance carthame (</w:t>
      </w:r>
      <w:r w:rsidRPr="00D01F8F">
        <w:rPr>
          <w:rFonts w:asciiTheme="majorBidi" w:hAnsiTheme="majorBidi" w:cstheme="majorBidi"/>
          <w:b/>
          <w:i/>
          <w:sz w:val="24"/>
          <w:szCs w:val="24"/>
        </w:rPr>
        <w:t>Carthamus tinctorius</w:t>
      </w:r>
      <w:r w:rsidRPr="00D01F8F">
        <w:rPr>
          <w:rFonts w:asciiTheme="majorBidi" w:hAnsiTheme="majorBidi" w:cstheme="majorBidi"/>
          <w:b/>
          <w:iCs/>
          <w:sz w:val="24"/>
          <w:szCs w:val="24"/>
        </w:rPr>
        <w:t xml:space="preserve"> 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2"/>
        <w:gridCol w:w="878"/>
        <w:gridCol w:w="1032"/>
        <w:gridCol w:w="1178"/>
        <w:gridCol w:w="1178"/>
        <w:gridCol w:w="1034"/>
        <w:gridCol w:w="1188"/>
        <w:gridCol w:w="1073"/>
        <w:gridCol w:w="886"/>
      </w:tblGrid>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PC</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4,11</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3,98</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2,81</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3,76</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0,93</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0,99</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0,98</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0,78</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0,94</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PGRSC</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2,07</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2,12</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1,58</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1,92</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1,480</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0,184</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0,74</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0,67</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0,60</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2,72</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P1000</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47,83</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46,47</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49,89</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49,04</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0,367</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0,108</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0,116</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0,410</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0,59</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RPF</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0,25</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0,04</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0,171</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RPG</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3,68</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3,54</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4,18</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2,63</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0,85</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0,127</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0,92</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0,46</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1,26</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0,49</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bl>
    <w:p w:rsidR="00CC29E3" w:rsidRPr="00D01F8F" w:rsidRDefault="00CC29E3" w:rsidP="00CC29E3">
      <w:pPr>
        <w:spacing w:line="240" w:lineRule="auto"/>
        <w:rPr>
          <w:rFonts w:asciiTheme="majorBidi" w:hAnsiTheme="majorBidi" w:cstheme="majorBidi"/>
          <w:b/>
          <w:bCs/>
          <w:i/>
          <w:sz w:val="20"/>
          <w:szCs w:val="20"/>
        </w:rPr>
      </w:pPr>
    </w:p>
    <w:p w:rsidR="00CC29E3" w:rsidRPr="00D01F8F" w:rsidRDefault="00CC29E3" w:rsidP="00CC29E3">
      <w:pPr>
        <w:spacing w:line="240" w:lineRule="auto"/>
        <w:rPr>
          <w:rFonts w:asciiTheme="majorBidi" w:hAnsiTheme="majorBidi" w:cstheme="majorBidi"/>
          <w:b/>
          <w:iCs/>
          <w:sz w:val="24"/>
          <w:szCs w:val="24"/>
        </w:rPr>
      </w:pPr>
      <w:r w:rsidRPr="00D01F8F">
        <w:rPr>
          <w:rFonts w:asciiTheme="majorBidi" w:hAnsiTheme="majorBidi" w:cstheme="majorBidi"/>
          <w:b/>
          <w:bCs/>
          <w:iCs/>
          <w:sz w:val="24"/>
          <w:szCs w:val="24"/>
        </w:rPr>
        <w:t xml:space="preserve">Annexe 7: Matrice de corrélation Carthame </w:t>
      </w:r>
      <w:r w:rsidRPr="00D01F8F">
        <w:rPr>
          <w:rFonts w:asciiTheme="majorBidi" w:hAnsiTheme="majorBidi" w:cstheme="majorBidi"/>
          <w:b/>
          <w:iCs/>
          <w:sz w:val="24"/>
          <w:szCs w:val="24"/>
        </w:rPr>
        <w:t>(</w:t>
      </w:r>
      <w:r w:rsidRPr="00D01F8F">
        <w:rPr>
          <w:rFonts w:asciiTheme="majorBidi" w:hAnsiTheme="majorBidi" w:cstheme="majorBidi"/>
          <w:b/>
          <w:i/>
          <w:sz w:val="24"/>
          <w:szCs w:val="24"/>
        </w:rPr>
        <w:t>Carthamus tinctorius</w:t>
      </w:r>
      <w:r w:rsidRPr="00D01F8F">
        <w:rPr>
          <w:rFonts w:asciiTheme="majorBidi" w:hAnsiTheme="majorBidi" w:cstheme="majorBidi"/>
          <w:b/>
          <w:iCs/>
          <w:sz w:val="24"/>
          <w:szCs w:val="24"/>
        </w:rPr>
        <w:t xml:space="preserve"> L.)</w:t>
      </w:r>
    </w:p>
    <w:p w:rsidR="00CC29E3" w:rsidRPr="00D01F8F" w:rsidRDefault="00CC29E3" w:rsidP="00CC29E3">
      <w:pPr>
        <w:tabs>
          <w:tab w:val="left" w:pos="8240"/>
        </w:tabs>
        <w:spacing w:after="120" w:line="240" w:lineRule="auto"/>
        <w:rPr>
          <w:rFonts w:asciiTheme="majorBidi" w:hAnsiTheme="majorBidi" w:cstheme="majorBidi"/>
          <w:bCs/>
          <w:color w:val="000000"/>
          <w:sz w:val="24"/>
          <w:szCs w:val="24"/>
        </w:rPr>
      </w:pPr>
      <w:r w:rsidRPr="00D01F8F">
        <w:rPr>
          <w:rFonts w:asciiTheme="majorBidi" w:hAnsiTheme="majorBidi" w:cstheme="majorBidi"/>
          <w:bCs/>
          <w:color w:val="000000"/>
          <w:sz w:val="24"/>
          <w:szCs w:val="24"/>
        </w:rPr>
        <w:t xml:space="preserve">Les corrélations </w:t>
      </w:r>
      <w:r w:rsidRPr="00D01F8F">
        <w:rPr>
          <w:rFonts w:asciiTheme="majorBidi" w:hAnsiTheme="majorBidi" w:cstheme="majorBidi"/>
          <w:iCs/>
          <w:color w:val="000000"/>
          <w:sz w:val="24"/>
          <w:szCs w:val="24"/>
        </w:rPr>
        <w:t>en gras et en italic</w:t>
      </w:r>
      <w:r w:rsidRPr="00D01F8F">
        <w:rPr>
          <w:rFonts w:asciiTheme="majorBidi" w:hAnsiTheme="majorBidi" w:cstheme="majorBidi"/>
          <w:color w:val="000000"/>
          <w:sz w:val="24"/>
          <w:szCs w:val="24"/>
        </w:rPr>
        <w:t xml:space="preserve"> sont</w:t>
      </w:r>
      <w:r w:rsidRPr="00D01F8F">
        <w:rPr>
          <w:rFonts w:asciiTheme="majorBidi" w:hAnsiTheme="majorBidi" w:cstheme="majorBidi"/>
          <w:bCs/>
          <w:color w:val="000000"/>
          <w:sz w:val="24"/>
          <w:szCs w:val="24"/>
        </w:rPr>
        <w:t xml:space="preserve"> significatives à p &lt; 0,05 (DDL=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66"/>
        <w:gridCol w:w="832"/>
        <w:gridCol w:w="807"/>
        <w:gridCol w:w="807"/>
        <w:gridCol w:w="773"/>
        <w:gridCol w:w="801"/>
        <w:gridCol w:w="833"/>
        <w:gridCol w:w="842"/>
        <w:gridCol w:w="775"/>
        <w:gridCol w:w="801"/>
        <w:gridCol w:w="801"/>
        <w:gridCol w:w="801"/>
      </w:tblGrid>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VGJ</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CG</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 xml:space="preserve">VG   </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L</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PL</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PGL</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VCH</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R</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FR</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BF</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DF</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VGJ</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CG</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VG</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L</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-0,10</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PL</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-0,04</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0,95</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PGL</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0,34</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0,46</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0,70</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VCH</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-0,60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-0,92</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-0,06</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-0,01</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-0,10</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R</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0,20</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0,94</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0,87</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0,42</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-0,39</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FR</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-0,24</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w:t>
            </w:r>
            <w:r w:rsidRPr="00D01F8F">
              <w:rPr>
                <w:rFonts w:asciiTheme="majorBidi" w:hAnsiTheme="majorBidi" w:cstheme="majorBidi"/>
                <w:b/>
                <w:i/>
                <w:sz w:val="20"/>
                <w:szCs w:val="20"/>
              </w:rPr>
              <w:t>0,53</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-0,28</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0,27</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0,60</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BF</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w:t>
            </w:r>
            <w:r w:rsidRPr="00D01F8F">
              <w:rPr>
                <w:rFonts w:asciiTheme="majorBidi" w:hAnsiTheme="majorBidi" w:cstheme="majorBidi"/>
                <w:b/>
                <w:i/>
                <w:sz w:val="20"/>
                <w:szCs w:val="20"/>
              </w:rPr>
              <w:t>0,69</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0,48</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0,60</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0,44</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0,79</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DF</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-0,78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-0,79</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-0,14</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-0,75</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0,50</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-0,05</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0,19</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PF</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-0,68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-0,95</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0,01</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-0,15</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-0,35</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0,78</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0,58</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FF</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-0,77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-0,79</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0,13</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-0,57</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0,47</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0,33</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0,96</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M</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-0,81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-0,99</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0,18</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-0,18</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0,93</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0,28</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0,80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0,70</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ETF</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0,88</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0,02</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0,05</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0,43</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-0,66</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-0,79</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-0,44</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NBRP</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0,87</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-0,55</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-0,52</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-0,07</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-0,79</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-0,24</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-0,09</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-0,90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-0,59</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NCP</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0,92</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-0,13</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0,02</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-0,99</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-0,54</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-0,85</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-0,50</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NCB</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0,87</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0,03</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0,04</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-0,99</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0,44</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-0,68</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-0,78</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-0,41</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PCP</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0,51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0,50</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-0,55</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-0,71</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-0,65</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-0,64</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0,03</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PFP</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0,08</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-0,08</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-0,64</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-0,46</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0,39</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-0,54</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0,53</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LC</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0,85</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-0,53</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-0,55</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-0,17</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w:t>
            </w:r>
            <w:r w:rsidRPr="00D01F8F">
              <w:rPr>
                <w:rFonts w:asciiTheme="majorBidi" w:hAnsiTheme="majorBidi" w:cstheme="majorBidi"/>
                <w:b/>
                <w:i/>
                <w:sz w:val="20"/>
                <w:szCs w:val="20"/>
              </w:rPr>
              <w:t>0,81</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-0,19</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-0,94</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-0,50</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DC</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-0,84</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0,13</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0,11</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0,98</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0,34</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NGRSC</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-0,54</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-0,74</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-0,66</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-0,37</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0,72</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0,79</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0,25</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NGRMC</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-0,79</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-0,45</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-0,39</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-0,30</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0,92</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0,44</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NGRE</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-0,64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-0,93</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0,16</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-0,01</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0,98</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0,51</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NTGRC</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-0,71</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-0,56</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-0,48</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-0,30</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0,86</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0,78</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0,36</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PC</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-0,85</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-0,11</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-0,08</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0,99</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0,73</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0,40</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PGRS</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-0,38</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-0,79</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-0,66</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-0,23</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0,63</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-0,95</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0,15</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0,05</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P1000</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0,62</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0,71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0,69</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0,53</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-0,73</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0,89</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-0,65</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-0,16</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-0,43</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RPF</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0,99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0,88</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-0,08</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0,12</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0,69</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-0,63</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0,11</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-0,99</w:t>
            </w:r>
          </w:p>
        </w:tc>
      </w:tr>
      <w:tr w:rsidR="00CC29E3" w:rsidRPr="00D01F8F" w:rsidTr="008514DE">
        <w:trPr>
          <w:trHeight w:val="227"/>
        </w:trPr>
        <w:tc>
          <w:tcPr>
            <w:tcW w:w="62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sz w:val="20"/>
                <w:szCs w:val="20"/>
              </w:rPr>
              <w:t>RPG</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0,84</w:t>
            </w:r>
          </w:p>
        </w:tc>
        <w:tc>
          <w:tcPr>
            <w:tcW w:w="3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-0,62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-0,50</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0,13</w:t>
            </w:r>
          </w:p>
        </w:tc>
        <w:tc>
          <w:tcPr>
            <w:tcW w:w="41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-0,63</w:t>
            </w:r>
          </w:p>
        </w:tc>
        <w:tc>
          <w:tcPr>
            <w:tcW w:w="38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-0,37</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0,20</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-0,72</w:t>
            </w:r>
          </w:p>
        </w:tc>
        <w:tc>
          <w:tcPr>
            <w:tcW w:w="39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-0,75</w:t>
            </w:r>
          </w:p>
        </w:tc>
      </w:tr>
    </w:tbl>
    <w:p w:rsidR="00CC29E3" w:rsidRPr="00D01F8F" w:rsidRDefault="00CC29E3" w:rsidP="00CC29E3">
      <w:pPr>
        <w:spacing w:after="0" w:line="240" w:lineRule="auto"/>
        <w:rPr>
          <w:rFonts w:asciiTheme="majorBidi" w:hAnsiTheme="majorBidi" w:cstheme="majorBidi"/>
          <w:bCs/>
          <w:color w:val="FF0000"/>
          <w:sz w:val="20"/>
          <w:szCs w:val="20"/>
          <w:highlight w:val="yellow"/>
        </w:rPr>
      </w:pPr>
    </w:p>
    <w:p w:rsidR="00CC29E3" w:rsidRPr="00D01F8F" w:rsidRDefault="00CC29E3" w:rsidP="00CC29E3">
      <w:pPr>
        <w:spacing w:after="0" w:line="240" w:lineRule="auto"/>
        <w:rPr>
          <w:rFonts w:asciiTheme="majorBidi" w:hAnsiTheme="majorBidi" w:cstheme="majorBidi"/>
          <w:bCs/>
          <w:color w:val="FF0000"/>
          <w:sz w:val="20"/>
          <w:szCs w:val="20"/>
        </w:rPr>
      </w:pPr>
    </w:p>
    <w:p w:rsidR="00CC29E3" w:rsidRPr="00D01F8F" w:rsidRDefault="00CC29E3" w:rsidP="00CC29E3">
      <w:pPr>
        <w:spacing w:after="0" w:line="240" w:lineRule="auto"/>
        <w:rPr>
          <w:rFonts w:asciiTheme="majorBidi" w:hAnsiTheme="majorBidi" w:cstheme="majorBidi"/>
          <w:bCs/>
          <w:color w:val="FF0000"/>
          <w:sz w:val="20"/>
          <w:szCs w:val="20"/>
        </w:rPr>
      </w:pPr>
    </w:p>
    <w:p w:rsidR="00CC29E3" w:rsidRPr="00D01F8F" w:rsidRDefault="00CC29E3" w:rsidP="00CC29E3">
      <w:pPr>
        <w:spacing w:after="0" w:line="240" w:lineRule="auto"/>
        <w:rPr>
          <w:rFonts w:asciiTheme="majorBidi" w:hAnsiTheme="majorBidi" w:cstheme="majorBidi"/>
          <w:bCs/>
          <w:color w:val="FF0000"/>
          <w:sz w:val="20"/>
          <w:szCs w:val="20"/>
        </w:rPr>
      </w:pPr>
    </w:p>
    <w:p w:rsidR="00CC29E3" w:rsidRPr="00D01F8F" w:rsidRDefault="00CC29E3" w:rsidP="00CC29E3">
      <w:pPr>
        <w:spacing w:after="0" w:line="240" w:lineRule="auto"/>
        <w:rPr>
          <w:rFonts w:asciiTheme="majorBidi" w:hAnsiTheme="majorBidi" w:cstheme="majorBidi"/>
          <w:bCs/>
          <w:color w:val="FF0000"/>
          <w:sz w:val="20"/>
          <w:szCs w:val="20"/>
        </w:rPr>
      </w:pPr>
    </w:p>
    <w:p w:rsidR="00CC29E3" w:rsidRPr="00D01F8F" w:rsidRDefault="00CC29E3" w:rsidP="00CC29E3">
      <w:pPr>
        <w:spacing w:after="0" w:line="240" w:lineRule="auto"/>
        <w:rPr>
          <w:rFonts w:asciiTheme="majorBidi" w:hAnsiTheme="majorBidi" w:cstheme="majorBidi"/>
          <w:bCs/>
          <w:color w:val="FF0000"/>
          <w:sz w:val="20"/>
          <w:szCs w:val="20"/>
        </w:rPr>
      </w:pPr>
    </w:p>
    <w:p w:rsidR="00CC29E3" w:rsidRPr="00D01F8F" w:rsidRDefault="00CC29E3" w:rsidP="00CC29E3">
      <w:pPr>
        <w:spacing w:after="0" w:line="240" w:lineRule="auto"/>
        <w:rPr>
          <w:rFonts w:asciiTheme="majorBidi" w:hAnsiTheme="majorBidi" w:cstheme="majorBidi"/>
          <w:bCs/>
          <w:color w:val="FF0000"/>
          <w:sz w:val="20"/>
          <w:szCs w:val="20"/>
        </w:rPr>
      </w:pPr>
    </w:p>
    <w:p w:rsidR="00CC29E3" w:rsidRDefault="00CC29E3" w:rsidP="00CC29E3">
      <w:pPr>
        <w:spacing w:after="0" w:line="240" w:lineRule="auto"/>
        <w:rPr>
          <w:rFonts w:asciiTheme="majorBidi" w:hAnsiTheme="majorBidi" w:cstheme="majorBidi"/>
          <w:bCs/>
          <w:iCs/>
          <w:color w:val="FF0000"/>
          <w:sz w:val="24"/>
          <w:szCs w:val="24"/>
        </w:rPr>
      </w:pPr>
    </w:p>
    <w:p w:rsidR="00D40FB3" w:rsidRPr="00D01F8F" w:rsidRDefault="00D40FB3" w:rsidP="00CC29E3">
      <w:pPr>
        <w:spacing w:after="0" w:line="240" w:lineRule="auto"/>
        <w:rPr>
          <w:rFonts w:asciiTheme="majorBidi" w:hAnsiTheme="majorBidi" w:cstheme="majorBidi"/>
          <w:bCs/>
          <w:iCs/>
          <w:color w:val="FF0000"/>
          <w:sz w:val="24"/>
          <w:szCs w:val="24"/>
        </w:rPr>
      </w:pPr>
    </w:p>
    <w:p w:rsidR="00CC29E3" w:rsidRPr="00D01F8F" w:rsidRDefault="00CC29E3" w:rsidP="00CC29E3">
      <w:pPr>
        <w:jc w:val="both"/>
        <w:rPr>
          <w:rFonts w:asciiTheme="majorBidi" w:hAnsiTheme="majorBidi" w:cstheme="majorBidi"/>
          <w:b/>
          <w:iCs/>
          <w:sz w:val="24"/>
          <w:szCs w:val="24"/>
        </w:rPr>
      </w:pPr>
      <w:r w:rsidRPr="00D01F8F">
        <w:rPr>
          <w:rFonts w:asciiTheme="majorBidi" w:hAnsiTheme="majorBidi" w:cstheme="majorBidi"/>
          <w:b/>
          <w:bCs/>
          <w:iCs/>
          <w:sz w:val="24"/>
          <w:szCs w:val="24"/>
        </w:rPr>
        <w:lastRenderedPageBreak/>
        <w:t xml:space="preserve">Annexe 7 (suite): Matrice de corrélation Carthame </w:t>
      </w:r>
      <w:r w:rsidRPr="00D01F8F">
        <w:rPr>
          <w:rFonts w:asciiTheme="majorBidi" w:hAnsiTheme="majorBidi" w:cstheme="majorBidi"/>
          <w:b/>
          <w:iCs/>
          <w:sz w:val="24"/>
          <w:szCs w:val="24"/>
        </w:rPr>
        <w:t>(</w:t>
      </w:r>
      <w:r w:rsidRPr="00D01F8F">
        <w:rPr>
          <w:rFonts w:asciiTheme="majorBidi" w:hAnsiTheme="majorBidi" w:cstheme="majorBidi"/>
          <w:b/>
          <w:i/>
          <w:sz w:val="24"/>
          <w:szCs w:val="24"/>
        </w:rPr>
        <w:t>Carthamus tinctorius</w:t>
      </w:r>
      <w:r w:rsidRPr="00D01F8F">
        <w:rPr>
          <w:rFonts w:asciiTheme="majorBidi" w:hAnsiTheme="majorBidi" w:cstheme="majorBidi"/>
          <w:b/>
          <w:iCs/>
          <w:sz w:val="24"/>
          <w:szCs w:val="24"/>
        </w:rPr>
        <w:t xml:space="preserve"> L.)</w:t>
      </w:r>
    </w:p>
    <w:p w:rsidR="00CC29E3" w:rsidRPr="00D01F8F" w:rsidRDefault="00CC29E3" w:rsidP="00CC29E3">
      <w:pPr>
        <w:tabs>
          <w:tab w:val="left" w:pos="8240"/>
        </w:tabs>
        <w:spacing w:after="120" w:line="240" w:lineRule="auto"/>
        <w:rPr>
          <w:rFonts w:asciiTheme="majorBidi" w:hAnsiTheme="majorBidi" w:cstheme="majorBidi"/>
          <w:bCs/>
          <w:color w:val="000000"/>
          <w:sz w:val="24"/>
          <w:szCs w:val="24"/>
        </w:rPr>
      </w:pPr>
      <w:r w:rsidRPr="00D01F8F">
        <w:rPr>
          <w:rFonts w:asciiTheme="majorBidi" w:hAnsiTheme="majorBidi" w:cstheme="majorBidi"/>
          <w:bCs/>
          <w:color w:val="000000"/>
          <w:sz w:val="24"/>
          <w:szCs w:val="24"/>
        </w:rPr>
        <w:t xml:space="preserve">Les corrélations </w:t>
      </w:r>
      <w:r w:rsidRPr="00D01F8F">
        <w:rPr>
          <w:rFonts w:asciiTheme="majorBidi" w:hAnsiTheme="majorBidi" w:cstheme="majorBidi"/>
          <w:iCs/>
          <w:color w:val="000000"/>
          <w:sz w:val="24"/>
          <w:szCs w:val="24"/>
        </w:rPr>
        <w:t>en gras et en italic</w:t>
      </w:r>
      <w:r w:rsidRPr="00D01F8F">
        <w:rPr>
          <w:rFonts w:asciiTheme="majorBidi" w:hAnsiTheme="majorBidi" w:cstheme="majorBidi"/>
          <w:color w:val="000000"/>
          <w:sz w:val="24"/>
          <w:szCs w:val="24"/>
        </w:rPr>
        <w:t xml:space="preserve"> sont</w:t>
      </w:r>
      <w:r w:rsidRPr="00D01F8F">
        <w:rPr>
          <w:rFonts w:asciiTheme="majorBidi" w:hAnsiTheme="majorBidi" w:cstheme="majorBidi"/>
          <w:bCs/>
          <w:color w:val="000000"/>
          <w:sz w:val="24"/>
          <w:szCs w:val="24"/>
        </w:rPr>
        <w:t xml:space="preserve"> significatives à p &lt; 0,05 (DDL= 2).</w:t>
      </w:r>
    </w:p>
    <w:tbl>
      <w:tblPr>
        <w:tblW w:w="9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0"/>
        <w:gridCol w:w="727"/>
        <w:gridCol w:w="731"/>
        <w:gridCol w:w="731"/>
        <w:gridCol w:w="737"/>
        <w:gridCol w:w="843"/>
        <w:gridCol w:w="729"/>
        <w:gridCol w:w="743"/>
        <w:gridCol w:w="737"/>
        <w:gridCol w:w="731"/>
        <w:gridCol w:w="737"/>
        <w:gridCol w:w="675"/>
      </w:tblGrid>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PF</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FF</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ETF</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NBRP</w:t>
            </w: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NCP</w:t>
            </w: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NCB</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PCP</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PFP</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LC</w:t>
            </w: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DC</w:t>
            </w:r>
          </w:p>
        </w:tc>
      </w:tr>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PF</w:t>
            </w: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FF</w:t>
            </w: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0,56</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1,00</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0,96</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0,73</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ETF</w:t>
            </w: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-0,99</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-0,40</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-0,91</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NBRP</w:t>
            </w: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-0,83</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-0,72</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-0,93</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0,76</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1,00</w:t>
            </w: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NCP</w:t>
            </w: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-0,99</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-0,51</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-0,96</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0,98</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0,86</w:t>
            </w: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NCB</w:t>
            </w: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-0,98</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-0,38</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-0,89</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0,74</w:t>
            </w: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0,98</w:t>
            </w: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PCP</w:t>
            </w: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-0,62</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-0,14</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-0,64</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0,65</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0,79</w:t>
            </w: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0,72</w:t>
            </w: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0,65</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PFP</w:t>
            </w: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-0,38</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0,54</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-0,18</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0,53</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0,14</w:t>
            </w: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0,45</w:t>
            </w: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0,55</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0,62</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LC</w:t>
            </w: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-0,83</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-0,63</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-0,92</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0,79</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0,99</w:t>
            </w: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0,88</w:t>
            </w: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0,77</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0,85</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0,25</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0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DC</w:t>
            </w:r>
          </w:p>
        </w:tc>
        <w:tc>
          <w:tcPr>
            <w:tcW w:w="72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0,96</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0,35</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0,89</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-0,99</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-0,80</w:t>
            </w:r>
          </w:p>
        </w:tc>
        <w:tc>
          <w:tcPr>
            <w:tcW w:w="729"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-0,98</w:t>
            </w:r>
          </w:p>
        </w:tc>
        <w:tc>
          <w:tcPr>
            <w:tcW w:w="7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-0,99</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-0,77</w:t>
            </w:r>
          </w:p>
        </w:tc>
        <w:tc>
          <w:tcPr>
            <w:tcW w:w="731"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-0,60</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-0,84</w:t>
            </w:r>
          </w:p>
        </w:tc>
        <w:tc>
          <w:tcPr>
            <w:tcW w:w="675"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r>
    </w:tbl>
    <w:p w:rsidR="00CC29E3" w:rsidRPr="00D01F8F" w:rsidRDefault="00CC29E3" w:rsidP="00CC29E3">
      <w:pPr>
        <w:jc w:val="center"/>
        <w:rPr>
          <w:rFonts w:asciiTheme="majorBidi" w:hAnsiTheme="majorBidi" w:cstheme="majorBidi"/>
          <w:bCs/>
          <w:color w:val="FF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7"/>
        <w:gridCol w:w="1116"/>
        <w:gridCol w:w="1185"/>
        <w:gridCol w:w="1116"/>
        <w:gridCol w:w="1116"/>
        <w:gridCol w:w="760"/>
        <w:gridCol w:w="884"/>
        <w:gridCol w:w="979"/>
        <w:gridCol w:w="900"/>
        <w:gridCol w:w="896"/>
      </w:tblGrid>
      <w:tr w:rsidR="00CC29E3" w:rsidRPr="00D01F8F" w:rsidTr="008514DE">
        <w:trPr>
          <w:trHeight w:val="20"/>
        </w:trPr>
        <w:tc>
          <w:tcPr>
            <w:tcW w:w="58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NGRSC</w:t>
            </w:r>
          </w:p>
        </w:tc>
        <w:tc>
          <w:tcPr>
            <w:tcW w:w="58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NGRMC</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NGREC</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NTGRC</w:t>
            </w:r>
          </w:p>
        </w:tc>
        <w:tc>
          <w:tcPr>
            <w:tcW w:w="3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PC</w:t>
            </w:r>
          </w:p>
        </w:tc>
        <w:tc>
          <w:tcPr>
            <w:tcW w:w="43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PGRS</w:t>
            </w:r>
          </w:p>
        </w:tc>
        <w:tc>
          <w:tcPr>
            <w:tcW w:w="4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P1000</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RPF</w:t>
            </w:r>
          </w:p>
        </w:tc>
        <w:tc>
          <w:tcPr>
            <w:tcW w:w="44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RPG</w:t>
            </w:r>
          </w:p>
        </w:tc>
      </w:tr>
      <w:tr w:rsidR="00CC29E3" w:rsidRPr="00D01F8F" w:rsidTr="008514DE">
        <w:trPr>
          <w:trHeight w:val="20"/>
        </w:trPr>
        <w:tc>
          <w:tcPr>
            <w:tcW w:w="58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NGRSC</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58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58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NGRMC</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0,93</w:t>
            </w:r>
          </w:p>
        </w:tc>
        <w:tc>
          <w:tcPr>
            <w:tcW w:w="58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58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NGRE</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0,58</w:t>
            </w:r>
          </w:p>
        </w:tc>
        <w:tc>
          <w:tcPr>
            <w:tcW w:w="58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0,84</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58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NTGRC</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0,97</w:t>
            </w:r>
          </w:p>
        </w:tc>
        <w:tc>
          <w:tcPr>
            <w:tcW w:w="58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0,99</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0,76</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3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58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PC</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0,80</w:t>
            </w:r>
          </w:p>
        </w:tc>
        <w:tc>
          <w:tcPr>
            <w:tcW w:w="58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0,96</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0,95</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0,92</w:t>
            </w:r>
          </w:p>
        </w:tc>
        <w:tc>
          <w:tcPr>
            <w:tcW w:w="3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1,00</w:t>
            </w:r>
          </w:p>
        </w:tc>
        <w:tc>
          <w:tcPr>
            <w:tcW w:w="43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58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PGRS</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0,98</w:t>
            </w:r>
          </w:p>
        </w:tc>
        <w:tc>
          <w:tcPr>
            <w:tcW w:w="58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0,87</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0,48</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0,92</w:t>
            </w:r>
          </w:p>
        </w:tc>
        <w:tc>
          <w:tcPr>
            <w:tcW w:w="3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0,74</w:t>
            </w:r>
          </w:p>
        </w:tc>
        <w:tc>
          <w:tcPr>
            <w:tcW w:w="43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58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P1000</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-0,98</w:t>
            </w:r>
          </w:p>
        </w:tc>
        <w:tc>
          <w:tcPr>
            <w:tcW w:w="58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-0,93</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-0,59</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-0,96</w:t>
            </w:r>
          </w:p>
        </w:tc>
        <w:tc>
          <w:tcPr>
            <w:tcW w:w="3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-0,79</w:t>
            </w:r>
          </w:p>
        </w:tc>
        <w:tc>
          <w:tcPr>
            <w:tcW w:w="43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-0,92</w:t>
            </w:r>
          </w:p>
        </w:tc>
        <w:tc>
          <w:tcPr>
            <w:tcW w:w="4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58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RPF</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-0,35</w:t>
            </w:r>
          </w:p>
        </w:tc>
        <w:tc>
          <w:tcPr>
            <w:tcW w:w="58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-0,56</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-0,64</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-0,47</w:t>
            </w:r>
          </w:p>
        </w:tc>
        <w:tc>
          <w:tcPr>
            <w:tcW w:w="3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-0,54</w:t>
            </w:r>
          </w:p>
        </w:tc>
        <w:tc>
          <w:tcPr>
            <w:tcW w:w="43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-0,15</w:t>
            </w:r>
          </w:p>
        </w:tc>
        <w:tc>
          <w:tcPr>
            <w:tcW w:w="4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0,51</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44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58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RPG</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0,01</w:t>
            </w:r>
          </w:p>
        </w:tc>
        <w:tc>
          <w:tcPr>
            <w:tcW w:w="58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-0,34</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r w:rsidRPr="00D01F8F">
              <w:rPr>
                <w:rFonts w:asciiTheme="majorBidi" w:hAnsiTheme="majorBidi" w:cstheme="majorBidi"/>
                <w:b/>
                <w:i/>
                <w:sz w:val="20"/>
                <w:szCs w:val="20"/>
              </w:rPr>
              <w:t>0,74</w:t>
            </w:r>
          </w:p>
        </w:tc>
        <w:tc>
          <w:tcPr>
            <w:tcW w:w="55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-0,21</w:t>
            </w:r>
          </w:p>
        </w:tc>
        <w:tc>
          <w:tcPr>
            <w:tcW w:w="37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-0,50</w:t>
            </w:r>
          </w:p>
        </w:tc>
        <w:tc>
          <w:tcPr>
            <w:tcW w:w="436"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0,18</w:t>
            </w:r>
          </w:p>
        </w:tc>
        <w:tc>
          <w:tcPr>
            <w:tcW w:w="48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0,10</w:t>
            </w:r>
          </w:p>
        </w:tc>
        <w:tc>
          <w:tcPr>
            <w:tcW w:w="44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0,79</w:t>
            </w:r>
          </w:p>
        </w:tc>
        <w:tc>
          <w:tcPr>
            <w:tcW w:w="44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r>
    </w:tbl>
    <w:p w:rsidR="00CC29E3" w:rsidRPr="00D01F8F" w:rsidRDefault="00CC29E3" w:rsidP="00CC29E3">
      <w:pPr>
        <w:spacing w:after="0" w:line="240" w:lineRule="auto"/>
        <w:rPr>
          <w:rFonts w:asciiTheme="majorBidi" w:hAnsiTheme="majorBidi" w:cstheme="majorBidi"/>
          <w:bCs/>
          <w:color w:val="FF0000"/>
          <w:sz w:val="20"/>
          <w:szCs w:val="20"/>
        </w:rPr>
      </w:pPr>
    </w:p>
    <w:p w:rsidR="00CC29E3" w:rsidRPr="00D01F8F" w:rsidRDefault="00CC29E3" w:rsidP="00CC29E3">
      <w:pPr>
        <w:spacing w:after="0" w:line="240" w:lineRule="auto"/>
        <w:rPr>
          <w:rFonts w:asciiTheme="majorBidi" w:hAnsiTheme="majorBidi" w:cstheme="majorBidi"/>
          <w:bCs/>
          <w:color w:val="FF0000"/>
          <w:sz w:val="20"/>
          <w:szCs w:val="20"/>
        </w:rPr>
      </w:pPr>
    </w:p>
    <w:p w:rsidR="00CC29E3" w:rsidRPr="00D01F8F" w:rsidRDefault="00CC29E3" w:rsidP="00CC29E3">
      <w:pPr>
        <w:spacing w:after="0" w:line="240" w:lineRule="auto"/>
        <w:rPr>
          <w:rFonts w:asciiTheme="majorBidi" w:hAnsiTheme="majorBidi" w:cstheme="majorBidi"/>
          <w:bCs/>
          <w:color w:val="FF0000"/>
          <w:sz w:val="20"/>
          <w:szCs w:val="20"/>
        </w:rPr>
      </w:pPr>
    </w:p>
    <w:p w:rsidR="00CC29E3" w:rsidRPr="00D01F8F" w:rsidRDefault="00CC29E3" w:rsidP="00CC29E3">
      <w:pPr>
        <w:spacing w:before="240" w:line="360" w:lineRule="auto"/>
        <w:rPr>
          <w:rFonts w:asciiTheme="majorBidi" w:hAnsiTheme="majorBidi" w:cstheme="majorBidi"/>
          <w:b/>
          <w:bCs/>
          <w:i/>
          <w:sz w:val="24"/>
          <w:szCs w:val="24"/>
        </w:rPr>
      </w:pPr>
    </w:p>
    <w:p w:rsidR="00CC29E3" w:rsidRPr="00D01F8F" w:rsidRDefault="00CC29E3" w:rsidP="00CC29E3">
      <w:pPr>
        <w:spacing w:before="240" w:line="360" w:lineRule="auto"/>
        <w:rPr>
          <w:rFonts w:asciiTheme="majorBidi" w:hAnsiTheme="majorBidi" w:cstheme="majorBidi"/>
          <w:b/>
          <w:i/>
          <w:sz w:val="24"/>
          <w:szCs w:val="24"/>
        </w:rPr>
      </w:pPr>
      <w:r w:rsidRPr="00D01F8F">
        <w:rPr>
          <w:rFonts w:asciiTheme="majorBidi" w:hAnsiTheme="majorBidi" w:cstheme="majorBidi"/>
          <w:b/>
          <w:bCs/>
          <w:i/>
          <w:sz w:val="24"/>
          <w:szCs w:val="24"/>
        </w:rPr>
        <w:br w:type="page"/>
      </w:r>
    </w:p>
    <w:p w:rsidR="00CC29E3" w:rsidRPr="00D01F8F" w:rsidRDefault="00CC29E3" w:rsidP="00CC29E3">
      <w:pPr>
        <w:spacing w:before="240" w:line="360" w:lineRule="auto"/>
        <w:jc w:val="center"/>
        <w:rPr>
          <w:rFonts w:asciiTheme="majorBidi" w:hAnsiTheme="majorBidi" w:cstheme="majorBidi"/>
          <w:b/>
          <w:iCs/>
          <w:sz w:val="24"/>
          <w:szCs w:val="24"/>
        </w:rPr>
      </w:pPr>
      <w:r w:rsidRPr="00D01F8F">
        <w:rPr>
          <w:rFonts w:asciiTheme="majorBidi" w:hAnsiTheme="majorBidi" w:cstheme="majorBidi"/>
          <w:b/>
          <w:iCs/>
          <w:sz w:val="24"/>
          <w:szCs w:val="24"/>
        </w:rPr>
        <w:lastRenderedPageBreak/>
        <w:t>Annexe 8 : le cycle végétatif du carthame (</w:t>
      </w:r>
      <w:r w:rsidRPr="00D01F8F">
        <w:rPr>
          <w:rFonts w:asciiTheme="majorBidi" w:hAnsiTheme="majorBidi" w:cstheme="majorBidi"/>
          <w:b/>
          <w:i/>
          <w:sz w:val="24"/>
          <w:szCs w:val="24"/>
        </w:rPr>
        <w:t>Carthamus tinctorius</w:t>
      </w:r>
      <w:r w:rsidRPr="00D01F8F">
        <w:rPr>
          <w:rFonts w:asciiTheme="majorBidi" w:hAnsiTheme="majorBidi" w:cstheme="majorBidi"/>
          <w:b/>
          <w:iCs/>
          <w:sz w:val="24"/>
          <w:szCs w:val="24"/>
        </w:rPr>
        <w:t xml:space="preserve"> L.)</w:t>
      </w:r>
    </w:p>
    <w:p w:rsidR="00CC29E3" w:rsidRPr="00D01F8F" w:rsidRDefault="00CB4176" w:rsidP="00CC29E3">
      <w:pPr>
        <w:spacing w:before="240" w:line="360" w:lineRule="auto"/>
        <w:rPr>
          <w:rFonts w:asciiTheme="majorBidi" w:hAnsiTheme="majorBidi" w:cstheme="majorBidi"/>
          <w:b/>
          <w:i/>
          <w:sz w:val="24"/>
          <w:szCs w:val="24"/>
        </w:rPr>
      </w:pPr>
      <w:r w:rsidRPr="00CB4176">
        <w:rPr>
          <w:rFonts w:asciiTheme="majorBidi" w:hAnsiTheme="majorBidi" w:cstheme="majorBidi"/>
          <w:b/>
          <w:i/>
          <w:noProof/>
          <w:sz w:val="24"/>
          <w:szCs w:val="24"/>
        </w:rPr>
        <w:drawing>
          <wp:inline distT="0" distB="0" distL="0" distR="0">
            <wp:extent cx="5762625" cy="6962775"/>
            <wp:effectExtent l="19050" t="0" r="0" b="0"/>
            <wp:docPr id="17" name="Diagramm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5"/>
                    <pic:cNvPicPr>
                      <a:picLocks noChangeArrowheads="1"/>
                    </pic:cNvPicPr>
                  </pic:nvPicPr>
                  <pic:blipFill>
                    <a:blip r:embed="rId142"/>
                    <a:srcRect l="-212" t="-13158" r="-1048" b="-13124"/>
                    <a:stretch>
                      <a:fillRect/>
                    </a:stretch>
                  </pic:blipFill>
                  <pic:spPr bwMode="auto">
                    <a:xfrm>
                      <a:off x="0" y="0"/>
                      <a:ext cx="5762625" cy="6962775"/>
                    </a:xfrm>
                    <a:prstGeom prst="rect">
                      <a:avLst/>
                    </a:prstGeom>
                    <a:noFill/>
                    <a:ln w="9525">
                      <a:noFill/>
                      <a:miter lim="800000"/>
                      <a:headEnd/>
                      <a:tailEnd/>
                    </a:ln>
                    <a:effectLst>
                      <a:outerShdw dist="56796" dir="3806097" algn="ctr" rotWithShape="0">
                        <a:srgbClr val="808080"/>
                      </a:outerShdw>
                    </a:effectLst>
                  </pic:spPr>
                </pic:pic>
              </a:graphicData>
            </a:graphic>
          </wp:inline>
        </w:drawing>
      </w:r>
    </w:p>
    <w:p w:rsidR="00CC29E3" w:rsidRPr="00D01F8F" w:rsidRDefault="00CC29E3" w:rsidP="00CC29E3">
      <w:pPr>
        <w:spacing w:before="120" w:after="120" w:line="240" w:lineRule="auto"/>
        <w:rPr>
          <w:rFonts w:asciiTheme="majorBidi" w:hAnsiTheme="majorBidi" w:cstheme="majorBidi"/>
          <w:iCs/>
          <w:sz w:val="24"/>
          <w:szCs w:val="24"/>
        </w:rPr>
      </w:pPr>
      <w:r w:rsidRPr="00D01F8F">
        <w:rPr>
          <w:rFonts w:asciiTheme="majorBidi" w:hAnsiTheme="majorBidi" w:cstheme="majorBidi"/>
          <w:b/>
          <w:i/>
          <w:sz w:val="24"/>
          <w:szCs w:val="24"/>
        </w:rPr>
        <w:br w:type="page"/>
      </w:r>
      <w:r w:rsidRPr="00D01F8F">
        <w:rPr>
          <w:rFonts w:asciiTheme="majorBidi" w:hAnsiTheme="majorBidi" w:cstheme="majorBidi"/>
          <w:b/>
          <w:iCs/>
          <w:sz w:val="24"/>
          <w:szCs w:val="24"/>
        </w:rPr>
        <w:lastRenderedPageBreak/>
        <w:t>Annexe 9 : Test de germination  (</w:t>
      </w:r>
      <w:r w:rsidRPr="00D01F8F">
        <w:rPr>
          <w:rFonts w:asciiTheme="majorBidi" w:hAnsiTheme="majorBidi" w:cstheme="majorBidi"/>
          <w:b/>
          <w:i/>
          <w:sz w:val="24"/>
          <w:szCs w:val="24"/>
        </w:rPr>
        <w:t>Nigella sativa</w:t>
      </w:r>
      <w:r w:rsidRPr="00D01F8F">
        <w:rPr>
          <w:rFonts w:asciiTheme="majorBidi" w:hAnsiTheme="majorBidi" w:cstheme="majorBidi"/>
          <w:b/>
          <w:iCs/>
          <w:sz w:val="24"/>
          <w:szCs w:val="24"/>
        </w:rPr>
        <w:t xml:space="preserve"> 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0"/>
        <w:gridCol w:w="1689"/>
        <w:gridCol w:w="1689"/>
        <w:gridCol w:w="1689"/>
        <w:gridCol w:w="1691"/>
        <w:gridCol w:w="1691"/>
      </w:tblGrid>
      <w:tr w:rsidR="00CC29E3" w:rsidRPr="00D01F8F" w:rsidTr="008514DE">
        <w:trPr>
          <w:trHeight w:val="20"/>
        </w:trPr>
        <w:tc>
          <w:tcPr>
            <w:tcW w:w="8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PAR</w:t>
            </w:r>
          </w:p>
        </w:tc>
        <w:tc>
          <w:tcPr>
            <w:tcW w:w="8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sz w:val="20"/>
                <w:szCs w:val="20"/>
              </w:rPr>
              <w:t>P''1</w:t>
            </w:r>
          </w:p>
        </w:tc>
        <w:tc>
          <w:tcPr>
            <w:tcW w:w="8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P''2</w:t>
            </w:r>
          </w:p>
        </w:tc>
        <w:tc>
          <w:tcPr>
            <w:tcW w:w="83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sz w:val="20"/>
                <w:szCs w:val="20"/>
              </w:rPr>
              <w:t>P''3</w:t>
            </w:r>
          </w:p>
        </w:tc>
        <w:tc>
          <w:tcPr>
            <w:tcW w:w="83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sz w:val="20"/>
                <w:szCs w:val="20"/>
              </w:rPr>
              <w:t>P''4</w:t>
            </w:r>
          </w:p>
        </w:tc>
      </w:tr>
      <w:tr w:rsidR="0023560F" w:rsidRPr="00D01F8F" w:rsidTr="008514DE">
        <w:trPr>
          <w:trHeight w:val="20"/>
        </w:trPr>
        <w:tc>
          <w:tcPr>
            <w:tcW w:w="833" w:type="pct"/>
            <w:vMerge w:val="restar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1</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DG</w:t>
            </w:r>
            <w:r>
              <w:rPr>
                <w:rFonts w:asciiTheme="majorBidi" w:hAnsiTheme="majorBidi" w:cstheme="majorBidi"/>
                <w:b/>
                <w:iCs/>
                <w:sz w:val="20"/>
                <w:szCs w:val="20"/>
              </w:rPr>
              <w:t>R</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19</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12</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13</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20</w:t>
            </w:r>
          </w:p>
        </w:tc>
      </w:tr>
      <w:tr w:rsidR="0023560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GJM</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2,26</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7,66</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6,23</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0,3</w:t>
            </w:r>
          </w:p>
        </w:tc>
      </w:tr>
      <w:tr w:rsidR="0023560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VC</w:t>
            </w:r>
            <w:r w:rsidRPr="00D01F8F">
              <w:rPr>
                <w:rFonts w:asciiTheme="majorBidi" w:hAnsiTheme="majorBidi" w:cstheme="majorBidi"/>
                <w:b/>
                <w:iCs/>
                <w:sz w:val="20"/>
                <w:szCs w:val="20"/>
              </w:rPr>
              <w:t xml:space="preserve"> </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8A29EC"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2,41</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333260"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12,71</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8A29EC"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8,11</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8A29EC"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0,3</w:t>
            </w:r>
          </w:p>
        </w:tc>
      </w:tr>
      <w:tr w:rsidR="0023560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VGJ</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0,73</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6,97</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4,50</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0,04</w:t>
            </w:r>
          </w:p>
        </w:tc>
      </w:tr>
      <w:tr w:rsidR="0023560F" w:rsidRPr="00D01F8F" w:rsidTr="008514DE">
        <w:trPr>
          <w:trHeight w:val="20"/>
        </w:trPr>
        <w:tc>
          <w:tcPr>
            <w:tcW w:w="833" w:type="pct"/>
            <w:vMerge w:val="restar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2</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DG</w:t>
            </w:r>
            <w:r>
              <w:rPr>
                <w:rFonts w:asciiTheme="majorBidi" w:hAnsiTheme="majorBidi" w:cstheme="majorBidi"/>
                <w:b/>
                <w:iCs/>
                <w:sz w:val="20"/>
                <w:szCs w:val="20"/>
              </w:rPr>
              <w:t>R</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19</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12</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13</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20</w:t>
            </w:r>
          </w:p>
        </w:tc>
      </w:tr>
      <w:tr w:rsidR="0023560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GJM</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2,68</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7</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6,7</w:t>
            </w:r>
            <w:r w:rsidR="008A29EC">
              <w:rPr>
                <w:rFonts w:asciiTheme="majorBidi" w:hAnsiTheme="majorBidi" w:cstheme="majorBidi"/>
                <w:bCs/>
                <w:sz w:val="20"/>
                <w:szCs w:val="20"/>
              </w:rPr>
              <w:t>7</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0,</w:t>
            </w:r>
            <w:r w:rsidR="008A29EC">
              <w:rPr>
                <w:rFonts w:asciiTheme="majorBidi" w:hAnsiTheme="majorBidi" w:cstheme="majorBidi"/>
                <w:bCs/>
                <w:sz w:val="20"/>
                <w:szCs w:val="20"/>
              </w:rPr>
              <w:t>4</w:t>
            </w:r>
          </w:p>
        </w:tc>
      </w:tr>
      <w:tr w:rsidR="0023560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VC</w:t>
            </w:r>
            <w:r w:rsidRPr="00D01F8F">
              <w:rPr>
                <w:rFonts w:asciiTheme="majorBidi" w:hAnsiTheme="majorBidi" w:cstheme="majorBidi"/>
                <w:b/>
                <w:iCs/>
                <w:sz w:val="20"/>
                <w:szCs w:val="20"/>
              </w:rPr>
              <w:t xml:space="preserve"> </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8A29EC"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2,7</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333260"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13,16</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8A29EC"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9,86</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0,</w:t>
            </w:r>
            <w:r w:rsidR="008A29EC">
              <w:rPr>
                <w:rFonts w:asciiTheme="majorBidi" w:hAnsiTheme="majorBidi" w:cstheme="majorBidi"/>
                <w:bCs/>
                <w:sz w:val="20"/>
                <w:szCs w:val="20"/>
              </w:rPr>
              <w:t>4</w:t>
            </w:r>
          </w:p>
        </w:tc>
      </w:tr>
      <w:tr w:rsidR="0023560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bCs/>
                <w:iCs/>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VGJ</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0,88</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6,73</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5,08</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0,</w:t>
            </w:r>
            <w:r w:rsidR="008A29EC">
              <w:rPr>
                <w:rFonts w:asciiTheme="majorBidi" w:hAnsiTheme="majorBidi" w:cstheme="majorBidi"/>
                <w:bCs/>
                <w:sz w:val="20"/>
                <w:szCs w:val="20"/>
              </w:rPr>
              <w:t>4</w:t>
            </w:r>
          </w:p>
        </w:tc>
      </w:tr>
      <w:tr w:rsidR="0023560F" w:rsidRPr="00D01F8F" w:rsidTr="008514DE">
        <w:trPr>
          <w:trHeight w:val="20"/>
        </w:trPr>
        <w:tc>
          <w:tcPr>
            <w:tcW w:w="833" w:type="pct"/>
            <w:vMerge w:val="restar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3</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DG</w:t>
            </w:r>
            <w:r>
              <w:rPr>
                <w:rFonts w:asciiTheme="majorBidi" w:hAnsiTheme="majorBidi" w:cstheme="majorBidi"/>
                <w:b/>
                <w:iCs/>
                <w:sz w:val="20"/>
                <w:szCs w:val="20"/>
              </w:rPr>
              <w:t>R</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19</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12</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13</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20</w:t>
            </w:r>
          </w:p>
        </w:tc>
      </w:tr>
      <w:tr w:rsidR="0023560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GJM</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3,42</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8</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6,61</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0,</w:t>
            </w:r>
            <w:r w:rsidR="008A29EC">
              <w:rPr>
                <w:rFonts w:asciiTheme="majorBidi" w:hAnsiTheme="majorBidi" w:cstheme="majorBidi"/>
                <w:bCs/>
                <w:sz w:val="20"/>
                <w:szCs w:val="20"/>
              </w:rPr>
              <w:t>2</w:t>
            </w:r>
          </w:p>
        </w:tc>
      </w:tr>
      <w:tr w:rsidR="0023560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Pr>
                <w:rFonts w:asciiTheme="majorBidi" w:hAnsiTheme="majorBidi" w:cstheme="majorBidi"/>
                <w:b/>
                <w:iCs/>
                <w:sz w:val="20"/>
                <w:szCs w:val="20"/>
              </w:rPr>
              <w:t>VC</w:t>
            </w:r>
            <w:r w:rsidRPr="00D01F8F">
              <w:rPr>
                <w:rFonts w:asciiTheme="majorBidi" w:hAnsiTheme="majorBidi" w:cstheme="majorBidi"/>
                <w:b/>
                <w:iCs/>
                <w:sz w:val="20"/>
                <w:szCs w:val="20"/>
              </w:rPr>
              <w:t xml:space="preserve"> </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8A29EC"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3</w:t>
            </w:r>
            <w:r w:rsidR="0023560F" w:rsidRPr="00D01F8F">
              <w:rPr>
                <w:rFonts w:asciiTheme="majorBidi" w:hAnsiTheme="majorBidi" w:cstheme="majorBidi"/>
                <w:bCs/>
                <w:sz w:val="20"/>
                <w:szCs w:val="20"/>
              </w:rPr>
              <w:t>,</w:t>
            </w:r>
            <w:r>
              <w:rPr>
                <w:rFonts w:asciiTheme="majorBidi" w:hAnsiTheme="majorBidi" w:cstheme="majorBidi"/>
                <w:bCs/>
                <w:sz w:val="20"/>
                <w:szCs w:val="20"/>
              </w:rPr>
              <w:t>42</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333260"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13,5</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8A29EC"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9,71</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8A29EC" w:rsidP="008514D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0,2</w:t>
            </w:r>
          </w:p>
        </w:tc>
      </w:tr>
      <w:tr w:rsidR="0023560F" w:rsidRPr="00D01F8F" w:rsidTr="008514DE">
        <w:trPr>
          <w:trHeight w:val="20"/>
        </w:trPr>
        <w:tc>
          <w:tcPr>
            <w:tcW w:w="833" w:type="pct"/>
            <w:vMerge/>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sz w:val="20"/>
                <w:szCs w:val="20"/>
              </w:rPr>
            </w:pP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101AB3">
            <w:pPr>
              <w:spacing w:after="0" w:line="240" w:lineRule="auto"/>
              <w:jc w:val="center"/>
              <w:rPr>
                <w:rFonts w:asciiTheme="majorBidi" w:hAnsiTheme="majorBidi" w:cstheme="majorBidi"/>
                <w:b/>
                <w:iCs/>
                <w:sz w:val="20"/>
                <w:szCs w:val="20"/>
              </w:rPr>
            </w:pPr>
            <w:r w:rsidRPr="00D01F8F">
              <w:rPr>
                <w:rFonts w:asciiTheme="majorBidi" w:hAnsiTheme="majorBidi" w:cstheme="majorBidi"/>
                <w:b/>
                <w:iCs/>
                <w:sz w:val="20"/>
                <w:szCs w:val="20"/>
              </w:rPr>
              <w:t>VGJ</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1,24</w:t>
            </w:r>
          </w:p>
        </w:tc>
        <w:tc>
          <w:tcPr>
            <w:tcW w:w="833"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7,84</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5,27</w:t>
            </w:r>
          </w:p>
        </w:tc>
        <w:tc>
          <w:tcPr>
            <w:tcW w:w="834" w:type="pct"/>
            <w:tcBorders>
              <w:top w:val="single" w:sz="4" w:space="0" w:color="000000"/>
              <w:left w:val="single" w:sz="4" w:space="0" w:color="000000"/>
              <w:bottom w:val="single" w:sz="4" w:space="0" w:color="000000"/>
              <w:right w:val="single" w:sz="4" w:space="0" w:color="000000"/>
            </w:tcBorders>
            <w:vAlign w:val="center"/>
          </w:tcPr>
          <w:p w:rsidR="0023560F" w:rsidRPr="00D01F8F" w:rsidRDefault="0023560F" w:rsidP="008514DE">
            <w:pPr>
              <w:spacing w:after="0" w:line="240" w:lineRule="auto"/>
              <w:jc w:val="center"/>
              <w:rPr>
                <w:rFonts w:asciiTheme="majorBidi" w:hAnsiTheme="majorBidi" w:cstheme="majorBidi"/>
                <w:bCs/>
                <w:sz w:val="20"/>
                <w:szCs w:val="20"/>
              </w:rPr>
            </w:pPr>
            <w:r w:rsidRPr="00D01F8F">
              <w:rPr>
                <w:rFonts w:asciiTheme="majorBidi" w:hAnsiTheme="majorBidi" w:cstheme="majorBidi"/>
                <w:bCs/>
                <w:sz w:val="20"/>
                <w:szCs w:val="20"/>
              </w:rPr>
              <w:t>0,05</w:t>
            </w:r>
          </w:p>
        </w:tc>
      </w:tr>
    </w:tbl>
    <w:p w:rsidR="00CC29E3" w:rsidRPr="00D01F8F" w:rsidRDefault="00CC29E3" w:rsidP="00CC29E3">
      <w:pPr>
        <w:spacing w:after="0" w:line="240" w:lineRule="auto"/>
        <w:rPr>
          <w:rFonts w:asciiTheme="majorBidi" w:hAnsiTheme="majorBidi" w:cstheme="majorBidi"/>
          <w:b/>
          <w:i/>
          <w:sz w:val="16"/>
          <w:szCs w:val="16"/>
        </w:rPr>
      </w:pPr>
    </w:p>
    <w:p w:rsidR="00CC29E3" w:rsidRPr="00D01F8F" w:rsidRDefault="00CC29E3" w:rsidP="00CC29E3">
      <w:pPr>
        <w:spacing w:after="120" w:line="240" w:lineRule="auto"/>
        <w:rPr>
          <w:rFonts w:asciiTheme="majorBidi" w:hAnsiTheme="majorBidi" w:cstheme="majorBidi"/>
          <w:b/>
          <w:iCs/>
          <w:sz w:val="24"/>
          <w:szCs w:val="24"/>
        </w:rPr>
      </w:pPr>
      <w:r w:rsidRPr="00D01F8F">
        <w:rPr>
          <w:rFonts w:asciiTheme="majorBidi" w:hAnsiTheme="majorBidi" w:cstheme="majorBidi"/>
          <w:b/>
          <w:iCs/>
          <w:sz w:val="24"/>
          <w:szCs w:val="24"/>
        </w:rPr>
        <w:t>Annexe 10 : Analyse de la variance Nigelle (</w:t>
      </w:r>
      <w:r w:rsidRPr="00D01F8F">
        <w:rPr>
          <w:rFonts w:asciiTheme="majorBidi" w:hAnsiTheme="majorBidi" w:cstheme="majorBidi"/>
          <w:b/>
          <w:i/>
          <w:sz w:val="24"/>
          <w:szCs w:val="24"/>
        </w:rPr>
        <w:t>Nigella sativa</w:t>
      </w:r>
      <w:r w:rsidRPr="00D01F8F">
        <w:rPr>
          <w:rFonts w:asciiTheme="majorBidi" w:hAnsiTheme="majorBidi" w:cstheme="majorBidi"/>
          <w:b/>
          <w:iCs/>
          <w:sz w:val="24"/>
          <w:szCs w:val="24"/>
        </w:rPr>
        <w:t xml:space="preserve"> 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2"/>
        <w:gridCol w:w="878"/>
        <w:gridCol w:w="1032"/>
        <w:gridCol w:w="1178"/>
        <w:gridCol w:w="1178"/>
        <w:gridCol w:w="1034"/>
        <w:gridCol w:w="1188"/>
        <w:gridCol w:w="1073"/>
        <w:gridCol w:w="886"/>
      </w:tblGrid>
      <w:tr w:rsidR="00CC29E3" w:rsidRPr="00D01F8F" w:rsidTr="008514DE">
        <w:trPr>
          <w:trHeight w:val="20"/>
        </w:trPr>
        <w:tc>
          <w:tcPr>
            <w:tcW w:w="834"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r w:rsidRPr="00D01F8F">
              <w:rPr>
                <w:rFonts w:asciiTheme="majorBidi" w:hAnsiTheme="majorBidi" w:cstheme="majorBidi"/>
                <w:b/>
                <w:bCs/>
                <w:i/>
                <w:sz w:val="20"/>
                <w:szCs w:val="20"/>
              </w:rPr>
              <w:t>Population</w:t>
            </w:r>
          </w:p>
        </w:tc>
        <w:tc>
          <w:tcPr>
            <w:tcW w:w="433"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PAR</w:t>
            </w:r>
          </w:p>
        </w:tc>
        <w:tc>
          <w:tcPr>
            <w:tcW w:w="509"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w:t>
            </w:r>
          </w:p>
        </w:tc>
        <w:tc>
          <w:tcPr>
            <w:tcW w:w="581"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P''2</w:t>
            </w:r>
          </w:p>
        </w:tc>
        <w:tc>
          <w:tcPr>
            <w:tcW w:w="581"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P''3</w:t>
            </w:r>
          </w:p>
        </w:tc>
        <w:tc>
          <w:tcPr>
            <w:tcW w:w="510"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P''4</w:t>
            </w:r>
          </w:p>
        </w:tc>
        <w:tc>
          <w:tcPr>
            <w:tcW w:w="586"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Ecart type groupé</w:t>
            </w:r>
          </w:p>
        </w:tc>
        <w:tc>
          <w:tcPr>
            <w:tcW w:w="529" w:type="pct"/>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Proba</w:t>
            </w:r>
          </w:p>
        </w:tc>
        <w:tc>
          <w:tcPr>
            <w:tcW w:w="437" w:type="pct"/>
            <w:tcBorders>
              <w:top w:val="single" w:sz="4" w:space="0" w:color="000000"/>
              <w:left w:val="single" w:sz="4" w:space="0" w:color="000000"/>
              <w:bottom w:val="single" w:sz="4" w:space="0" w:color="auto"/>
              <w:right w:val="single" w:sz="4" w:space="0" w:color="000000"/>
            </w:tcBorders>
            <w:vAlign w:val="center"/>
          </w:tcPr>
          <w:p w:rsidR="00CC29E3" w:rsidRPr="008A29EC" w:rsidRDefault="00CC29E3" w:rsidP="008514DE">
            <w:pPr>
              <w:spacing w:after="0" w:line="240" w:lineRule="auto"/>
              <w:jc w:val="center"/>
              <w:rPr>
                <w:rFonts w:asciiTheme="majorBidi" w:hAnsiTheme="majorBidi" w:cstheme="majorBidi"/>
                <w:b/>
                <w:bCs/>
                <w:iCs/>
                <w:sz w:val="20"/>
                <w:szCs w:val="20"/>
              </w:rPr>
            </w:pPr>
            <w:r w:rsidRPr="008A29EC">
              <w:rPr>
                <w:rFonts w:asciiTheme="majorBidi" w:hAnsiTheme="majorBidi" w:cstheme="majorBidi"/>
                <w:b/>
                <w:bCs/>
                <w:iCs/>
                <w:sz w:val="20"/>
                <w:szCs w:val="20"/>
              </w:rPr>
              <w:t>Sig</w:t>
            </w:r>
          </w:p>
        </w:tc>
      </w:tr>
      <w:tr w:rsidR="00CC29E3" w:rsidRPr="00D01F8F" w:rsidTr="008514DE">
        <w:trPr>
          <w:trHeight w:val="20"/>
        </w:trPr>
        <w:tc>
          <w:tcPr>
            <w:tcW w:w="834"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VGJ</w:t>
            </w:r>
          </w:p>
        </w:tc>
        <w:tc>
          <w:tcPr>
            <w:tcW w:w="433"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0,95</w:t>
            </w:r>
          </w:p>
        </w:tc>
        <w:tc>
          <w:tcPr>
            <w:tcW w:w="58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7,28</w:t>
            </w:r>
          </w:p>
        </w:tc>
        <w:tc>
          <w:tcPr>
            <w:tcW w:w="58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4,95</w:t>
            </w:r>
          </w:p>
        </w:tc>
        <w:tc>
          <w:tcPr>
            <w:tcW w:w="510"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0,04</w:t>
            </w:r>
          </w:p>
        </w:tc>
        <w:tc>
          <w:tcPr>
            <w:tcW w:w="586"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0,38</w:t>
            </w:r>
          </w:p>
        </w:tc>
        <w:tc>
          <w:tcPr>
            <w:tcW w:w="529"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7"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0,26</w:t>
            </w:r>
          </w:p>
        </w:tc>
        <w:tc>
          <w:tcPr>
            <w:tcW w:w="58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0,59</w:t>
            </w:r>
          </w:p>
        </w:tc>
        <w:tc>
          <w:tcPr>
            <w:tcW w:w="58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w:t>
            </w:r>
          </w:p>
        </w:tc>
        <w:tc>
          <w:tcPr>
            <w:tcW w:w="510"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0,01</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09"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58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10"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586" w:type="pct"/>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CG</w:t>
            </w:r>
          </w:p>
        </w:tc>
        <w:tc>
          <w:tcPr>
            <w:tcW w:w="433"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53</w:t>
            </w:r>
          </w:p>
        </w:tc>
        <w:tc>
          <w:tcPr>
            <w:tcW w:w="58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90,67</w:t>
            </w:r>
          </w:p>
        </w:tc>
        <w:tc>
          <w:tcPr>
            <w:tcW w:w="58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85</w:t>
            </w:r>
          </w:p>
        </w:tc>
        <w:tc>
          <w:tcPr>
            <w:tcW w:w="510"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w:t>
            </w:r>
          </w:p>
        </w:tc>
        <w:tc>
          <w:tcPr>
            <w:tcW w:w="586"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6,68</w:t>
            </w:r>
          </w:p>
        </w:tc>
        <w:tc>
          <w:tcPr>
            <w:tcW w:w="529"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7" w:type="pct"/>
            <w:vMerge w:val="restar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11,14</w:t>
            </w:r>
          </w:p>
        </w:tc>
        <w:tc>
          <w:tcPr>
            <w:tcW w:w="58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6,11</w:t>
            </w:r>
          </w:p>
        </w:tc>
        <w:tc>
          <w:tcPr>
            <w:tcW w:w="581"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3,61</w:t>
            </w:r>
          </w:p>
        </w:tc>
        <w:tc>
          <w:tcPr>
            <w:tcW w:w="510" w:type="pct"/>
            <w:tcBorders>
              <w:top w:val="single" w:sz="4" w:space="0" w:color="auto"/>
              <w:left w:val="single" w:sz="4" w:space="0" w:color="000000"/>
              <w:bottom w:val="single" w:sz="4" w:space="0" w:color="auto"/>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2,00</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09"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81"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1"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10" w:type="pct"/>
            <w:tcBorders>
              <w:top w:val="single" w:sz="4" w:space="0" w:color="auto"/>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VG</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8,14</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93,94</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61,33</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5,17</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3,21</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3,07</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9,35</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PGL</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13,25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7,62</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10,25</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5,80</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0,248</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5,78</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6,88</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3,79</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6,27</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BF</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87,75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88,75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90,25</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87,75</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2,90</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0,59</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2,63</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3,69</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2,63</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DF</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94</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95</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94</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0,816</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0,168</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PF</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102,5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102,25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79,75</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102,25</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22,30</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0,419</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44,52</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b/>
                <w:bCs/>
                <w:iCs/>
                <w:sz w:val="20"/>
                <w:szCs w:val="20"/>
              </w:rPr>
            </w:pPr>
            <w:r w:rsidRPr="00D40FB3">
              <w:rPr>
                <w:rFonts w:asciiTheme="majorBidi" w:hAnsiTheme="majorBidi" w:cstheme="majorBidi"/>
                <w:b/>
                <w:bCs/>
                <w:iCs/>
                <w:sz w:val="20"/>
                <w:szCs w:val="20"/>
              </w:rPr>
              <w:t>FF</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b/>
                <w:bCs/>
                <w:iCs/>
                <w:sz w:val="20"/>
                <w:szCs w:val="20"/>
              </w:rPr>
            </w:pPr>
            <w:r w:rsidRPr="00D40FB3">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110</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112</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112</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107</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0,000</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w:t>
            </w:r>
          </w:p>
          <w:p w:rsidR="00CC29E3" w:rsidRPr="00D40FB3" w:rsidRDefault="00CC29E3" w:rsidP="008514DE">
            <w:pPr>
              <w:spacing w:after="0" w:line="240" w:lineRule="auto"/>
              <w:jc w:val="center"/>
              <w:rPr>
                <w:rFonts w:asciiTheme="majorBidi" w:hAnsiTheme="majorBidi" w:cstheme="majorBidi"/>
                <w:sz w:val="20"/>
                <w:szCs w:val="20"/>
              </w:rPr>
            </w:pP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NS</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b/>
                <w:bCs/>
                <w:iCs/>
                <w:sz w:val="20"/>
                <w:szCs w:val="20"/>
              </w:rPr>
            </w:pPr>
            <w:r w:rsidRPr="00D40FB3">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40FB3" w:rsidRDefault="00CC29E3" w:rsidP="008514DE">
            <w:pPr>
              <w:spacing w:after="0" w:line="240" w:lineRule="auto"/>
              <w:jc w:val="center"/>
              <w:rPr>
                <w:rFonts w:asciiTheme="majorBidi" w:hAnsiTheme="majorBidi" w:cstheme="majorBidi"/>
                <w:sz w:val="20"/>
                <w:szCs w:val="20"/>
              </w:rPr>
            </w:pPr>
            <w:r w:rsidRPr="00D40FB3">
              <w:rPr>
                <w:rFonts w:asciiTheme="majorBidi" w:hAnsiTheme="majorBidi" w:cstheme="majorBidi"/>
                <w:sz w:val="20"/>
                <w:szCs w:val="20"/>
              </w:rPr>
              <w:t>0,00</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color w:val="FF0000"/>
                <w:sz w:val="20"/>
                <w:szCs w:val="20"/>
                <w:highlight w:val="yellow"/>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ETF</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19,5</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2,63</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0,031</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5,00</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FCs</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1101</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110</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110</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107</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133</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124</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126</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133</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1,63</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2,31</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2,31</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H1</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5,03</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5,33</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4,44</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6,27</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3,85</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0,12</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3,78</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3,74</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3,84</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4,03</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H2</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10,15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15,11</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10,51</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13,22</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4,97</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4,62</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4,99</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5,36</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4,10</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H3</w:t>
            </w: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13,99</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20,5</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16,49</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16,26</w:t>
            </w:r>
          </w:p>
        </w:tc>
        <w:tc>
          <w:tcPr>
            <w:tcW w:w="586"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4,98</w:t>
            </w:r>
          </w:p>
        </w:tc>
        <w:tc>
          <w:tcPr>
            <w:tcW w:w="529"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5,79</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5,03</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5,06</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3,83</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34"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09"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8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86"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9"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bl>
    <w:p w:rsidR="00CC29E3" w:rsidRPr="00D01F8F" w:rsidRDefault="00CC29E3" w:rsidP="00CC29E3">
      <w:pPr>
        <w:jc w:val="center"/>
        <w:rPr>
          <w:rFonts w:asciiTheme="majorBidi" w:hAnsiTheme="majorBidi" w:cstheme="majorBidi"/>
          <w:b/>
          <w:i/>
          <w:sz w:val="24"/>
          <w:szCs w:val="24"/>
        </w:rPr>
      </w:pPr>
    </w:p>
    <w:p w:rsidR="00980470" w:rsidRDefault="00980470" w:rsidP="00CC29E3">
      <w:pPr>
        <w:jc w:val="center"/>
        <w:rPr>
          <w:rFonts w:asciiTheme="majorBidi" w:hAnsiTheme="majorBidi" w:cstheme="majorBidi"/>
          <w:b/>
          <w:iCs/>
          <w:sz w:val="24"/>
          <w:szCs w:val="24"/>
        </w:rPr>
      </w:pPr>
    </w:p>
    <w:p w:rsidR="002B3683" w:rsidRDefault="002B3683" w:rsidP="00CC29E3">
      <w:pPr>
        <w:jc w:val="center"/>
        <w:rPr>
          <w:rFonts w:asciiTheme="majorBidi" w:hAnsiTheme="majorBidi" w:cstheme="majorBidi"/>
          <w:b/>
          <w:iCs/>
          <w:sz w:val="24"/>
          <w:szCs w:val="24"/>
        </w:rPr>
      </w:pPr>
    </w:p>
    <w:p w:rsidR="002B3683" w:rsidRDefault="002B3683" w:rsidP="00CC29E3">
      <w:pPr>
        <w:jc w:val="center"/>
        <w:rPr>
          <w:rFonts w:asciiTheme="majorBidi" w:hAnsiTheme="majorBidi" w:cstheme="majorBidi"/>
          <w:b/>
          <w:iCs/>
          <w:sz w:val="24"/>
          <w:szCs w:val="24"/>
        </w:rPr>
      </w:pPr>
    </w:p>
    <w:p w:rsidR="00CC29E3" w:rsidRPr="00D01F8F" w:rsidRDefault="00CC29E3" w:rsidP="00CC29E3">
      <w:pPr>
        <w:jc w:val="center"/>
        <w:rPr>
          <w:rFonts w:asciiTheme="majorBidi" w:hAnsiTheme="majorBidi" w:cstheme="majorBidi"/>
          <w:b/>
          <w:i/>
          <w:sz w:val="24"/>
          <w:szCs w:val="24"/>
        </w:rPr>
      </w:pPr>
      <w:r w:rsidRPr="00D01F8F">
        <w:rPr>
          <w:rFonts w:asciiTheme="majorBidi" w:hAnsiTheme="majorBidi" w:cstheme="majorBidi"/>
          <w:b/>
          <w:iCs/>
          <w:sz w:val="24"/>
          <w:szCs w:val="24"/>
        </w:rPr>
        <w:t>Annexe  10 (suite): Analyse de la variance Nigelle</w:t>
      </w:r>
      <w:r w:rsidRPr="00D01F8F">
        <w:rPr>
          <w:rFonts w:asciiTheme="majorBidi" w:hAnsiTheme="majorBidi" w:cstheme="majorBidi"/>
          <w:b/>
          <w:i/>
          <w:sz w:val="24"/>
          <w:szCs w:val="24"/>
        </w:rPr>
        <w:t xml:space="preserve"> (</w:t>
      </w:r>
      <w:r w:rsidRPr="00D01F8F">
        <w:rPr>
          <w:rFonts w:asciiTheme="majorBidi" w:hAnsiTheme="majorBidi" w:cstheme="majorBidi"/>
          <w:b/>
          <w:i/>
          <w:iCs/>
          <w:sz w:val="24"/>
          <w:szCs w:val="24"/>
        </w:rPr>
        <w:t>Nigella sativa</w:t>
      </w:r>
      <w:r w:rsidRPr="00D01F8F">
        <w:rPr>
          <w:rFonts w:asciiTheme="majorBidi" w:hAnsiTheme="majorBidi" w:cstheme="majorBidi"/>
          <w:b/>
          <w:i/>
          <w:sz w:val="24"/>
          <w:szCs w:val="24"/>
        </w:rPr>
        <w:t xml:space="preserve"> </w:t>
      </w:r>
      <w:r w:rsidRPr="00D01F8F">
        <w:rPr>
          <w:rFonts w:asciiTheme="majorBidi" w:hAnsiTheme="majorBidi" w:cstheme="majorBidi"/>
          <w:b/>
          <w:iCs/>
          <w:sz w:val="24"/>
          <w:szCs w:val="24"/>
        </w:rPr>
        <w:t>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9"/>
        <w:gridCol w:w="866"/>
        <w:gridCol w:w="1162"/>
        <w:gridCol w:w="1162"/>
        <w:gridCol w:w="1162"/>
        <w:gridCol w:w="1018"/>
        <w:gridCol w:w="1170"/>
        <w:gridCol w:w="1056"/>
        <w:gridCol w:w="874"/>
      </w:tblGrid>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H4</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16,61</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24,75</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22,23</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18,77</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5,39</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5,10</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5,97</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6,08</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4,21</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d</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H5</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17,6</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25,15</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24,85</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19,75</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5,89</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4,98</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5,89</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7,38</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4,99</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VCH</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0,68</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0,7</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0,45</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0,16</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0,20</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0,24</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0,19</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NR1</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3,75</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5,17</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4,4</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1,61</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0,001</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1,85</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1,48</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1,45</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1,65</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NR2</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4,97</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5,77</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3,92</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3,90</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2,66</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4,02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4,35</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4,32</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NR3</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2,27</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2,25</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0,7</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2,97</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0,043</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3,75</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2,73</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3,44</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1,42</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NTR</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7,47</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11,32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12,87</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9,22</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7,13</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0,005</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4,70</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7,66</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8,58</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7,00</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NCsP</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12,42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13,82</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10,73</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7,3</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0,006</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4,92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7,62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8,47</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7,63</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color w:val="000000"/>
                <w:sz w:val="20"/>
                <w:szCs w:val="20"/>
              </w:rPr>
              <w:t>PCsP</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2,19</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3,11</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3,11</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3,01</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2,26</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0,20</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1,67</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2,44</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2,44</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2,89</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LCs</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12,38</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12,02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11,17</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11,55</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2,001</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0,006</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2,40</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1,91</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1,70</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1,92</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DCs</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10,36</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9,98</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9,6</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11,32</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3,88</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0,092</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1,36</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0,84</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1,02</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7,52</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NVC</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5,23</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5,58</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5,33</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5,62</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0,68</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0,004</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0,63</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0,82</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bc</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NGRS</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66,8</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76,82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70,2</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74,4</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21,56</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0,057</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24,88</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21,52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18,59</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20,79</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NGAE</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12,3</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4,27</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7,07</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8,7</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8,57</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0,000</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10,91</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3,74</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8,82</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9,08</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c</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NTGR</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79,1</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81,02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77,27</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83,1</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20,58</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0,446</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23,84</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20,70</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18,74</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18,60</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PCs</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0,31</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0,28</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0,31</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0,12</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0,386</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0,13</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0,15</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0,08</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0,15</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PGRSCs</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0,21</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0,21</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0,19</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0,25</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0,115</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0,065</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0,07</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0,07</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0,07</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0,18</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GH</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ab</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b</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a</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P1000</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3,11</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3,02</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2,93</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3,14</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0,32</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0,793</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0,31</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0,23</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0,52</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823"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RPG</w:t>
            </w: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0,17</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0,11</w:t>
            </w:r>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c>
          <w:tcPr>
            <w:tcW w:w="52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0,204</w:t>
            </w:r>
          </w:p>
        </w:tc>
        <w:tc>
          <w:tcPr>
            <w:tcW w:w="431" w:type="pct"/>
            <w:vMerge w:val="restar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NS</w:t>
            </w:r>
          </w:p>
        </w:tc>
      </w:tr>
      <w:tr w:rsidR="00CC29E3" w:rsidRPr="00D01F8F" w:rsidTr="008514DE">
        <w:trPr>
          <w:trHeight w:val="20"/>
        </w:trPr>
        <w:tc>
          <w:tcPr>
            <w:tcW w:w="823"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p>
        </w:tc>
        <w:tc>
          <w:tcPr>
            <w:tcW w:w="42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ET</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0,05</w:t>
            </w:r>
          </w:p>
        </w:tc>
        <w:tc>
          <w:tcPr>
            <w:tcW w:w="57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5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0,06</w:t>
            </w:r>
          </w:p>
        </w:tc>
        <w:tc>
          <w:tcPr>
            <w:tcW w:w="577"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52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431" w:type="pct"/>
            <w:vMerge/>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bl>
    <w:p w:rsidR="00CC29E3" w:rsidRPr="00D01F8F" w:rsidRDefault="00CC29E3" w:rsidP="00CC29E3">
      <w:pPr>
        <w:rPr>
          <w:rFonts w:asciiTheme="majorBidi" w:hAnsiTheme="majorBidi" w:cstheme="majorBidi"/>
          <w:b/>
          <w:i/>
          <w:sz w:val="24"/>
          <w:szCs w:val="24"/>
        </w:rPr>
      </w:pPr>
    </w:p>
    <w:p w:rsidR="00CC29E3" w:rsidRPr="00D01F8F" w:rsidRDefault="00CC29E3" w:rsidP="00CC29E3">
      <w:pPr>
        <w:rPr>
          <w:rFonts w:asciiTheme="majorBidi" w:hAnsiTheme="majorBidi" w:cstheme="majorBidi"/>
          <w:b/>
          <w:i/>
          <w:sz w:val="20"/>
          <w:szCs w:val="20"/>
        </w:rPr>
      </w:pPr>
    </w:p>
    <w:p w:rsidR="00980470" w:rsidRDefault="00980470" w:rsidP="00CC29E3">
      <w:pPr>
        <w:jc w:val="center"/>
        <w:rPr>
          <w:rFonts w:asciiTheme="majorBidi" w:hAnsiTheme="majorBidi" w:cstheme="majorBidi"/>
          <w:b/>
          <w:bCs/>
          <w:iCs/>
          <w:sz w:val="24"/>
          <w:szCs w:val="24"/>
        </w:rPr>
      </w:pPr>
    </w:p>
    <w:p w:rsidR="00980470" w:rsidRDefault="00980470" w:rsidP="00CC29E3">
      <w:pPr>
        <w:jc w:val="center"/>
        <w:rPr>
          <w:rFonts w:asciiTheme="majorBidi" w:hAnsiTheme="majorBidi" w:cstheme="majorBidi"/>
          <w:b/>
          <w:bCs/>
          <w:iCs/>
          <w:sz w:val="24"/>
          <w:szCs w:val="24"/>
        </w:rPr>
      </w:pPr>
    </w:p>
    <w:p w:rsidR="00CC29E3" w:rsidRPr="00D01F8F" w:rsidRDefault="00CC29E3" w:rsidP="00CC29E3">
      <w:pPr>
        <w:jc w:val="center"/>
        <w:rPr>
          <w:rFonts w:asciiTheme="majorBidi" w:hAnsiTheme="majorBidi" w:cstheme="majorBidi"/>
          <w:b/>
          <w:i/>
          <w:sz w:val="24"/>
          <w:szCs w:val="24"/>
        </w:rPr>
      </w:pPr>
      <w:r w:rsidRPr="00D01F8F">
        <w:rPr>
          <w:rFonts w:asciiTheme="majorBidi" w:hAnsiTheme="majorBidi" w:cstheme="majorBidi"/>
          <w:b/>
          <w:bCs/>
          <w:iCs/>
          <w:sz w:val="24"/>
          <w:szCs w:val="24"/>
        </w:rPr>
        <w:t>Annexe 11: Matrice de corrélation Nigelle</w:t>
      </w:r>
      <w:r w:rsidRPr="00D01F8F">
        <w:rPr>
          <w:rFonts w:asciiTheme="majorBidi" w:hAnsiTheme="majorBidi" w:cstheme="majorBidi"/>
          <w:b/>
          <w:bCs/>
          <w:i/>
          <w:sz w:val="24"/>
          <w:szCs w:val="24"/>
        </w:rPr>
        <w:t xml:space="preserve"> </w:t>
      </w:r>
      <w:r w:rsidRPr="00D01F8F">
        <w:rPr>
          <w:rFonts w:asciiTheme="majorBidi" w:hAnsiTheme="majorBidi" w:cstheme="majorBidi"/>
          <w:b/>
          <w:i/>
          <w:sz w:val="24"/>
          <w:szCs w:val="24"/>
        </w:rPr>
        <w:t xml:space="preserve">(Nigella sativa </w:t>
      </w:r>
      <w:r w:rsidRPr="00D01F8F">
        <w:rPr>
          <w:rFonts w:asciiTheme="majorBidi" w:hAnsiTheme="majorBidi" w:cstheme="majorBidi"/>
          <w:b/>
          <w:iCs/>
          <w:sz w:val="24"/>
          <w:szCs w:val="24"/>
        </w:rPr>
        <w:t>L</w:t>
      </w:r>
      <w:r w:rsidRPr="00D01F8F">
        <w:rPr>
          <w:rFonts w:asciiTheme="majorBidi" w:hAnsiTheme="majorBidi" w:cstheme="majorBidi"/>
          <w:b/>
          <w:i/>
          <w:sz w:val="24"/>
          <w:szCs w:val="24"/>
        </w:rPr>
        <w:t>.)</w:t>
      </w:r>
    </w:p>
    <w:p w:rsidR="00CC29E3" w:rsidRPr="00D01F8F" w:rsidRDefault="00CC29E3" w:rsidP="00CC29E3">
      <w:pPr>
        <w:tabs>
          <w:tab w:val="left" w:pos="8240"/>
        </w:tabs>
        <w:spacing w:after="120" w:line="240" w:lineRule="auto"/>
        <w:rPr>
          <w:rFonts w:asciiTheme="majorBidi" w:hAnsiTheme="majorBidi" w:cstheme="majorBidi"/>
          <w:bCs/>
          <w:color w:val="000000"/>
          <w:sz w:val="24"/>
          <w:szCs w:val="24"/>
        </w:rPr>
      </w:pPr>
      <w:r w:rsidRPr="00D01F8F">
        <w:rPr>
          <w:rFonts w:asciiTheme="majorBidi" w:hAnsiTheme="majorBidi" w:cstheme="majorBidi"/>
          <w:bCs/>
          <w:color w:val="000000"/>
          <w:sz w:val="24"/>
          <w:szCs w:val="24"/>
        </w:rPr>
        <w:t xml:space="preserve">Les corrélations </w:t>
      </w:r>
      <w:r w:rsidRPr="00D01F8F">
        <w:rPr>
          <w:rFonts w:asciiTheme="majorBidi" w:hAnsiTheme="majorBidi" w:cstheme="majorBidi"/>
          <w:iCs/>
          <w:color w:val="000000"/>
          <w:sz w:val="24"/>
          <w:szCs w:val="24"/>
        </w:rPr>
        <w:t>en gras et en italic</w:t>
      </w:r>
      <w:r w:rsidRPr="00D01F8F">
        <w:rPr>
          <w:rFonts w:asciiTheme="majorBidi" w:hAnsiTheme="majorBidi" w:cstheme="majorBidi"/>
          <w:color w:val="000000"/>
          <w:sz w:val="24"/>
          <w:szCs w:val="24"/>
        </w:rPr>
        <w:t xml:space="preserve"> sont</w:t>
      </w:r>
      <w:r w:rsidRPr="00D01F8F">
        <w:rPr>
          <w:rFonts w:asciiTheme="majorBidi" w:hAnsiTheme="majorBidi" w:cstheme="majorBidi"/>
          <w:bCs/>
          <w:color w:val="000000"/>
          <w:sz w:val="24"/>
          <w:szCs w:val="24"/>
        </w:rPr>
        <w:t xml:space="preserve"> significatives à p &lt; 0,05 (DDL=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3"/>
        <w:gridCol w:w="832"/>
        <w:gridCol w:w="807"/>
        <w:gridCol w:w="805"/>
        <w:gridCol w:w="827"/>
        <w:gridCol w:w="807"/>
        <w:gridCol w:w="807"/>
        <w:gridCol w:w="807"/>
        <w:gridCol w:w="807"/>
        <w:gridCol w:w="807"/>
        <w:gridCol w:w="807"/>
        <w:gridCol w:w="833"/>
      </w:tblGrid>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sz w:val="20"/>
                <w:szCs w:val="20"/>
              </w:rPr>
            </w:pPr>
          </w:p>
        </w:tc>
        <w:tc>
          <w:tcPr>
            <w:tcW w:w="410" w:type="pct"/>
            <w:tcBorders>
              <w:top w:val="single" w:sz="4" w:space="0" w:color="000000"/>
              <w:left w:val="single" w:sz="4" w:space="0" w:color="000000"/>
              <w:bottom w:val="single" w:sz="4" w:space="0" w:color="000000"/>
              <w:right w:val="single" w:sz="4" w:space="0" w:color="000000"/>
            </w:tcBorders>
            <w:vAlign w:val="bottom"/>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VGJ</w:t>
            </w:r>
          </w:p>
        </w:tc>
        <w:tc>
          <w:tcPr>
            <w:tcW w:w="39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CG</w:t>
            </w:r>
          </w:p>
        </w:tc>
        <w:tc>
          <w:tcPr>
            <w:tcW w:w="39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VG</w:t>
            </w:r>
          </w:p>
        </w:tc>
        <w:tc>
          <w:tcPr>
            <w:tcW w:w="40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PGL</w:t>
            </w:r>
          </w:p>
        </w:tc>
        <w:tc>
          <w:tcPr>
            <w:tcW w:w="39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BF</w:t>
            </w:r>
          </w:p>
        </w:tc>
        <w:tc>
          <w:tcPr>
            <w:tcW w:w="39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DF</w:t>
            </w:r>
          </w:p>
        </w:tc>
        <w:tc>
          <w:tcPr>
            <w:tcW w:w="39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PF</w:t>
            </w:r>
          </w:p>
        </w:tc>
        <w:tc>
          <w:tcPr>
            <w:tcW w:w="39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FF</w:t>
            </w:r>
          </w:p>
        </w:tc>
        <w:tc>
          <w:tcPr>
            <w:tcW w:w="39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FCs</w:t>
            </w:r>
          </w:p>
        </w:tc>
        <w:tc>
          <w:tcPr>
            <w:tcW w:w="39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1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VCH</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VGJ</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CG</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Cs/>
                <w:iCs/>
                <w:sz w:val="20"/>
                <w:szCs w:val="20"/>
              </w:rPr>
            </w:pPr>
            <w:r w:rsidRPr="00D01F8F">
              <w:rPr>
                <w:rFonts w:asciiTheme="majorBidi" w:hAnsiTheme="majorBidi" w:cstheme="majorBidi"/>
                <w:bCs/>
                <w:iCs/>
                <w:sz w:val="20"/>
                <w:szCs w:val="20"/>
              </w:rPr>
              <w:t>1,00</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VG</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0,88</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PGL</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0,23</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0,31</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BF</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0,71</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0,66</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DF</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0,87</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0,95</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90"/>
        </w:trPr>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PF</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-0,45</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-0,31</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FF</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1,00</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0,85</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FCs</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0,90</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0,61</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0,49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rPr>
          <w:trHeight w:val="288"/>
        </w:trPr>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M</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-0,89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-0,84</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-0,89</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-0,84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VCH</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0,82</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0,92</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-0,99</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ETF</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0,90</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0,69</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-0,86</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0,78</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NR1</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0,57</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0,87</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-0,84</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0,91</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NR2</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0,49</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0,72</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-0,88</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0,90</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NR3</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0,53</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0,07</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-0,27</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0,14</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NTR</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0,63</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0,77</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-0,95</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0,95</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NCsP</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0,53</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0,73</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-0,90</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0,92</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PCsP</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0,20</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0,57</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-0,65</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0,72</w:t>
            </w:r>
          </w:p>
        </w:tc>
      </w:tr>
      <w:tr w:rsidR="00CC29E3" w:rsidRPr="00D01F8F" w:rsidTr="008514DE">
        <w:trPr>
          <w:trHeight w:val="90"/>
        </w:trPr>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LCs</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-0,03</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-0,26</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-0,66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-0,48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0,56</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-0,57</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DCs</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-0,79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-0,96</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-0,76</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-0,81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0,85</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-0,78</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NVC</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-0,30</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0,19</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0,00</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0,13</w:t>
            </w:r>
          </w:p>
        </w:tc>
      </w:tr>
      <w:tr w:rsidR="00CC29E3" w:rsidRPr="00D01F8F" w:rsidTr="008514DE">
        <w:trPr>
          <w:trHeight w:val="288"/>
        </w:trPr>
        <w:tc>
          <w:tcPr>
            <w:tcW w:w="58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NGRS</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0,02</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0,49</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-0,27</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0,40</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NGRAE</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-0,84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-0,53</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-0,86</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-0,53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0,76</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-0,85</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NTGR</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-0,68</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-0,29</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0,75</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-0,72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0,55</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-0,43</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PCs</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-0,45</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-0,15</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w:t>
            </w:r>
            <w:r w:rsidRPr="00D01F8F">
              <w:rPr>
                <w:rFonts w:asciiTheme="majorBidi" w:hAnsiTheme="majorBidi" w:cstheme="majorBidi"/>
                <w:b/>
                <w:i/>
                <w:sz w:val="20"/>
                <w:szCs w:val="20"/>
              </w:rPr>
              <w:t>0,50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0,55</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-0,43</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PGRS</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-0,64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-0,90</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-0,61</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-0,76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-0,92</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-0,93</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0,73</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-0,65</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P1000</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w:t>
            </w:r>
            <w:r w:rsidRPr="00D01F8F">
              <w:rPr>
                <w:rFonts w:asciiTheme="majorBidi" w:hAnsiTheme="majorBidi" w:cstheme="majorBidi"/>
                <w:b/>
                <w:i/>
                <w:sz w:val="20"/>
                <w:szCs w:val="20"/>
              </w:rPr>
              <w:t>0,50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-0,11</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-0,54</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0,22</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-0,36</w:t>
            </w:r>
          </w:p>
        </w:tc>
      </w:tr>
      <w:tr w:rsidR="00CC29E3" w:rsidRPr="00D01F8F" w:rsidTr="008514DE">
        <w:tc>
          <w:tcPr>
            <w:tcW w:w="58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RPG</w:t>
            </w:r>
          </w:p>
        </w:tc>
        <w:tc>
          <w:tcPr>
            <w:tcW w:w="410"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0,71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0,44</w:t>
            </w:r>
          </w:p>
        </w:tc>
        <w:tc>
          <w:tcPr>
            <w:tcW w:w="397"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0,73</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0,76</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0,51</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0,38</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-0,36</w:t>
            </w:r>
          </w:p>
        </w:tc>
        <w:tc>
          <w:tcPr>
            <w:tcW w:w="41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0,48</w:t>
            </w:r>
          </w:p>
        </w:tc>
      </w:tr>
    </w:tbl>
    <w:p w:rsidR="00CC29E3" w:rsidRPr="00D01F8F" w:rsidRDefault="00CC29E3" w:rsidP="00CC29E3">
      <w:pPr>
        <w:spacing w:after="0" w:line="240" w:lineRule="auto"/>
        <w:rPr>
          <w:rFonts w:asciiTheme="majorBidi" w:hAnsiTheme="majorBidi" w:cstheme="majorBidi"/>
          <w:bCs/>
          <w:color w:val="FF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8"/>
        <w:gridCol w:w="816"/>
        <w:gridCol w:w="819"/>
        <w:gridCol w:w="819"/>
        <w:gridCol w:w="821"/>
        <w:gridCol w:w="827"/>
        <w:gridCol w:w="856"/>
        <w:gridCol w:w="837"/>
        <w:gridCol w:w="807"/>
        <w:gridCol w:w="815"/>
        <w:gridCol w:w="833"/>
        <w:gridCol w:w="941"/>
      </w:tblGrid>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jc w:val="center"/>
              <w:rPr>
                <w:rFonts w:asciiTheme="majorBidi" w:hAnsiTheme="majorBidi" w:cstheme="majorBidi"/>
                <w:b/>
                <w:bCs/>
                <w:sz w:val="20"/>
                <w:szCs w:val="20"/>
              </w:rPr>
            </w:pPr>
          </w:p>
        </w:tc>
        <w:tc>
          <w:tcPr>
            <w:tcW w:w="40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ETF</w:t>
            </w:r>
          </w:p>
        </w:tc>
        <w:tc>
          <w:tcPr>
            <w:tcW w:w="404"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NR1</w:t>
            </w:r>
          </w:p>
        </w:tc>
        <w:tc>
          <w:tcPr>
            <w:tcW w:w="404"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NR2</w:t>
            </w:r>
          </w:p>
        </w:tc>
        <w:tc>
          <w:tcPr>
            <w:tcW w:w="405" w:type="pct"/>
            <w:tcBorders>
              <w:top w:val="single" w:sz="4" w:space="0" w:color="000000"/>
              <w:left w:val="single" w:sz="4" w:space="0" w:color="000000"/>
              <w:bottom w:val="single" w:sz="4" w:space="0" w:color="000000"/>
              <w:right w:val="single" w:sz="4" w:space="0" w:color="000000"/>
            </w:tcBorders>
            <w:vAlign w:val="bottom"/>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NR3</w:t>
            </w:r>
          </w:p>
        </w:tc>
        <w:tc>
          <w:tcPr>
            <w:tcW w:w="40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NTR</w:t>
            </w:r>
          </w:p>
        </w:tc>
        <w:tc>
          <w:tcPr>
            <w:tcW w:w="42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NCsP</w:t>
            </w:r>
          </w:p>
        </w:tc>
        <w:tc>
          <w:tcPr>
            <w:tcW w:w="413"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PCsP</w:t>
            </w:r>
          </w:p>
        </w:tc>
        <w:tc>
          <w:tcPr>
            <w:tcW w:w="398"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LCs</w:t>
            </w:r>
          </w:p>
        </w:tc>
        <w:tc>
          <w:tcPr>
            <w:tcW w:w="402"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DCs</w:t>
            </w:r>
          </w:p>
        </w:tc>
        <w:tc>
          <w:tcPr>
            <w:tcW w:w="411"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NVC</w:t>
            </w:r>
          </w:p>
        </w:tc>
        <w:tc>
          <w:tcPr>
            <w:tcW w:w="465"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NGRS</w:t>
            </w:r>
          </w:p>
        </w:tc>
      </w:tr>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ETF</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6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NR1</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0,45</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6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NR2</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0,54</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0,93</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4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6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NR3</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0,72</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-0,29</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-0,13</w:t>
            </w:r>
          </w:p>
        </w:tc>
        <w:tc>
          <w:tcPr>
            <w:tcW w:w="4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6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NTR</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0,70</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0,89</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0,98</w:t>
            </w:r>
          </w:p>
        </w:tc>
        <w:tc>
          <w:tcPr>
            <w:tcW w:w="4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0,06</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6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NCsP</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0,60</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0,91</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1,00</w:t>
            </w:r>
          </w:p>
        </w:tc>
        <w:tc>
          <w:tcPr>
            <w:tcW w:w="4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-0,07</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0,99</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Cs/>
                <w:iCs/>
                <w:sz w:val="20"/>
                <w:szCs w:val="20"/>
              </w:rPr>
            </w:pPr>
            <w:r w:rsidRPr="00D01F8F">
              <w:rPr>
                <w:rFonts w:asciiTheme="majorBidi" w:hAnsiTheme="majorBidi" w:cstheme="majorBidi"/>
                <w:bCs/>
                <w:iCs/>
                <w:sz w:val="20"/>
                <w:szCs w:val="20"/>
              </w:rPr>
              <w:t>1,00</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6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PCsP</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0,19</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0,91</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0,92</w:t>
            </w:r>
          </w:p>
        </w:tc>
        <w:tc>
          <w:tcPr>
            <w:tcW w:w="4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-0,50</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sz w:val="20"/>
                <w:szCs w:val="20"/>
              </w:rPr>
            </w:pPr>
            <w:r w:rsidRPr="00D01F8F">
              <w:rPr>
                <w:rFonts w:asciiTheme="majorBidi" w:hAnsiTheme="majorBidi" w:cstheme="majorBidi"/>
                <w:b/>
                <w:i/>
                <w:sz w:val="20"/>
                <w:szCs w:val="20"/>
              </w:rPr>
              <w:t>0,83</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0,90</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6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LCs</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-0,24</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-0,65</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-0,86</w:t>
            </w:r>
          </w:p>
        </w:tc>
        <w:tc>
          <w:tcPr>
            <w:tcW w:w="4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0,25</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-0,79</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-0,85</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w:t>
            </w:r>
            <w:r w:rsidRPr="00D01F8F">
              <w:rPr>
                <w:rFonts w:asciiTheme="majorBidi" w:hAnsiTheme="majorBidi" w:cstheme="majorBidi"/>
                <w:b/>
                <w:i/>
                <w:sz w:val="20"/>
                <w:szCs w:val="20"/>
              </w:rPr>
              <w:t>0,87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6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DCs</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-0,98</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-0,47</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-0,49</w:t>
            </w:r>
          </w:p>
        </w:tc>
        <w:tc>
          <w:tcPr>
            <w:tcW w:w="4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-0,69</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i/>
                <w:sz w:val="20"/>
                <w:szCs w:val="20"/>
              </w:rPr>
            </w:pPr>
            <w:r w:rsidRPr="00D01F8F">
              <w:rPr>
                <w:rFonts w:asciiTheme="majorBidi" w:hAnsiTheme="majorBidi" w:cstheme="majorBidi"/>
                <w:b/>
                <w:i/>
                <w:sz w:val="20"/>
                <w:szCs w:val="20"/>
              </w:rPr>
              <w:t>-0,65</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-0,54</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-0,14</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0,11</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c>
          <w:tcPr>
            <w:tcW w:w="46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NVC</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-0,51</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0,53</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0,37</w:t>
            </w:r>
          </w:p>
        </w:tc>
        <w:tc>
          <w:tcPr>
            <w:tcW w:w="4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-0,96</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0,19</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0,31</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0,69</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-0,40</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0,48</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c>
          <w:tcPr>
            <w:tcW w:w="46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p>
        </w:tc>
      </w:tr>
      <w:tr w:rsidR="00CC29E3" w:rsidRPr="00D01F8F" w:rsidTr="008514DE">
        <w:tc>
          <w:tcPr>
            <w:tcW w:w="467" w:type="pct"/>
            <w:tcBorders>
              <w:top w:val="single" w:sz="4" w:space="0" w:color="000000"/>
              <w:left w:val="single" w:sz="4" w:space="0" w:color="000000"/>
              <w:bottom w:val="single" w:sz="4" w:space="0" w:color="000000"/>
              <w:right w:val="single" w:sz="4" w:space="0" w:color="000000"/>
            </w:tcBorders>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NGRS</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-0,24</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0,74</w:t>
            </w:r>
          </w:p>
        </w:tc>
        <w:tc>
          <w:tcPr>
            <w:tcW w:w="404"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0,54</w:t>
            </w:r>
          </w:p>
        </w:tc>
        <w:tc>
          <w:tcPr>
            <w:tcW w:w="40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-0,84</w:t>
            </w:r>
          </w:p>
        </w:tc>
        <w:tc>
          <w:tcPr>
            <w:tcW w:w="40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0,39</w:t>
            </w:r>
          </w:p>
        </w:tc>
        <w:tc>
          <w:tcPr>
            <w:tcW w:w="42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0,48</w:t>
            </w:r>
          </w:p>
        </w:tc>
        <w:tc>
          <w:tcPr>
            <w:tcW w:w="413"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0,77</w:t>
            </w:r>
          </w:p>
        </w:tc>
        <w:tc>
          <w:tcPr>
            <w:tcW w:w="398"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-0,40</w:t>
            </w:r>
          </w:p>
        </w:tc>
        <w:tc>
          <w:tcPr>
            <w:tcW w:w="402"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0,19</w:t>
            </w:r>
          </w:p>
        </w:tc>
        <w:tc>
          <w:tcPr>
            <w:tcW w:w="411"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b/>
                <w:i/>
                <w:sz w:val="20"/>
                <w:szCs w:val="20"/>
              </w:rPr>
            </w:pPr>
            <w:r w:rsidRPr="00D01F8F">
              <w:rPr>
                <w:rFonts w:asciiTheme="majorBidi" w:hAnsiTheme="majorBidi" w:cstheme="majorBidi"/>
                <w:b/>
                <w:i/>
                <w:sz w:val="20"/>
                <w:szCs w:val="20"/>
              </w:rPr>
              <w:t>0,95</w:t>
            </w:r>
          </w:p>
        </w:tc>
        <w:tc>
          <w:tcPr>
            <w:tcW w:w="465" w:type="pct"/>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right"/>
              <w:rPr>
                <w:rFonts w:asciiTheme="majorBidi" w:hAnsiTheme="majorBidi" w:cstheme="majorBidi"/>
                <w:sz w:val="20"/>
                <w:szCs w:val="20"/>
              </w:rPr>
            </w:pPr>
            <w:r w:rsidRPr="00D01F8F">
              <w:rPr>
                <w:rFonts w:asciiTheme="majorBidi" w:hAnsiTheme="majorBidi" w:cstheme="majorBidi"/>
                <w:sz w:val="20"/>
                <w:szCs w:val="20"/>
              </w:rPr>
              <w:t>1,00</w:t>
            </w:r>
          </w:p>
        </w:tc>
      </w:tr>
    </w:tbl>
    <w:p w:rsidR="00CC29E3" w:rsidRPr="00D01F8F" w:rsidRDefault="00CC29E3" w:rsidP="00CC29E3">
      <w:pPr>
        <w:spacing w:after="0" w:line="240" w:lineRule="auto"/>
        <w:rPr>
          <w:rFonts w:asciiTheme="majorBidi" w:hAnsiTheme="majorBidi" w:cstheme="majorBidi"/>
          <w:b/>
          <w:bCs/>
          <w:i/>
          <w:sz w:val="24"/>
          <w:szCs w:val="24"/>
        </w:rPr>
      </w:pPr>
    </w:p>
    <w:tbl>
      <w:tblPr>
        <w:tblW w:w="6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83"/>
        <w:gridCol w:w="1083"/>
        <w:gridCol w:w="910"/>
        <w:gridCol w:w="737"/>
        <w:gridCol w:w="857"/>
        <w:gridCol w:w="843"/>
        <w:gridCol w:w="723"/>
      </w:tblGrid>
      <w:tr w:rsidR="00CC29E3" w:rsidRPr="00D01F8F" w:rsidTr="008514DE">
        <w:trPr>
          <w:trHeight w:val="20"/>
        </w:trPr>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sz w:val="20"/>
                <w:szCs w:val="20"/>
              </w:rPr>
            </w:pPr>
          </w:p>
        </w:tc>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NGRAE</w:t>
            </w:r>
          </w:p>
        </w:tc>
        <w:tc>
          <w:tcPr>
            <w:tcW w:w="91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NTGR</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PCs</w:t>
            </w:r>
          </w:p>
        </w:tc>
        <w:tc>
          <w:tcPr>
            <w:tcW w:w="85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PGRS</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P1000</w:t>
            </w:r>
          </w:p>
        </w:tc>
        <w:tc>
          <w:tcPr>
            <w:tcW w:w="72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bCs/>
                <w:iCs/>
                <w:sz w:val="20"/>
                <w:szCs w:val="20"/>
              </w:rPr>
            </w:pPr>
            <w:r w:rsidRPr="00D01F8F">
              <w:rPr>
                <w:rFonts w:asciiTheme="majorBidi" w:hAnsiTheme="majorBidi" w:cstheme="majorBidi"/>
                <w:b/>
                <w:bCs/>
                <w:iCs/>
                <w:sz w:val="20"/>
                <w:szCs w:val="20"/>
              </w:rPr>
              <w:t>RPG</w:t>
            </w:r>
          </w:p>
        </w:tc>
      </w:tr>
      <w:tr w:rsidR="00CC29E3" w:rsidRPr="00D01F8F" w:rsidTr="008514DE">
        <w:trPr>
          <w:trHeight w:val="20"/>
        </w:trPr>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NGRAE</w:t>
            </w:r>
          </w:p>
        </w:tc>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91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85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NTGR</w:t>
            </w:r>
          </w:p>
        </w:tc>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-0,12</w:t>
            </w:r>
          </w:p>
        </w:tc>
        <w:tc>
          <w:tcPr>
            <w:tcW w:w="91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85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PCs</w:t>
            </w:r>
          </w:p>
        </w:tc>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-0,08</w:t>
            </w:r>
          </w:p>
        </w:tc>
        <w:tc>
          <w:tcPr>
            <w:tcW w:w="91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0,90</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Cs/>
                <w:iCs/>
                <w:sz w:val="20"/>
                <w:szCs w:val="20"/>
              </w:rPr>
            </w:pPr>
            <w:r w:rsidRPr="00D01F8F">
              <w:rPr>
                <w:rFonts w:asciiTheme="majorBidi" w:hAnsiTheme="majorBidi" w:cstheme="majorBidi"/>
                <w:bCs/>
                <w:iCs/>
                <w:sz w:val="20"/>
                <w:szCs w:val="20"/>
              </w:rPr>
              <w:t>1,00</w:t>
            </w:r>
          </w:p>
        </w:tc>
        <w:tc>
          <w:tcPr>
            <w:tcW w:w="85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PGRS</w:t>
            </w:r>
          </w:p>
        </w:tc>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0,18</w:t>
            </w:r>
          </w:p>
        </w:tc>
        <w:tc>
          <w:tcPr>
            <w:tcW w:w="91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0,93</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0,75</w:t>
            </w:r>
          </w:p>
        </w:tc>
        <w:tc>
          <w:tcPr>
            <w:tcW w:w="85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P1000</w:t>
            </w:r>
          </w:p>
        </w:tc>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sz w:val="20"/>
                <w:szCs w:val="20"/>
              </w:rPr>
            </w:pPr>
            <w:r w:rsidRPr="00D01F8F">
              <w:rPr>
                <w:rFonts w:asciiTheme="majorBidi" w:hAnsiTheme="majorBidi" w:cstheme="majorBidi"/>
                <w:b/>
                <w:i/>
                <w:sz w:val="20"/>
                <w:szCs w:val="20"/>
              </w:rPr>
              <w:t>0,79</w:t>
            </w:r>
          </w:p>
        </w:tc>
        <w:tc>
          <w:tcPr>
            <w:tcW w:w="91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i/>
                <w:sz w:val="20"/>
                <w:szCs w:val="20"/>
              </w:rPr>
            </w:pPr>
            <w:r w:rsidRPr="00D01F8F">
              <w:rPr>
                <w:rFonts w:asciiTheme="majorBidi" w:hAnsiTheme="majorBidi" w:cstheme="majorBidi"/>
                <w:b/>
                <w:i/>
                <w:sz w:val="20"/>
                <w:szCs w:val="20"/>
              </w:rPr>
              <w:t>-0,65</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-0,67</w:t>
            </w:r>
          </w:p>
        </w:tc>
        <w:tc>
          <w:tcPr>
            <w:tcW w:w="85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-0,34</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c>
          <w:tcPr>
            <w:tcW w:w="72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p>
        </w:tc>
      </w:tr>
      <w:tr w:rsidR="00CC29E3" w:rsidRPr="00D01F8F" w:rsidTr="008514DE">
        <w:trPr>
          <w:trHeight w:val="20"/>
        </w:trPr>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rPr>
                <w:rFonts w:asciiTheme="majorBidi" w:hAnsiTheme="majorBidi" w:cstheme="majorBidi"/>
                <w:b/>
                <w:bCs/>
                <w:iCs/>
                <w:sz w:val="20"/>
                <w:szCs w:val="20"/>
              </w:rPr>
            </w:pPr>
            <w:r w:rsidRPr="00D01F8F">
              <w:rPr>
                <w:rFonts w:asciiTheme="majorBidi" w:hAnsiTheme="majorBidi" w:cstheme="majorBidi"/>
                <w:b/>
                <w:bCs/>
                <w:iCs/>
                <w:sz w:val="20"/>
                <w:szCs w:val="20"/>
              </w:rPr>
              <w:t>RPG</w:t>
            </w:r>
          </w:p>
        </w:tc>
        <w:tc>
          <w:tcPr>
            <w:tcW w:w="108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-0,77</w:t>
            </w:r>
          </w:p>
        </w:tc>
        <w:tc>
          <w:tcPr>
            <w:tcW w:w="910"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0,37</w:t>
            </w:r>
          </w:p>
        </w:tc>
        <w:tc>
          <w:tcPr>
            <w:tcW w:w="73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0,56</w:t>
            </w:r>
          </w:p>
        </w:tc>
        <w:tc>
          <w:tcPr>
            <w:tcW w:w="857"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0,00</w:t>
            </w:r>
          </w:p>
        </w:tc>
        <w:tc>
          <w:tcPr>
            <w:tcW w:w="84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b/>
                <w:i/>
                <w:sz w:val="20"/>
                <w:szCs w:val="20"/>
              </w:rPr>
            </w:pPr>
            <w:r w:rsidRPr="00D01F8F">
              <w:rPr>
                <w:rFonts w:asciiTheme="majorBidi" w:hAnsiTheme="majorBidi" w:cstheme="majorBidi"/>
                <w:b/>
                <w:i/>
                <w:sz w:val="20"/>
                <w:szCs w:val="20"/>
              </w:rPr>
              <w:t>-0,91</w:t>
            </w:r>
          </w:p>
        </w:tc>
        <w:tc>
          <w:tcPr>
            <w:tcW w:w="723" w:type="dxa"/>
            <w:tcBorders>
              <w:top w:val="single" w:sz="4" w:space="0" w:color="000000"/>
              <w:left w:val="single" w:sz="4" w:space="0" w:color="000000"/>
              <w:bottom w:val="single" w:sz="4" w:space="0" w:color="000000"/>
              <w:right w:val="single" w:sz="4" w:space="0" w:color="000000"/>
            </w:tcBorders>
            <w:vAlign w:val="center"/>
          </w:tcPr>
          <w:p w:rsidR="00CC29E3" w:rsidRPr="00D01F8F" w:rsidRDefault="00CC29E3" w:rsidP="008514DE">
            <w:pPr>
              <w:spacing w:after="0" w:line="240" w:lineRule="auto"/>
              <w:jc w:val="center"/>
              <w:rPr>
                <w:rFonts w:asciiTheme="majorBidi" w:hAnsiTheme="majorBidi" w:cstheme="majorBidi"/>
                <w:sz w:val="20"/>
                <w:szCs w:val="20"/>
              </w:rPr>
            </w:pPr>
            <w:r w:rsidRPr="00D01F8F">
              <w:rPr>
                <w:rFonts w:asciiTheme="majorBidi" w:hAnsiTheme="majorBidi" w:cstheme="majorBidi"/>
                <w:sz w:val="20"/>
                <w:szCs w:val="20"/>
              </w:rPr>
              <w:t>1,00</w:t>
            </w:r>
          </w:p>
        </w:tc>
      </w:tr>
    </w:tbl>
    <w:p w:rsidR="00CC29E3" w:rsidRPr="00D01F8F" w:rsidRDefault="00CC29E3" w:rsidP="00CC29E3">
      <w:pPr>
        <w:jc w:val="center"/>
        <w:rPr>
          <w:rFonts w:asciiTheme="majorBidi" w:hAnsiTheme="majorBidi" w:cstheme="majorBidi"/>
          <w:b/>
          <w:bCs/>
          <w:i/>
          <w:sz w:val="24"/>
          <w:szCs w:val="24"/>
        </w:rPr>
      </w:pPr>
      <w:r w:rsidRPr="00D01F8F">
        <w:rPr>
          <w:rFonts w:asciiTheme="majorBidi" w:hAnsiTheme="majorBidi" w:cstheme="majorBidi"/>
          <w:b/>
          <w:bCs/>
          <w:i/>
          <w:sz w:val="24"/>
          <w:szCs w:val="24"/>
        </w:rPr>
        <w:br w:type="page"/>
      </w:r>
      <w:r w:rsidRPr="00D01F8F">
        <w:rPr>
          <w:rFonts w:asciiTheme="majorBidi" w:hAnsiTheme="majorBidi" w:cstheme="majorBidi"/>
          <w:b/>
          <w:iCs/>
          <w:sz w:val="24"/>
          <w:szCs w:val="24"/>
        </w:rPr>
        <w:lastRenderedPageBreak/>
        <w:t>Annexe 12 : Le cycle végétatif de la Nigelle</w:t>
      </w:r>
      <w:r w:rsidRPr="00D01F8F">
        <w:rPr>
          <w:rFonts w:asciiTheme="majorBidi" w:hAnsiTheme="majorBidi" w:cstheme="majorBidi"/>
          <w:b/>
          <w:i/>
          <w:sz w:val="24"/>
          <w:szCs w:val="24"/>
        </w:rPr>
        <w:t xml:space="preserve"> (</w:t>
      </w:r>
      <w:r w:rsidRPr="00D01F8F">
        <w:rPr>
          <w:rFonts w:asciiTheme="majorBidi" w:hAnsiTheme="majorBidi" w:cstheme="majorBidi"/>
          <w:b/>
          <w:i/>
          <w:iCs/>
          <w:sz w:val="24"/>
          <w:szCs w:val="24"/>
        </w:rPr>
        <w:t>Nigella sativa</w:t>
      </w:r>
      <w:r w:rsidRPr="00D01F8F">
        <w:rPr>
          <w:rFonts w:asciiTheme="majorBidi" w:hAnsiTheme="majorBidi" w:cstheme="majorBidi"/>
          <w:b/>
          <w:i/>
          <w:sz w:val="24"/>
          <w:szCs w:val="24"/>
        </w:rPr>
        <w:t xml:space="preserve"> </w:t>
      </w:r>
      <w:r w:rsidRPr="00D01F8F">
        <w:rPr>
          <w:rFonts w:asciiTheme="majorBidi" w:hAnsiTheme="majorBidi" w:cstheme="majorBidi"/>
          <w:b/>
          <w:iCs/>
          <w:sz w:val="24"/>
          <w:szCs w:val="24"/>
        </w:rPr>
        <w:t>L.)</w:t>
      </w:r>
    </w:p>
    <w:p w:rsidR="00CC29E3" w:rsidRPr="00D01F8F" w:rsidRDefault="00CC29E3" w:rsidP="00CC29E3">
      <w:pPr>
        <w:tabs>
          <w:tab w:val="left" w:pos="1220"/>
        </w:tabs>
        <w:rPr>
          <w:rFonts w:asciiTheme="majorBidi" w:hAnsiTheme="majorBidi" w:cstheme="majorBidi"/>
        </w:rPr>
      </w:pPr>
    </w:p>
    <w:p w:rsidR="008A1C6B" w:rsidRPr="00D01F8F" w:rsidRDefault="00CB4176" w:rsidP="008A1C6B">
      <w:pPr>
        <w:spacing w:line="360" w:lineRule="auto"/>
        <w:ind w:firstLine="284"/>
        <w:jc w:val="lowKashida"/>
        <w:rPr>
          <w:rFonts w:asciiTheme="majorBidi" w:hAnsiTheme="majorBidi" w:cstheme="majorBidi"/>
          <w:sz w:val="24"/>
          <w:szCs w:val="24"/>
        </w:rPr>
      </w:pPr>
      <w:r w:rsidRPr="00CB4176">
        <w:rPr>
          <w:rFonts w:asciiTheme="majorBidi" w:hAnsiTheme="majorBidi" w:cstheme="majorBidi"/>
          <w:noProof/>
          <w:sz w:val="24"/>
          <w:szCs w:val="24"/>
        </w:rPr>
        <w:drawing>
          <wp:inline distT="0" distB="0" distL="0" distR="0">
            <wp:extent cx="5224272" cy="6048375"/>
            <wp:effectExtent l="76200" t="0" r="33528" b="0"/>
            <wp:docPr id="19" name="Diagramm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4A2A5D" w:rsidRPr="00D01F8F" w:rsidRDefault="004A2A5D">
      <w:pPr>
        <w:rPr>
          <w:rFonts w:asciiTheme="majorBidi" w:hAnsiTheme="majorBidi" w:cstheme="majorBidi"/>
        </w:rPr>
      </w:pPr>
    </w:p>
    <w:sectPr w:rsidR="004A2A5D" w:rsidRPr="00D01F8F" w:rsidSect="008619DB">
      <w:headerReference w:type="default" r:id="rId147"/>
      <w:footerReference w:type="default" r:id="rId148"/>
      <w:pgSz w:w="11906" w:h="16838"/>
      <w:pgMar w:top="993" w:right="849" w:bottom="1135"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623" w:rsidRDefault="00393623" w:rsidP="00A86BBF">
      <w:pPr>
        <w:spacing w:after="0" w:line="240" w:lineRule="auto"/>
      </w:pPr>
      <w:r>
        <w:separator/>
      </w:r>
    </w:p>
  </w:endnote>
  <w:endnote w:type="continuationSeparator" w:id="1">
    <w:p w:rsidR="00393623" w:rsidRDefault="00393623" w:rsidP="00A86B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486"/>
      <w:docPartObj>
        <w:docPartGallery w:val="Page Numbers (Bottom of Page)"/>
        <w:docPartUnique/>
      </w:docPartObj>
    </w:sdtPr>
    <w:sdtContent>
      <w:p w:rsidR="008F5138" w:rsidRDefault="008F5138">
        <w:pPr>
          <w:pStyle w:val="Pieddepage"/>
          <w:jc w:val="center"/>
        </w:pPr>
        <w:r w:rsidRPr="00F70009">
          <w:rPr>
            <w:rFonts w:asciiTheme="majorBidi" w:hAnsiTheme="majorBidi" w:cstheme="majorBidi"/>
            <w:b/>
            <w:bCs/>
          </w:rPr>
          <w:fldChar w:fldCharType="begin"/>
        </w:r>
        <w:r w:rsidRPr="00F70009">
          <w:rPr>
            <w:rFonts w:asciiTheme="majorBidi" w:hAnsiTheme="majorBidi" w:cstheme="majorBidi"/>
            <w:b/>
            <w:bCs/>
          </w:rPr>
          <w:instrText xml:space="preserve"> PAGE   \* MERGEFORMAT </w:instrText>
        </w:r>
        <w:r w:rsidRPr="00F70009">
          <w:rPr>
            <w:rFonts w:asciiTheme="majorBidi" w:hAnsiTheme="majorBidi" w:cstheme="majorBidi"/>
            <w:b/>
            <w:bCs/>
          </w:rPr>
          <w:fldChar w:fldCharType="separate"/>
        </w:r>
        <w:r>
          <w:rPr>
            <w:rFonts w:asciiTheme="majorBidi" w:hAnsiTheme="majorBidi" w:cstheme="majorBidi"/>
            <w:b/>
            <w:bCs/>
            <w:noProof/>
          </w:rPr>
          <w:t>I</w:t>
        </w:r>
        <w:r w:rsidRPr="00F70009">
          <w:rPr>
            <w:rFonts w:asciiTheme="majorBidi" w:hAnsiTheme="majorBidi" w:cstheme="majorBidi"/>
            <w:b/>
            <w:bCs/>
          </w:rPr>
          <w:fldChar w:fldCharType="end"/>
        </w:r>
      </w:p>
    </w:sdtContent>
  </w:sdt>
  <w:p w:rsidR="008F5138" w:rsidRDefault="008F5138" w:rsidP="00AE116C">
    <w:pPr>
      <w:pStyle w:val="Pieddepag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71362"/>
      <w:docPartObj>
        <w:docPartGallery w:val="Page Numbers (Bottom of Page)"/>
        <w:docPartUnique/>
      </w:docPartObj>
    </w:sdtPr>
    <w:sdtContent>
      <w:p w:rsidR="008F5138" w:rsidRDefault="008F5138">
        <w:pPr>
          <w:pStyle w:val="Pieddepage"/>
          <w:jc w:val="center"/>
        </w:pPr>
        <w:r w:rsidRPr="00F70009">
          <w:rPr>
            <w:rFonts w:asciiTheme="majorBidi" w:hAnsiTheme="majorBidi" w:cstheme="majorBidi"/>
            <w:b/>
            <w:bCs/>
          </w:rPr>
          <w:fldChar w:fldCharType="begin"/>
        </w:r>
        <w:r w:rsidRPr="00F70009">
          <w:rPr>
            <w:rFonts w:asciiTheme="majorBidi" w:hAnsiTheme="majorBidi" w:cstheme="majorBidi"/>
            <w:b/>
            <w:bCs/>
          </w:rPr>
          <w:instrText xml:space="preserve"> PAGE   \* MERGEFORMAT </w:instrText>
        </w:r>
        <w:r w:rsidRPr="00F70009">
          <w:rPr>
            <w:rFonts w:asciiTheme="majorBidi" w:hAnsiTheme="majorBidi" w:cstheme="majorBidi"/>
            <w:b/>
            <w:bCs/>
          </w:rPr>
          <w:fldChar w:fldCharType="separate"/>
        </w:r>
        <w:r w:rsidR="00E72AFD">
          <w:rPr>
            <w:rFonts w:asciiTheme="majorBidi" w:hAnsiTheme="majorBidi" w:cstheme="majorBidi"/>
            <w:b/>
            <w:bCs/>
            <w:noProof/>
          </w:rPr>
          <w:t>103</w:t>
        </w:r>
        <w:r w:rsidRPr="00F70009">
          <w:rPr>
            <w:rFonts w:asciiTheme="majorBidi" w:hAnsiTheme="majorBidi" w:cstheme="majorBidi"/>
            <w:b/>
            <w:bCs/>
          </w:rPr>
          <w:fldChar w:fldCharType="end"/>
        </w:r>
      </w:p>
    </w:sdtContent>
  </w:sdt>
  <w:p w:rsidR="008F5138" w:rsidRDefault="008F5138" w:rsidP="00AE116C">
    <w:pPr>
      <w:pStyle w:val="Pieddepag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38" w:rsidRDefault="008F5138" w:rsidP="00681019">
    <w:pPr>
      <w:pStyle w:val="Pieddepage"/>
    </w:pPr>
  </w:p>
  <w:p w:rsidR="008F5138" w:rsidRDefault="008F5138" w:rsidP="00AE116C">
    <w:pPr>
      <w:pStyle w:val="Pieddepag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623" w:rsidRDefault="00393623" w:rsidP="00A86BBF">
      <w:pPr>
        <w:spacing w:after="0" w:line="240" w:lineRule="auto"/>
      </w:pPr>
      <w:r>
        <w:separator/>
      </w:r>
    </w:p>
  </w:footnote>
  <w:footnote w:type="continuationSeparator" w:id="1">
    <w:p w:rsidR="00393623" w:rsidRDefault="00393623" w:rsidP="00A86B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38" w:rsidRDefault="008F5138">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38" w:rsidRPr="005E4EB8" w:rsidRDefault="008F5138" w:rsidP="00CC29E3">
    <w:pPr>
      <w:pStyle w:val="En-tte"/>
      <w:pBdr>
        <w:bottom w:val="single" w:sz="4" w:space="1" w:color="auto"/>
      </w:pBdr>
      <w:jc w:val="right"/>
      <w:rPr>
        <w:rStyle w:val="Numrodepage"/>
        <w:rFonts w:ascii="Calibri" w:hAnsi="Calibri"/>
        <w:sz w:val="20"/>
        <w:szCs w:val="20"/>
      </w:rPr>
    </w:pPr>
    <w:r w:rsidRPr="005E4EB8">
      <w:rPr>
        <w:rFonts w:ascii="Calibri" w:hAnsi="Calibri"/>
        <w:color w:val="808080"/>
        <w:sz w:val="20"/>
        <w:szCs w:val="20"/>
      </w:rPr>
      <w:t xml:space="preserve">    </w:t>
    </w:r>
    <w:r w:rsidRPr="005E4EB8">
      <w:rPr>
        <w:rFonts w:ascii="Calibri" w:hAnsi="Calibri"/>
        <w:noProof/>
        <w:color w:val="808080"/>
        <w:sz w:val="20"/>
        <w:szCs w:val="20"/>
      </w:rPr>
      <w:t xml:space="preserve">                                                                              </w:t>
    </w:r>
    <w:r>
      <w:rPr>
        <w:rFonts w:ascii="Calibri" w:hAnsi="Calibri"/>
        <w:noProof/>
        <w:color w:val="808080"/>
        <w:sz w:val="20"/>
        <w:szCs w:val="20"/>
      </w:rPr>
      <w:t xml:space="preserve">                          </w:t>
    </w:r>
    <w:r w:rsidRPr="005E4EB8">
      <w:rPr>
        <w:rFonts w:ascii="Calibri" w:hAnsi="Calibri"/>
        <w:noProof/>
        <w:color w:val="808080"/>
        <w:sz w:val="20"/>
        <w:szCs w:val="20"/>
      </w:rPr>
      <w:t xml:space="preserve">              </w:t>
    </w:r>
    <w:r>
      <w:rPr>
        <w:rFonts w:ascii="Calibri" w:hAnsi="Calibri"/>
        <w:noProof/>
        <w:color w:val="808080"/>
        <w:sz w:val="20"/>
        <w:szCs w:val="20"/>
      </w:rPr>
      <w:t xml:space="preserve">              </w:t>
    </w:r>
    <w:r w:rsidRPr="005E4EB8">
      <w:rPr>
        <w:rFonts w:ascii="Calibri" w:hAnsi="Calibri"/>
        <w:noProof/>
        <w:color w:val="808080"/>
        <w:sz w:val="20"/>
        <w:szCs w:val="20"/>
      </w:rPr>
      <w:t xml:space="preserve">    </w:t>
    </w:r>
    <w:r>
      <w:rPr>
        <w:rStyle w:val="Numrodepage"/>
        <w:rFonts w:ascii="Calibri" w:hAnsi="Calibri"/>
        <w:sz w:val="20"/>
        <w:szCs w:val="20"/>
      </w:rPr>
      <w:t>Annexes</w:t>
    </w:r>
  </w:p>
  <w:p w:rsidR="008F5138" w:rsidRDefault="008F5138" w:rsidP="00624433">
    <w:pPr>
      <w:pStyle w:val="En-tte"/>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38" w:rsidRDefault="008F5138">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38" w:rsidRPr="001D0CE0" w:rsidRDefault="008F5138" w:rsidP="0008171D">
    <w:pPr>
      <w:pStyle w:val="En-tte"/>
      <w:pBdr>
        <w:bottom w:val="single" w:sz="4" w:space="1" w:color="auto"/>
      </w:pBdr>
      <w:tabs>
        <w:tab w:val="left" w:pos="2580"/>
        <w:tab w:val="left" w:pos="2985"/>
      </w:tabs>
      <w:ind w:right="-425"/>
      <w:jc w:val="right"/>
      <w:rPr>
        <w:rFonts w:cs="Times New Roman"/>
        <w:sz w:val="20"/>
        <w:szCs w:val="20"/>
      </w:rPr>
    </w:pPr>
    <w:r>
      <w:rPr>
        <w:rFonts w:ascii="Calibri" w:hAnsi="Calibri"/>
        <w:noProof/>
        <w:color w:val="000000" w:themeColor="text1"/>
        <w:sz w:val="20"/>
        <w:szCs w:val="20"/>
      </w:rPr>
      <w:t>Introduction</w:t>
    </w:r>
    <w:r w:rsidRPr="001D0CE0">
      <w:rPr>
        <w:color w:val="808080"/>
        <w:sz w:val="20"/>
        <w:szCs w:val="20"/>
      </w:rPr>
      <w:t xml:space="preserve">    </w:t>
    </w:r>
    <w:r w:rsidRPr="001D0CE0">
      <w:rPr>
        <w:noProof/>
        <w:color w:val="808080"/>
        <w:sz w:val="20"/>
        <w:szCs w:val="20"/>
      </w:rPr>
      <w:t xml:space="preserve">                                                                                                                                                      </w:t>
    </w:r>
    <w:r w:rsidRPr="001D0CE0">
      <w:rPr>
        <w:rFonts w:cs="Times New Roman"/>
        <w:sz w:val="20"/>
        <w:szCs w:val="2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38" w:rsidRDefault="008F5138" w:rsidP="001D0CE0">
    <w:pPr>
      <w:pStyle w:val="En-tte"/>
      <w:pBdr>
        <w:bottom w:val="single" w:sz="4" w:space="1" w:color="auto"/>
      </w:pBdr>
      <w:tabs>
        <w:tab w:val="left" w:pos="2580"/>
        <w:tab w:val="left" w:pos="2985"/>
      </w:tabs>
      <w:ind w:right="-283"/>
      <w:jc w:val="right"/>
    </w:pPr>
    <w:r>
      <w:rPr>
        <w:color w:val="808080"/>
        <w:sz w:val="20"/>
        <w:szCs w:val="20"/>
      </w:rPr>
      <w:t xml:space="preserve">             </w:t>
    </w:r>
    <w:r w:rsidRPr="00B620BB">
      <w:rPr>
        <w:color w:val="808080"/>
        <w:sz w:val="20"/>
        <w:szCs w:val="20"/>
      </w:rPr>
      <w:t xml:space="preserve">                                                                                          </w:t>
    </w:r>
    <w:r>
      <w:rPr>
        <w:color w:val="808080"/>
        <w:sz w:val="20"/>
        <w:szCs w:val="20"/>
      </w:rPr>
      <w:t xml:space="preserve">             </w:t>
    </w:r>
    <w:r w:rsidRPr="00B620BB">
      <w:rPr>
        <w:color w:val="808080"/>
        <w:sz w:val="20"/>
        <w:szCs w:val="20"/>
      </w:rPr>
      <w:t xml:space="preserve">    </w:t>
    </w:r>
    <w:r>
      <w:rPr>
        <w:color w:val="808080"/>
        <w:sz w:val="20"/>
        <w:szCs w:val="20"/>
      </w:rPr>
      <w:t xml:space="preserve">                          </w:t>
    </w:r>
    <w:r w:rsidRPr="00D36B6B">
      <w:rPr>
        <w:rFonts w:ascii="Calibri" w:hAnsi="Calibri"/>
        <w:noProof/>
        <w:color w:val="000000" w:themeColor="text1"/>
        <w:sz w:val="20"/>
        <w:szCs w:val="20"/>
      </w:rPr>
      <w:t xml:space="preserve">Chapitre </w:t>
    </w:r>
    <w:r>
      <w:rPr>
        <w:rFonts w:asciiTheme="majorBidi" w:hAnsiTheme="majorBidi" w:cstheme="majorBidi"/>
        <w:noProof/>
        <w:color w:val="000000" w:themeColor="text1"/>
        <w:sz w:val="20"/>
        <w:szCs w:val="20"/>
      </w:rPr>
      <w:t>I</w:t>
    </w:r>
    <w:r w:rsidRPr="00D36B6B">
      <w:rPr>
        <w:rFonts w:asciiTheme="majorBidi" w:hAnsiTheme="majorBidi" w:cstheme="majorBidi"/>
        <w:noProof/>
        <w:color w:val="000000" w:themeColor="text1"/>
        <w:sz w:val="20"/>
        <w:szCs w:val="20"/>
      </w:rPr>
      <w:t> :</w:t>
    </w:r>
    <w:r>
      <w:rPr>
        <w:rFonts w:ascii="Calibri" w:hAnsi="Calibri"/>
        <w:noProof/>
        <w:color w:val="000000" w:themeColor="text1"/>
        <w:sz w:val="20"/>
        <w:szCs w:val="20"/>
      </w:rPr>
      <w:t xml:space="preserve"> Synthèse bibliographique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38" w:rsidRPr="00D36B6B" w:rsidRDefault="008F5138" w:rsidP="00D36B6B">
    <w:pPr>
      <w:pStyle w:val="En-tte"/>
      <w:pBdr>
        <w:bottom w:val="single" w:sz="4" w:space="1" w:color="auto"/>
      </w:pBdr>
      <w:jc w:val="right"/>
      <w:rPr>
        <w:rStyle w:val="Numrodepage"/>
        <w:rFonts w:ascii="Calibri" w:hAnsi="Calibri"/>
        <w:color w:val="000000" w:themeColor="text1"/>
        <w:sz w:val="20"/>
        <w:szCs w:val="20"/>
      </w:rPr>
    </w:pPr>
    <w:r w:rsidRPr="00D36B6B">
      <w:rPr>
        <w:rFonts w:ascii="Calibri" w:hAnsi="Calibri"/>
        <w:color w:val="000000" w:themeColor="text1"/>
        <w:sz w:val="20"/>
        <w:szCs w:val="20"/>
      </w:rPr>
      <w:t xml:space="preserve">    </w:t>
    </w:r>
    <w:r w:rsidRPr="00D36B6B">
      <w:rPr>
        <w:rFonts w:ascii="Calibri" w:hAnsi="Calibri"/>
        <w:noProof/>
        <w:color w:val="000000" w:themeColor="text1"/>
        <w:sz w:val="20"/>
        <w:szCs w:val="20"/>
      </w:rPr>
      <w:t xml:space="preserve">                                                                                                                                        Chapitre </w:t>
    </w:r>
    <w:r w:rsidRPr="00D36B6B">
      <w:rPr>
        <w:rFonts w:asciiTheme="majorBidi" w:hAnsiTheme="majorBidi" w:cstheme="majorBidi"/>
        <w:noProof/>
        <w:color w:val="000000" w:themeColor="text1"/>
        <w:sz w:val="20"/>
        <w:szCs w:val="20"/>
      </w:rPr>
      <w:t>II :</w:t>
    </w:r>
    <w:r>
      <w:rPr>
        <w:rFonts w:ascii="Calibri" w:hAnsi="Calibri"/>
        <w:noProof/>
        <w:color w:val="000000" w:themeColor="text1"/>
        <w:sz w:val="20"/>
        <w:szCs w:val="20"/>
      </w:rPr>
      <w:t xml:space="preserve"> Matériel</w:t>
    </w:r>
    <w:r w:rsidRPr="00D36B6B">
      <w:rPr>
        <w:rStyle w:val="Numrodepage"/>
        <w:rFonts w:ascii="Calibri" w:hAnsi="Calibri"/>
        <w:color w:val="000000" w:themeColor="text1"/>
        <w:sz w:val="20"/>
        <w:szCs w:val="20"/>
      </w:rPr>
      <w:t xml:space="preserve"> et méthodes</w:t>
    </w:r>
  </w:p>
  <w:p w:rsidR="008F5138" w:rsidRDefault="008F5138" w:rsidP="00D36B6B">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38" w:rsidRPr="004A2A5D" w:rsidRDefault="008F5138" w:rsidP="004A2A5D">
    <w:pPr>
      <w:pStyle w:val="En-tte"/>
      <w:pBdr>
        <w:bottom w:val="single" w:sz="4" w:space="1" w:color="auto"/>
      </w:pBdr>
      <w:jc w:val="right"/>
      <w:rPr>
        <w:rStyle w:val="Numrodepage"/>
        <w:sz w:val="20"/>
        <w:szCs w:val="20"/>
      </w:rPr>
    </w:pPr>
    <w:r>
      <w:rPr>
        <w:rStyle w:val="Numrodepage"/>
        <w:sz w:val="20"/>
        <w:szCs w:val="20"/>
      </w:rPr>
      <w:t xml:space="preserve">              Chapitre </w:t>
    </w:r>
    <w:r>
      <w:rPr>
        <w:rStyle w:val="Numrodepage"/>
        <w:rFonts w:asciiTheme="majorBidi" w:hAnsiTheme="majorBidi" w:cstheme="majorBidi"/>
        <w:sz w:val="20"/>
        <w:szCs w:val="20"/>
      </w:rPr>
      <w:t xml:space="preserve">III : </w:t>
    </w:r>
    <w:r w:rsidRPr="0034582E">
      <w:rPr>
        <w:rStyle w:val="Numrodepage"/>
        <w:sz w:val="20"/>
        <w:szCs w:val="20"/>
      </w:rPr>
      <w:t>Résultats</w:t>
    </w:r>
    <w:r w:rsidRPr="00D36B6B">
      <w:rPr>
        <w:rFonts w:ascii="Calibri" w:hAnsi="Calibri"/>
        <w:color w:val="000000" w:themeColor="text1"/>
        <w:sz w:val="20"/>
        <w:szCs w:val="20"/>
      </w:rPr>
      <w:t xml:space="preserve">    </w:t>
    </w:r>
    <w:r w:rsidRPr="00D36B6B">
      <w:rPr>
        <w:rFonts w:ascii="Calibri" w:hAnsi="Calibri"/>
        <w:noProof/>
        <w:color w:val="000000" w:themeColor="text1"/>
        <w:sz w:val="20"/>
        <w:szCs w:val="20"/>
      </w:rPr>
      <w:t xml:space="preserve">                                                                                                                                        </w:t>
    </w:r>
  </w:p>
  <w:p w:rsidR="008F5138" w:rsidRDefault="008F5138" w:rsidP="00D36B6B">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38" w:rsidRPr="004A2A5D" w:rsidRDefault="008F5138" w:rsidP="004A2A5D">
    <w:pPr>
      <w:pStyle w:val="En-tte"/>
      <w:pBdr>
        <w:bottom w:val="single" w:sz="4" w:space="1" w:color="auto"/>
      </w:pBdr>
      <w:jc w:val="right"/>
      <w:rPr>
        <w:rStyle w:val="Numrodepage"/>
        <w:color w:val="000000" w:themeColor="text1"/>
        <w:sz w:val="20"/>
        <w:szCs w:val="20"/>
      </w:rPr>
    </w:pPr>
    <w:r w:rsidRPr="004A2A5D">
      <w:rPr>
        <w:color w:val="000000" w:themeColor="text1"/>
        <w:sz w:val="20"/>
        <w:szCs w:val="20"/>
      </w:rPr>
      <w:t xml:space="preserve">    </w:t>
    </w:r>
    <w:r w:rsidRPr="004A2A5D">
      <w:rPr>
        <w:noProof/>
        <w:color w:val="000000" w:themeColor="text1"/>
        <w:sz w:val="20"/>
        <w:szCs w:val="20"/>
      </w:rPr>
      <w:t xml:space="preserve">                                                                                                                                                                       Chapitre </w:t>
    </w:r>
    <w:r w:rsidRPr="004A2A5D">
      <w:rPr>
        <w:rFonts w:asciiTheme="majorBidi" w:hAnsiTheme="majorBidi" w:cstheme="majorBidi"/>
        <w:noProof/>
        <w:color w:val="000000" w:themeColor="text1"/>
        <w:sz w:val="20"/>
        <w:szCs w:val="20"/>
      </w:rPr>
      <w:t>IV :</w:t>
    </w:r>
    <w:r w:rsidRPr="004A2A5D">
      <w:rPr>
        <w:noProof/>
        <w:color w:val="000000" w:themeColor="text1"/>
        <w:sz w:val="20"/>
        <w:szCs w:val="20"/>
      </w:rPr>
      <w:t xml:space="preserve"> </w:t>
    </w:r>
    <w:r w:rsidRPr="004A2A5D">
      <w:rPr>
        <w:rStyle w:val="Numrodepage"/>
        <w:color w:val="000000" w:themeColor="text1"/>
        <w:sz w:val="20"/>
        <w:szCs w:val="20"/>
      </w:rPr>
      <w:t>Discussion</w:t>
    </w:r>
  </w:p>
  <w:p w:rsidR="008F5138" w:rsidRDefault="008F5138" w:rsidP="00D36B6B">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38" w:rsidRPr="004A2A5D" w:rsidRDefault="008F5138" w:rsidP="00624433">
    <w:pPr>
      <w:pStyle w:val="En-tte"/>
      <w:pBdr>
        <w:bottom w:val="single" w:sz="4" w:space="1" w:color="auto"/>
      </w:pBdr>
      <w:jc w:val="right"/>
      <w:rPr>
        <w:rStyle w:val="Numrodepage"/>
        <w:color w:val="000000" w:themeColor="text1"/>
        <w:sz w:val="20"/>
        <w:szCs w:val="20"/>
      </w:rPr>
    </w:pPr>
    <w:r w:rsidRPr="004A2A5D">
      <w:rPr>
        <w:color w:val="000000" w:themeColor="text1"/>
        <w:sz w:val="20"/>
        <w:szCs w:val="20"/>
      </w:rPr>
      <w:t xml:space="preserve">    </w:t>
    </w:r>
    <w:r w:rsidRPr="004A2A5D">
      <w:rPr>
        <w:noProof/>
        <w:color w:val="000000" w:themeColor="text1"/>
        <w:sz w:val="20"/>
        <w:szCs w:val="20"/>
      </w:rPr>
      <w:t xml:space="preserve">                                                                                                                                                </w:t>
    </w:r>
    <w:r>
      <w:rPr>
        <w:noProof/>
        <w:color w:val="000000" w:themeColor="text1"/>
        <w:sz w:val="20"/>
        <w:szCs w:val="20"/>
      </w:rPr>
      <w:t xml:space="preserve">                       C</w:t>
    </w:r>
    <w:r w:rsidRPr="004A2A5D">
      <w:rPr>
        <w:rStyle w:val="Numrodepage"/>
        <w:color w:val="000000" w:themeColor="text1"/>
        <w:sz w:val="20"/>
        <w:szCs w:val="20"/>
      </w:rPr>
      <w:t>co</w:t>
    </w:r>
    <w:r>
      <w:rPr>
        <w:rStyle w:val="Numrodepage"/>
        <w:color w:val="000000" w:themeColor="text1"/>
        <w:sz w:val="20"/>
        <w:szCs w:val="20"/>
      </w:rPr>
      <w:t>nclusion</w:t>
    </w:r>
  </w:p>
  <w:p w:rsidR="008F5138" w:rsidRDefault="008F5138" w:rsidP="00624433">
    <w:pPr>
      <w:pStyle w:val="En-tte"/>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38" w:rsidRPr="005E4EB8" w:rsidRDefault="008F5138" w:rsidP="00CC29E3">
    <w:pPr>
      <w:pStyle w:val="En-tte"/>
      <w:pBdr>
        <w:bottom w:val="single" w:sz="4" w:space="1" w:color="auto"/>
      </w:pBdr>
      <w:jc w:val="right"/>
      <w:rPr>
        <w:rStyle w:val="Numrodepage"/>
        <w:rFonts w:ascii="Calibri" w:hAnsi="Calibri"/>
        <w:sz w:val="20"/>
        <w:szCs w:val="20"/>
      </w:rPr>
    </w:pPr>
    <w:r w:rsidRPr="005E4EB8">
      <w:rPr>
        <w:rFonts w:ascii="Calibri" w:hAnsi="Calibri"/>
        <w:color w:val="808080"/>
        <w:sz w:val="20"/>
        <w:szCs w:val="20"/>
      </w:rPr>
      <w:t xml:space="preserve">    </w:t>
    </w:r>
    <w:r w:rsidRPr="005E4EB8">
      <w:rPr>
        <w:rFonts w:ascii="Calibri" w:hAnsi="Calibri"/>
        <w:noProof/>
        <w:color w:val="808080"/>
        <w:sz w:val="20"/>
        <w:szCs w:val="20"/>
      </w:rPr>
      <w:t xml:space="preserve">                                                                              </w:t>
    </w:r>
    <w:r>
      <w:rPr>
        <w:rFonts w:ascii="Calibri" w:hAnsi="Calibri"/>
        <w:noProof/>
        <w:color w:val="808080"/>
        <w:sz w:val="20"/>
        <w:szCs w:val="20"/>
      </w:rPr>
      <w:t xml:space="preserve">                          </w:t>
    </w:r>
    <w:r w:rsidRPr="005E4EB8">
      <w:rPr>
        <w:rFonts w:ascii="Calibri" w:hAnsi="Calibri"/>
        <w:noProof/>
        <w:color w:val="808080"/>
        <w:sz w:val="20"/>
        <w:szCs w:val="20"/>
      </w:rPr>
      <w:t xml:space="preserve">              </w:t>
    </w:r>
    <w:r>
      <w:rPr>
        <w:rFonts w:ascii="Calibri" w:hAnsi="Calibri"/>
        <w:noProof/>
        <w:color w:val="808080"/>
        <w:sz w:val="20"/>
        <w:szCs w:val="20"/>
      </w:rPr>
      <w:t xml:space="preserve">              </w:t>
    </w:r>
    <w:r w:rsidRPr="005E4EB8">
      <w:rPr>
        <w:rFonts w:ascii="Calibri" w:hAnsi="Calibri"/>
        <w:noProof/>
        <w:color w:val="808080"/>
        <w:sz w:val="20"/>
        <w:szCs w:val="20"/>
      </w:rPr>
      <w:t xml:space="preserve">    </w:t>
    </w:r>
    <w:r w:rsidRPr="005E4EB8">
      <w:rPr>
        <w:rStyle w:val="Numrodepage"/>
        <w:rFonts w:ascii="Calibri" w:hAnsi="Calibri"/>
        <w:sz w:val="20"/>
        <w:szCs w:val="20"/>
      </w:rPr>
      <w:t>Références Bibliographiques</w:t>
    </w:r>
  </w:p>
  <w:p w:rsidR="008F5138" w:rsidRDefault="008F5138" w:rsidP="00624433">
    <w:pPr>
      <w:pStyle w:val="En-tt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7D02"/>
    <w:multiLevelType w:val="hybridMultilevel"/>
    <w:tmpl w:val="FE2C66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DF3AE3"/>
    <w:multiLevelType w:val="hybridMultilevel"/>
    <w:tmpl w:val="6994C8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050667FF"/>
    <w:multiLevelType w:val="hybridMultilevel"/>
    <w:tmpl w:val="DDD025F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nsid w:val="062D209F"/>
    <w:multiLevelType w:val="hybridMultilevel"/>
    <w:tmpl w:val="468A84DC"/>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B056F41"/>
    <w:multiLevelType w:val="hybridMultilevel"/>
    <w:tmpl w:val="D70C8A0A"/>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10D04035"/>
    <w:multiLevelType w:val="hybridMultilevel"/>
    <w:tmpl w:val="2206A8B6"/>
    <w:lvl w:ilvl="0" w:tplc="A30C79C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094CC4"/>
    <w:multiLevelType w:val="hybridMultilevel"/>
    <w:tmpl w:val="351A947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15842DBF"/>
    <w:multiLevelType w:val="hybridMultilevel"/>
    <w:tmpl w:val="351A947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1884319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9FF7AB2"/>
    <w:multiLevelType w:val="hybridMultilevel"/>
    <w:tmpl w:val="219E33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267EE5"/>
    <w:multiLevelType w:val="hybridMultilevel"/>
    <w:tmpl w:val="F3F81D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EEA3F40"/>
    <w:multiLevelType w:val="hybridMultilevel"/>
    <w:tmpl w:val="6994C8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1F59524D"/>
    <w:multiLevelType w:val="hybridMultilevel"/>
    <w:tmpl w:val="38DA50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FF661AE"/>
    <w:multiLevelType w:val="hybridMultilevel"/>
    <w:tmpl w:val="51E4F9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9A6FA0"/>
    <w:multiLevelType w:val="hybridMultilevel"/>
    <w:tmpl w:val="02BE78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nsid w:val="22112C4F"/>
    <w:multiLevelType w:val="hybridMultilevel"/>
    <w:tmpl w:val="298A1E00"/>
    <w:lvl w:ilvl="0" w:tplc="040C000B">
      <w:start w:val="1"/>
      <w:numFmt w:val="bullet"/>
      <w:lvlText w:val=""/>
      <w:lvlJc w:val="left"/>
      <w:pPr>
        <w:ind w:left="820" w:hanging="360"/>
      </w:pPr>
      <w:rPr>
        <w:rFonts w:ascii="Wingdings" w:hAnsi="Wingdings"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16">
    <w:nsid w:val="22990F8B"/>
    <w:multiLevelType w:val="hybridMultilevel"/>
    <w:tmpl w:val="0D52701E"/>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nsid w:val="235B212B"/>
    <w:multiLevelType w:val="hybridMultilevel"/>
    <w:tmpl w:val="87F2C59C"/>
    <w:lvl w:ilvl="0" w:tplc="68BC6D4E">
      <w:start w:val="1"/>
      <w:numFmt w:val="decimal"/>
      <w:lvlText w:val="%1."/>
      <w:lvlJc w:val="left"/>
      <w:pPr>
        <w:ind w:left="786"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59B63A3"/>
    <w:multiLevelType w:val="hybridMultilevel"/>
    <w:tmpl w:val="55088040"/>
    <w:lvl w:ilvl="0" w:tplc="040C000B">
      <w:start w:val="1"/>
      <w:numFmt w:val="bullet"/>
      <w:lvlText w:val=""/>
      <w:lvlJc w:val="left"/>
      <w:pPr>
        <w:ind w:left="1440" w:hanging="360"/>
      </w:pPr>
      <w:rPr>
        <w:rFonts w:ascii="Wingdings" w:hAnsi="Wingdings" w:cs="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19">
    <w:nsid w:val="26320A65"/>
    <w:multiLevelType w:val="hybridMultilevel"/>
    <w:tmpl w:val="6994C8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nsid w:val="27A114E8"/>
    <w:multiLevelType w:val="hybridMultilevel"/>
    <w:tmpl w:val="1EB8EC7A"/>
    <w:lvl w:ilvl="0" w:tplc="DA92963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8981A25"/>
    <w:multiLevelType w:val="hybridMultilevel"/>
    <w:tmpl w:val="6B8A194E"/>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nsid w:val="2935037A"/>
    <w:multiLevelType w:val="hybridMultilevel"/>
    <w:tmpl w:val="ECA41004"/>
    <w:lvl w:ilvl="0" w:tplc="3FB6B966">
      <w:start w:val="2"/>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3">
    <w:nsid w:val="2D350578"/>
    <w:multiLevelType w:val="hybridMultilevel"/>
    <w:tmpl w:val="722C8896"/>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nsid w:val="2D640A52"/>
    <w:multiLevelType w:val="hybridMultilevel"/>
    <w:tmpl w:val="4BD8FD6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nsid w:val="2DC8162F"/>
    <w:multiLevelType w:val="hybridMultilevel"/>
    <w:tmpl w:val="E32A685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nsid w:val="30667B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643605F"/>
    <w:multiLevelType w:val="hybridMultilevel"/>
    <w:tmpl w:val="F970C732"/>
    <w:lvl w:ilvl="0" w:tplc="040C000B">
      <w:start w:val="1"/>
      <w:numFmt w:val="bullet"/>
      <w:lvlText w:val=""/>
      <w:lvlJc w:val="left"/>
      <w:pPr>
        <w:ind w:left="2088" w:hanging="360"/>
      </w:pPr>
      <w:rPr>
        <w:rFonts w:ascii="Wingdings" w:hAnsi="Wingdings"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28">
    <w:nsid w:val="364F2177"/>
    <w:multiLevelType w:val="hybridMultilevel"/>
    <w:tmpl w:val="F08A7C28"/>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nsid w:val="3F137886"/>
    <w:multiLevelType w:val="hybridMultilevel"/>
    <w:tmpl w:val="D62CF6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F2A626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0DB5909"/>
    <w:multiLevelType w:val="hybridMultilevel"/>
    <w:tmpl w:val="FC70F24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41BB76D6"/>
    <w:multiLevelType w:val="hybridMultilevel"/>
    <w:tmpl w:val="164A8B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2167E57"/>
    <w:multiLevelType w:val="hybridMultilevel"/>
    <w:tmpl w:val="6994C8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nsid w:val="483850DA"/>
    <w:multiLevelType w:val="multilevel"/>
    <w:tmpl w:val="D22464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48D136BD"/>
    <w:multiLevelType w:val="hybridMultilevel"/>
    <w:tmpl w:val="6994C8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6">
    <w:nsid w:val="48E8364C"/>
    <w:multiLevelType w:val="hybridMultilevel"/>
    <w:tmpl w:val="782A574C"/>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7">
    <w:nsid w:val="4AAD1DB6"/>
    <w:multiLevelType w:val="hybridMultilevel"/>
    <w:tmpl w:val="6DE2F768"/>
    <w:lvl w:ilvl="0" w:tplc="040C000F">
      <w:start w:val="1"/>
      <w:numFmt w:val="decimal"/>
      <w:lvlText w:val="%1."/>
      <w:lvlJc w:val="left"/>
      <w:pPr>
        <w:ind w:left="786"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AB96353"/>
    <w:multiLevelType w:val="hybridMultilevel"/>
    <w:tmpl w:val="57D057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EDC13EC"/>
    <w:multiLevelType w:val="hybridMultilevel"/>
    <w:tmpl w:val="351A947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0">
    <w:nsid w:val="5AA82A48"/>
    <w:multiLevelType w:val="hybridMultilevel"/>
    <w:tmpl w:val="9A7E4120"/>
    <w:lvl w:ilvl="0" w:tplc="525C0170">
      <w:start w:val="1"/>
      <w:numFmt w:val="bullet"/>
      <w:lvlText w:val=""/>
      <w:lvlJc w:val="left"/>
      <w:pPr>
        <w:ind w:left="720" w:hanging="360"/>
      </w:pPr>
      <w:rPr>
        <w:rFonts w:ascii="Wingdings" w:hAnsi="Wingdings" w:cs="Wingdings" w:hint="default"/>
      </w:rPr>
    </w:lvl>
    <w:lvl w:ilvl="1" w:tplc="5D5AD26A">
      <w:start w:val="1"/>
      <w:numFmt w:val="bullet"/>
      <w:lvlText w:val="o"/>
      <w:lvlJc w:val="left"/>
      <w:pPr>
        <w:ind w:left="1440" w:hanging="360"/>
      </w:pPr>
      <w:rPr>
        <w:rFonts w:ascii="Courier New" w:hAnsi="Courier New" w:cs="Courier New" w:hint="default"/>
      </w:rPr>
    </w:lvl>
    <w:lvl w:ilvl="2" w:tplc="DC9A86DC">
      <w:start w:val="1"/>
      <w:numFmt w:val="bullet"/>
      <w:lvlText w:val=""/>
      <w:lvlJc w:val="left"/>
      <w:pPr>
        <w:ind w:left="2160" w:hanging="360"/>
      </w:pPr>
      <w:rPr>
        <w:rFonts w:ascii="Wingdings" w:hAnsi="Wingdings" w:cs="Wingdings" w:hint="default"/>
      </w:rPr>
    </w:lvl>
    <w:lvl w:ilvl="3" w:tplc="076635AA">
      <w:start w:val="1"/>
      <w:numFmt w:val="bullet"/>
      <w:lvlText w:val=""/>
      <w:lvlJc w:val="left"/>
      <w:pPr>
        <w:ind w:left="2880" w:hanging="360"/>
      </w:pPr>
      <w:rPr>
        <w:rFonts w:ascii="Symbol" w:hAnsi="Symbol" w:cs="Symbol" w:hint="default"/>
      </w:rPr>
    </w:lvl>
    <w:lvl w:ilvl="4" w:tplc="102A9B70">
      <w:start w:val="1"/>
      <w:numFmt w:val="bullet"/>
      <w:lvlText w:val="o"/>
      <w:lvlJc w:val="left"/>
      <w:pPr>
        <w:ind w:left="3600" w:hanging="360"/>
      </w:pPr>
      <w:rPr>
        <w:rFonts w:ascii="Courier New" w:hAnsi="Courier New" w:cs="Courier New" w:hint="default"/>
      </w:rPr>
    </w:lvl>
    <w:lvl w:ilvl="5" w:tplc="A4B88E66">
      <w:start w:val="1"/>
      <w:numFmt w:val="bullet"/>
      <w:lvlText w:val=""/>
      <w:lvlJc w:val="left"/>
      <w:pPr>
        <w:ind w:left="4320" w:hanging="360"/>
      </w:pPr>
      <w:rPr>
        <w:rFonts w:ascii="Wingdings" w:hAnsi="Wingdings" w:cs="Wingdings" w:hint="default"/>
      </w:rPr>
    </w:lvl>
    <w:lvl w:ilvl="6" w:tplc="7CC06FF4">
      <w:start w:val="1"/>
      <w:numFmt w:val="bullet"/>
      <w:lvlText w:val=""/>
      <w:lvlJc w:val="left"/>
      <w:pPr>
        <w:ind w:left="5040" w:hanging="360"/>
      </w:pPr>
      <w:rPr>
        <w:rFonts w:ascii="Symbol" w:hAnsi="Symbol" w:cs="Symbol" w:hint="default"/>
      </w:rPr>
    </w:lvl>
    <w:lvl w:ilvl="7" w:tplc="7F3EE24A">
      <w:start w:val="1"/>
      <w:numFmt w:val="bullet"/>
      <w:lvlText w:val="o"/>
      <w:lvlJc w:val="left"/>
      <w:pPr>
        <w:ind w:left="5760" w:hanging="360"/>
      </w:pPr>
      <w:rPr>
        <w:rFonts w:ascii="Courier New" w:hAnsi="Courier New" w:cs="Courier New" w:hint="default"/>
      </w:rPr>
    </w:lvl>
    <w:lvl w:ilvl="8" w:tplc="DF92A582">
      <w:start w:val="1"/>
      <w:numFmt w:val="bullet"/>
      <w:lvlText w:val=""/>
      <w:lvlJc w:val="left"/>
      <w:pPr>
        <w:ind w:left="6480" w:hanging="360"/>
      </w:pPr>
      <w:rPr>
        <w:rFonts w:ascii="Wingdings" w:hAnsi="Wingdings" w:cs="Wingdings" w:hint="default"/>
      </w:rPr>
    </w:lvl>
  </w:abstractNum>
  <w:abstractNum w:abstractNumId="41">
    <w:nsid w:val="5C834B2E"/>
    <w:multiLevelType w:val="hybridMultilevel"/>
    <w:tmpl w:val="A8A07B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0DC191F"/>
    <w:multiLevelType w:val="hybridMultilevel"/>
    <w:tmpl w:val="8DD6F3AC"/>
    <w:lvl w:ilvl="0" w:tplc="040C000B">
      <w:start w:val="1"/>
      <w:numFmt w:val="decimal"/>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43">
    <w:nsid w:val="60F026DB"/>
    <w:multiLevelType w:val="hybridMultilevel"/>
    <w:tmpl w:val="FD6823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2E705F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3586108"/>
    <w:multiLevelType w:val="hybridMultilevel"/>
    <w:tmpl w:val="1DDA81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3DD725B"/>
    <w:multiLevelType w:val="hybridMultilevel"/>
    <w:tmpl w:val="E3167AEE"/>
    <w:lvl w:ilvl="0" w:tplc="677458AC">
      <w:start w:val="1"/>
      <w:numFmt w:val="bullet"/>
      <w:lvlText w:val=""/>
      <w:lvlJc w:val="left"/>
      <w:pPr>
        <w:ind w:left="720" w:hanging="360"/>
      </w:pPr>
      <w:rPr>
        <w:rFonts w:ascii="Wingdings" w:hAnsi="Wingdings" w:hint="default"/>
      </w:rPr>
    </w:lvl>
    <w:lvl w:ilvl="1" w:tplc="3D7E946A" w:tentative="1">
      <w:start w:val="1"/>
      <w:numFmt w:val="bullet"/>
      <w:lvlText w:val="o"/>
      <w:lvlJc w:val="left"/>
      <w:pPr>
        <w:ind w:left="1440" w:hanging="360"/>
      </w:pPr>
      <w:rPr>
        <w:rFonts w:ascii="Courier New" w:hAnsi="Courier New" w:cs="Courier New" w:hint="default"/>
      </w:rPr>
    </w:lvl>
    <w:lvl w:ilvl="2" w:tplc="15C8138E" w:tentative="1">
      <w:start w:val="1"/>
      <w:numFmt w:val="bullet"/>
      <w:lvlText w:val=""/>
      <w:lvlJc w:val="left"/>
      <w:pPr>
        <w:ind w:left="2160" w:hanging="360"/>
      </w:pPr>
      <w:rPr>
        <w:rFonts w:ascii="Wingdings" w:hAnsi="Wingdings" w:hint="default"/>
      </w:rPr>
    </w:lvl>
    <w:lvl w:ilvl="3" w:tplc="B1B4CE6A" w:tentative="1">
      <w:start w:val="1"/>
      <w:numFmt w:val="bullet"/>
      <w:lvlText w:val=""/>
      <w:lvlJc w:val="left"/>
      <w:pPr>
        <w:ind w:left="2880" w:hanging="360"/>
      </w:pPr>
      <w:rPr>
        <w:rFonts w:ascii="Symbol" w:hAnsi="Symbol" w:hint="default"/>
      </w:rPr>
    </w:lvl>
    <w:lvl w:ilvl="4" w:tplc="5AA256EA" w:tentative="1">
      <w:start w:val="1"/>
      <w:numFmt w:val="bullet"/>
      <w:lvlText w:val="o"/>
      <w:lvlJc w:val="left"/>
      <w:pPr>
        <w:ind w:left="3600" w:hanging="360"/>
      </w:pPr>
      <w:rPr>
        <w:rFonts w:ascii="Courier New" w:hAnsi="Courier New" w:cs="Courier New" w:hint="default"/>
      </w:rPr>
    </w:lvl>
    <w:lvl w:ilvl="5" w:tplc="B52E23F4" w:tentative="1">
      <w:start w:val="1"/>
      <w:numFmt w:val="bullet"/>
      <w:lvlText w:val=""/>
      <w:lvlJc w:val="left"/>
      <w:pPr>
        <w:ind w:left="4320" w:hanging="360"/>
      </w:pPr>
      <w:rPr>
        <w:rFonts w:ascii="Wingdings" w:hAnsi="Wingdings" w:hint="default"/>
      </w:rPr>
    </w:lvl>
    <w:lvl w:ilvl="6" w:tplc="C5EA1374" w:tentative="1">
      <w:start w:val="1"/>
      <w:numFmt w:val="bullet"/>
      <w:lvlText w:val=""/>
      <w:lvlJc w:val="left"/>
      <w:pPr>
        <w:ind w:left="5040" w:hanging="360"/>
      </w:pPr>
      <w:rPr>
        <w:rFonts w:ascii="Symbol" w:hAnsi="Symbol" w:hint="default"/>
      </w:rPr>
    </w:lvl>
    <w:lvl w:ilvl="7" w:tplc="94F617D2" w:tentative="1">
      <w:start w:val="1"/>
      <w:numFmt w:val="bullet"/>
      <w:lvlText w:val="o"/>
      <w:lvlJc w:val="left"/>
      <w:pPr>
        <w:ind w:left="5760" w:hanging="360"/>
      </w:pPr>
      <w:rPr>
        <w:rFonts w:ascii="Courier New" w:hAnsi="Courier New" w:cs="Courier New" w:hint="default"/>
      </w:rPr>
    </w:lvl>
    <w:lvl w:ilvl="8" w:tplc="27F0A716" w:tentative="1">
      <w:start w:val="1"/>
      <w:numFmt w:val="bullet"/>
      <w:lvlText w:val=""/>
      <w:lvlJc w:val="left"/>
      <w:pPr>
        <w:ind w:left="6480" w:hanging="360"/>
      </w:pPr>
      <w:rPr>
        <w:rFonts w:ascii="Wingdings" w:hAnsi="Wingdings" w:hint="default"/>
      </w:rPr>
    </w:lvl>
  </w:abstractNum>
  <w:abstractNum w:abstractNumId="47">
    <w:nsid w:val="654973A6"/>
    <w:multiLevelType w:val="hybridMultilevel"/>
    <w:tmpl w:val="180E41EC"/>
    <w:lvl w:ilvl="0" w:tplc="85B4E76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6D7F6FA1"/>
    <w:multiLevelType w:val="hybridMultilevel"/>
    <w:tmpl w:val="9BE080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6EF16149"/>
    <w:multiLevelType w:val="hybridMultilevel"/>
    <w:tmpl w:val="FCD648F2"/>
    <w:lvl w:ilvl="0" w:tplc="040C0017">
      <w:start w:val="1"/>
      <w:numFmt w:val="bullet"/>
      <w:lvlText w:val=""/>
      <w:lvlJc w:val="left"/>
      <w:pPr>
        <w:ind w:left="720" w:hanging="360"/>
      </w:pPr>
      <w:rPr>
        <w:rFonts w:ascii="Wingdings" w:hAnsi="Wingdings" w:cs="Wingdings"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cs="Wingdings" w:hint="default"/>
      </w:rPr>
    </w:lvl>
    <w:lvl w:ilvl="3" w:tplc="040C000F">
      <w:start w:val="1"/>
      <w:numFmt w:val="bullet"/>
      <w:lvlText w:val=""/>
      <w:lvlJc w:val="left"/>
      <w:pPr>
        <w:ind w:left="2880" w:hanging="360"/>
      </w:pPr>
      <w:rPr>
        <w:rFonts w:ascii="Symbol" w:hAnsi="Symbol" w:cs="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cs="Wingdings" w:hint="default"/>
      </w:rPr>
    </w:lvl>
    <w:lvl w:ilvl="6" w:tplc="040C000F">
      <w:start w:val="1"/>
      <w:numFmt w:val="bullet"/>
      <w:lvlText w:val=""/>
      <w:lvlJc w:val="left"/>
      <w:pPr>
        <w:ind w:left="5040" w:hanging="360"/>
      </w:pPr>
      <w:rPr>
        <w:rFonts w:ascii="Symbol" w:hAnsi="Symbol" w:cs="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cs="Wingdings" w:hint="default"/>
      </w:rPr>
    </w:lvl>
  </w:abstractNum>
  <w:abstractNum w:abstractNumId="50">
    <w:nsid w:val="74B5224B"/>
    <w:multiLevelType w:val="hybridMultilevel"/>
    <w:tmpl w:val="0E064D2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1">
    <w:nsid w:val="750B7CF7"/>
    <w:multiLevelType w:val="hybridMultilevel"/>
    <w:tmpl w:val="E0E43B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772B05D1"/>
    <w:multiLevelType w:val="hybridMultilevel"/>
    <w:tmpl w:val="197CEA0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3">
    <w:nsid w:val="795D3C20"/>
    <w:multiLevelType w:val="hybridMultilevel"/>
    <w:tmpl w:val="982ECC44"/>
    <w:lvl w:ilvl="0" w:tplc="040C000F">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A15584F"/>
    <w:multiLevelType w:val="hybridMultilevel"/>
    <w:tmpl w:val="85D6D69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5">
    <w:nsid w:val="7AE902B5"/>
    <w:multiLevelType w:val="hybridMultilevel"/>
    <w:tmpl w:val="4C468558"/>
    <w:lvl w:ilvl="0" w:tplc="040C000F">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6">
    <w:nsid w:val="7D5860F5"/>
    <w:multiLevelType w:val="hybridMultilevel"/>
    <w:tmpl w:val="2D822376"/>
    <w:lvl w:ilvl="0" w:tplc="F20C751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1"/>
  </w:num>
  <w:num w:numId="2">
    <w:abstractNumId w:val="22"/>
  </w:num>
  <w:num w:numId="3">
    <w:abstractNumId w:val="53"/>
  </w:num>
  <w:num w:numId="4">
    <w:abstractNumId w:val="43"/>
  </w:num>
  <w:num w:numId="5">
    <w:abstractNumId w:val="45"/>
  </w:num>
  <w:num w:numId="6">
    <w:abstractNumId w:val="3"/>
  </w:num>
  <w:num w:numId="7">
    <w:abstractNumId w:val="8"/>
  </w:num>
  <w:num w:numId="8">
    <w:abstractNumId w:val="55"/>
  </w:num>
  <w:num w:numId="9">
    <w:abstractNumId w:val="29"/>
  </w:num>
  <w:num w:numId="10">
    <w:abstractNumId w:val="44"/>
  </w:num>
  <w:num w:numId="11">
    <w:abstractNumId w:val="23"/>
  </w:num>
  <w:num w:numId="12">
    <w:abstractNumId w:val="46"/>
  </w:num>
  <w:num w:numId="13">
    <w:abstractNumId w:val="27"/>
  </w:num>
  <w:num w:numId="14">
    <w:abstractNumId w:val="26"/>
  </w:num>
  <w:num w:numId="15">
    <w:abstractNumId w:val="48"/>
  </w:num>
  <w:num w:numId="16">
    <w:abstractNumId w:val="9"/>
  </w:num>
  <w:num w:numId="17">
    <w:abstractNumId w:val="13"/>
  </w:num>
  <w:num w:numId="18">
    <w:abstractNumId w:val="0"/>
  </w:num>
  <w:num w:numId="19">
    <w:abstractNumId w:val="41"/>
  </w:num>
  <w:num w:numId="20">
    <w:abstractNumId w:val="14"/>
  </w:num>
  <w:num w:numId="21">
    <w:abstractNumId w:val="42"/>
  </w:num>
  <w:num w:numId="22">
    <w:abstractNumId w:val="54"/>
  </w:num>
  <w:num w:numId="23">
    <w:abstractNumId w:val="30"/>
  </w:num>
  <w:num w:numId="24">
    <w:abstractNumId w:val="25"/>
  </w:num>
  <w:num w:numId="25">
    <w:abstractNumId w:val="6"/>
  </w:num>
  <w:num w:numId="26">
    <w:abstractNumId w:val="52"/>
  </w:num>
  <w:num w:numId="27">
    <w:abstractNumId w:val="50"/>
  </w:num>
  <w:num w:numId="28">
    <w:abstractNumId w:val="24"/>
  </w:num>
  <w:num w:numId="29">
    <w:abstractNumId w:val="2"/>
  </w:num>
  <w:num w:numId="30">
    <w:abstractNumId w:val="36"/>
  </w:num>
  <w:num w:numId="31">
    <w:abstractNumId w:val="40"/>
  </w:num>
  <w:num w:numId="32">
    <w:abstractNumId w:val="28"/>
  </w:num>
  <w:num w:numId="33">
    <w:abstractNumId w:val="18"/>
  </w:num>
  <w:num w:numId="34">
    <w:abstractNumId w:val="4"/>
  </w:num>
  <w:num w:numId="35">
    <w:abstractNumId w:val="16"/>
  </w:num>
  <w:num w:numId="36">
    <w:abstractNumId w:val="49"/>
  </w:num>
  <w:num w:numId="37">
    <w:abstractNumId w:val="1"/>
  </w:num>
  <w:num w:numId="38">
    <w:abstractNumId w:val="7"/>
  </w:num>
  <w:num w:numId="39">
    <w:abstractNumId w:val="12"/>
  </w:num>
  <w:num w:numId="40">
    <w:abstractNumId w:val="19"/>
  </w:num>
  <w:num w:numId="41">
    <w:abstractNumId w:val="15"/>
  </w:num>
  <w:num w:numId="42">
    <w:abstractNumId w:val="10"/>
  </w:num>
  <w:num w:numId="43">
    <w:abstractNumId w:val="51"/>
  </w:num>
  <w:num w:numId="44">
    <w:abstractNumId w:val="32"/>
  </w:num>
  <w:num w:numId="45">
    <w:abstractNumId w:val="37"/>
  </w:num>
  <w:num w:numId="46">
    <w:abstractNumId w:val="17"/>
  </w:num>
  <w:num w:numId="47">
    <w:abstractNumId w:val="20"/>
  </w:num>
  <w:num w:numId="48">
    <w:abstractNumId w:val="56"/>
  </w:num>
  <w:num w:numId="49">
    <w:abstractNumId w:val="34"/>
  </w:num>
  <w:num w:numId="50">
    <w:abstractNumId w:val="5"/>
  </w:num>
  <w:num w:numId="51">
    <w:abstractNumId w:val="47"/>
  </w:num>
  <w:num w:numId="52">
    <w:abstractNumId w:val="11"/>
  </w:num>
  <w:num w:numId="53">
    <w:abstractNumId w:val="35"/>
  </w:num>
  <w:num w:numId="54">
    <w:abstractNumId w:val="33"/>
  </w:num>
  <w:num w:numId="55">
    <w:abstractNumId w:val="39"/>
  </w:num>
  <w:num w:numId="56">
    <w:abstractNumId w:val="21"/>
  </w:num>
  <w:num w:numId="57">
    <w:abstractNumId w:val="3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198658"/>
  </w:hdrShapeDefaults>
  <w:footnotePr>
    <w:footnote w:id="0"/>
    <w:footnote w:id="1"/>
  </w:footnotePr>
  <w:endnotePr>
    <w:endnote w:id="0"/>
    <w:endnote w:id="1"/>
  </w:endnotePr>
  <w:compat>
    <w:useFELayout/>
  </w:compat>
  <w:rsids>
    <w:rsidRoot w:val="001250D9"/>
    <w:rsid w:val="00003092"/>
    <w:rsid w:val="000073AD"/>
    <w:rsid w:val="00007DA2"/>
    <w:rsid w:val="0001156E"/>
    <w:rsid w:val="00016FF2"/>
    <w:rsid w:val="00017A81"/>
    <w:rsid w:val="000210A0"/>
    <w:rsid w:val="000238B9"/>
    <w:rsid w:val="00025B83"/>
    <w:rsid w:val="00026681"/>
    <w:rsid w:val="0003309A"/>
    <w:rsid w:val="00040E91"/>
    <w:rsid w:val="0004488D"/>
    <w:rsid w:val="000456AE"/>
    <w:rsid w:val="000466D0"/>
    <w:rsid w:val="000503A2"/>
    <w:rsid w:val="00050E4F"/>
    <w:rsid w:val="00051823"/>
    <w:rsid w:val="00053C97"/>
    <w:rsid w:val="0005402E"/>
    <w:rsid w:val="00063900"/>
    <w:rsid w:val="00064411"/>
    <w:rsid w:val="00065AE2"/>
    <w:rsid w:val="000675F0"/>
    <w:rsid w:val="0007155C"/>
    <w:rsid w:val="00071DA0"/>
    <w:rsid w:val="00072165"/>
    <w:rsid w:val="00073983"/>
    <w:rsid w:val="00073D63"/>
    <w:rsid w:val="000756AF"/>
    <w:rsid w:val="0008171D"/>
    <w:rsid w:val="000820A9"/>
    <w:rsid w:val="000849D7"/>
    <w:rsid w:val="00086983"/>
    <w:rsid w:val="00090115"/>
    <w:rsid w:val="0009552E"/>
    <w:rsid w:val="00097260"/>
    <w:rsid w:val="000A2B56"/>
    <w:rsid w:val="000A73C1"/>
    <w:rsid w:val="000A74B4"/>
    <w:rsid w:val="000B05E5"/>
    <w:rsid w:val="000B0E0A"/>
    <w:rsid w:val="000B3C9D"/>
    <w:rsid w:val="000C63E0"/>
    <w:rsid w:val="000D12EB"/>
    <w:rsid w:val="000D3905"/>
    <w:rsid w:val="000D4628"/>
    <w:rsid w:val="000D4826"/>
    <w:rsid w:val="000D4AAC"/>
    <w:rsid w:val="000D7F87"/>
    <w:rsid w:val="000E066F"/>
    <w:rsid w:val="000E391A"/>
    <w:rsid w:val="000E68E4"/>
    <w:rsid w:val="000F4674"/>
    <w:rsid w:val="000F50CB"/>
    <w:rsid w:val="000F768A"/>
    <w:rsid w:val="00101AB3"/>
    <w:rsid w:val="00103F60"/>
    <w:rsid w:val="00107AED"/>
    <w:rsid w:val="001100A6"/>
    <w:rsid w:val="00110737"/>
    <w:rsid w:val="001112C6"/>
    <w:rsid w:val="001148EC"/>
    <w:rsid w:val="00114CE7"/>
    <w:rsid w:val="00115963"/>
    <w:rsid w:val="00117D75"/>
    <w:rsid w:val="00117FEB"/>
    <w:rsid w:val="00121D5A"/>
    <w:rsid w:val="001250D9"/>
    <w:rsid w:val="00127F8E"/>
    <w:rsid w:val="001377C5"/>
    <w:rsid w:val="001404F7"/>
    <w:rsid w:val="00162058"/>
    <w:rsid w:val="00165413"/>
    <w:rsid w:val="00170DC7"/>
    <w:rsid w:val="001712D3"/>
    <w:rsid w:val="00171602"/>
    <w:rsid w:val="00174F4F"/>
    <w:rsid w:val="00175953"/>
    <w:rsid w:val="0017794D"/>
    <w:rsid w:val="00184DFE"/>
    <w:rsid w:val="00185127"/>
    <w:rsid w:val="001851E8"/>
    <w:rsid w:val="00185A1F"/>
    <w:rsid w:val="00191A87"/>
    <w:rsid w:val="00192810"/>
    <w:rsid w:val="00195150"/>
    <w:rsid w:val="001B0E2C"/>
    <w:rsid w:val="001B2182"/>
    <w:rsid w:val="001B476E"/>
    <w:rsid w:val="001C09D9"/>
    <w:rsid w:val="001C0F94"/>
    <w:rsid w:val="001C13E5"/>
    <w:rsid w:val="001C2F50"/>
    <w:rsid w:val="001C3287"/>
    <w:rsid w:val="001C393F"/>
    <w:rsid w:val="001C3D7D"/>
    <w:rsid w:val="001C4A4B"/>
    <w:rsid w:val="001D0A48"/>
    <w:rsid w:val="001D0CE0"/>
    <w:rsid w:val="001D6B71"/>
    <w:rsid w:val="001E4E0B"/>
    <w:rsid w:val="001E5D0F"/>
    <w:rsid w:val="001E650B"/>
    <w:rsid w:val="001F3707"/>
    <w:rsid w:val="001F677A"/>
    <w:rsid w:val="00200561"/>
    <w:rsid w:val="00211E4C"/>
    <w:rsid w:val="00213A42"/>
    <w:rsid w:val="00222475"/>
    <w:rsid w:val="00233CAD"/>
    <w:rsid w:val="0023560F"/>
    <w:rsid w:val="00235969"/>
    <w:rsid w:val="0023776F"/>
    <w:rsid w:val="002423AA"/>
    <w:rsid w:val="002459E5"/>
    <w:rsid w:val="00247205"/>
    <w:rsid w:val="0025084C"/>
    <w:rsid w:val="00260BF9"/>
    <w:rsid w:val="002630B7"/>
    <w:rsid w:val="00275585"/>
    <w:rsid w:val="00276D01"/>
    <w:rsid w:val="00276D17"/>
    <w:rsid w:val="002822A1"/>
    <w:rsid w:val="00286749"/>
    <w:rsid w:val="00290006"/>
    <w:rsid w:val="00291F18"/>
    <w:rsid w:val="00295F0D"/>
    <w:rsid w:val="0029785C"/>
    <w:rsid w:val="002A06E2"/>
    <w:rsid w:val="002A40DA"/>
    <w:rsid w:val="002A4B5B"/>
    <w:rsid w:val="002B3683"/>
    <w:rsid w:val="002B36EA"/>
    <w:rsid w:val="002B4DB3"/>
    <w:rsid w:val="002B502E"/>
    <w:rsid w:val="002C28D7"/>
    <w:rsid w:val="002C4928"/>
    <w:rsid w:val="002C6EE4"/>
    <w:rsid w:val="002D0528"/>
    <w:rsid w:val="002D3D14"/>
    <w:rsid w:val="002D42E0"/>
    <w:rsid w:val="002D4750"/>
    <w:rsid w:val="002E0D0D"/>
    <w:rsid w:val="002E0D80"/>
    <w:rsid w:val="002E2143"/>
    <w:rsid w:val="002E4A93"/>
    <w:rsid w:val="002E4E44"/>
    <w:rsid w:val="002E7E46"/>
    <w:rsid w:val="002F4810"/>
    <w:rsid w:val="00300059"/>
    <w:rsid w:val="0030057C"/>
    <w:rsid w:val="0030168C"/>
    <w:rsid w:val="00303AD5"/>
    <w:rsid w:val="00307201"/>
    <w:rsid w:val="003073A5"/>
    <w:rsid w:val="003075B1"/>
    <w:rsid w:val="003147EE"/>
    <w:rsid w:val="00315082"/>
    <w:rsid w:val="00315F45"/>
    <w:rsid w:val="00321DBE"/>
    <w:rsid w:val="0032343E"/>
    <w:rsid w:val="00323BCB"/>
    <w:rsid w:val="00324213"/>
    <w:rsid w:val="003303D1"/>
    <w:rsid w:val="003310E3"/>
    <w:rsid w:val="00333260"/>
    <w:rsid w:val="00335AAA"/>
    <w:rsid w:val="00340EF3"/>
    <w:rsid w:val="003442EA"/>
    <w:rsid w:val="0035335C"/>
    <w:rsid w:val="003566C4"/>
    <w:rsid w:val="00357B18"/>
    <w:rsid w:val="003611B1"/>
    <w:rsid w:val="00361C8B"/>
    <w:rsid w:val="003638B0"/>
    <w:rsid w:val="003641E8"/>
    <w:rsid w:val="00365FED"/>
    <w:rsid w:val="00366C81"/>
    <w:rsid w:val="0038042E"/>
    <w:rsid w:val="00382E40"/>
    <w:rsid w:val="003837D1"/>
    <w:rsid w:val="00383AFA"/>
    <w:rsid w:val="003921C4"/>
    <w:rsid w:val="00393623"/>
    <w:rsid w:val="003A176A"/>
    <w:rsid w:val="003A6B61"/>
    <w:rsid w:val="003B4114"/>
    <w:rsid w:val="003C3059"/>
    <w:rsid w:val="003C3F8E"/>
    <w:rsid w:val="003C574F"/>
    <w:rsid w:val="003C7401"/>
    <w:rsid w:val="003D3EF8"/>
    <w:rsid w:val="003E796F"/>
    <w:rsid w:val="003F0C62"/>
    <w:rsid w:val="003F13B2"/>
    <w:rsid w:val="00407D11"/>
    <w:rsid w:val="00413059"/>
    <w:rsid w:val="004150AA"/>
    <w:rsid w:val="00420554"/>
    <w:rsid w:val="00424376"/>
    <w:rsid w:val="00424D58"/>
    <w:rsid w:val="00425D22"/>
    <w:rsid w:val="00430846"/>
    <w:rsid w:val="0043162A"/>
    <w:rsid w:val="00432E76"/>
    <w:rsid w:val="004362FE"/>
    <w:rsid w:val="00443AF0"/>
    <w:rsid w:val="00453F2B"/>
    <w:rsid w:val="00456C7D"/>
    <w:rsid w:val="00457236"/>
    <w:rsid w:val="004575FF"/>
    <w:rsid w:val="00463B12"/>
    <w:rsid w:val="00463DD8"/>
    <w:rsid w:val="0046467A"/>
    <w:rsid w:val="0046556E"/>
    <w:rsid w:val="00472615"/>
    <w:rsid w:val="00475E91"/>
    <w:rsid w:val="00484000"/>
    <w:rsid w:val="004844BF"/>
    <w:rsid w:val="004852B4"/>
    <w:rsid w:val="00490820"/>
    <w:rsid w:val="00490FAA"/>
    <w:rsid w:val="0049572B"/>
    <w:rsid w:val="004A2A5D"/>
    <w:rsid w:val="004A2FDE"/>
    <w:rsid w:val="004A3310"/>
    <w:rsid w:val="004B44D4"/>
    <w:rsid w:val="004B5114"/>
    <w:rsid w:val="004B668C"/>
    <w:rsid w:val="004B6D8C"/>
    <w:rsid w:val="004C0CEA"/>
    <w:rsid w:val="004C1095"/>
    <w:rsid w:val="004C497C"/>
    <w:rsid w:val="004E1C15"/>
    <w:rsid w:val="004F44BF"/>
    <w:rsid w:val="004F76C9"/>
    <w:rsid w:val="005078DD"/>
    <w:rsid w:val="00511BD5"/>
    <w:rsid w:val="00514144"/>
    <w:rsid w:val="00521CC7"/>
    <w:rsid w:val="0053072B"/>
    <w:rsid w:val="00532024"/>
    <w:rsid w:val="005328D5"/>
    <w:rsid w:val="00533E41"/>
    <w:rsid w:val="005359E4"/>
    <w:rsid w:val="00543B7E"/>
    <w:rsid w:val="00544BD9"/>
    <w:rsid w:val="005466D7"/>
    <w:rsid w:val="0055052A"/>
    <w:rsid w:val="005535E2"/>
    <w:rsid w:val="00555F9D"/>
    <w:rsid w:val="00556B41"/>
    <w:rsid w:val="00564E85"/>
    <w:rsid w:val="0056572B"/>
    <w:rsid w:val="00571037"/>
    <w:rsid w:val="00573BAA"/>
    <w:rsid w:val="0057629A"/>
    <w:rsid w:val="00580AC2"/>
    <w:rsid w:val="00581F9C"/>
    <w:rsid w:val="005873E7"/>
    <w:rsid w:val="0058763D"/>
    <w:rsid w:val="00591FCD"/>
    <w:rsid w:val="00595C36"/>
    <w:rsid w:val="005A3FCE"/>
    <w:rsid w:val="005A5587"/>
    <w:rsid w:val="005A671A"/>
    <w:rsid w:val="005B1114"/>
    <w:rsid w:val="005B3A25"/>
    <w:rsid w:val="005B3BB5"/>
    <w:rsid w:val="005B4E0F"/>
    <w:rsid w:val="005B669A"/>
    <w:rsid w:val="005D337F"/>
    <w:rsid w:val="005D48D5"/>
    <w:rsid w:val="005D4DC3"/>
    <w:rsid w:val="005D6865"/>
    <w:rsid w:val="005E6B6B"/>
    <w:rsid w:val="005F56BD"/>
    <w:rsid w:val="005F6833"/>
    <w:rsid w:val="00604A47"/>
    <w:rsid w:val="00604E39"/>
    <w:rsid w:val="00606824"/>
    <w:rsid w:val="00611CF9"/>
    <w:rsid w:val="00612046"/>
    <w:rsid w:val="006158C3"/>
    <w:rsid w:val="0062362E"/>
    <w:rsid w:val="00624433"/>
    <w:rsid w:val="00627963"/>
    <w:rsid w:val="00631238"/>
    <w:rsid w:val="00633BDD"/>
    <w:rsid w:val="00636BE3"/>
    <w:rsid w:val="00641792"/>
    <w:rsid w:val="00642D70"/>
    <w:rsid w:val="00645CE5"/>
    <w:rsid w:val="00645DDB"/>
    <w:rsid w:val="006562C7"/>
    <w:rsid w:val="00657782"/>
    <w:rsid w:val="006630A5"/>
    <w:rsid w:val="006740EB"/>
    <w:rsid w:val="006765FD"/>
    <w:rsid w:val="00680E78"/>
    <w:rsid w:val="00681019"/>
    <w:rsid w:val="00681464"/>
    <w:rsid w:val="006842AC"/>
    <w:rsid w:val="006A0CAF"/>
    <w:rsid w:val="006A5C48"/>
    <w:rsid w:val="006B6143"/>
    <w:rsid w:val="006B6D9C"/>
    <w:rsid w:val="006C02E5"/>
    <w:rsid w:val="006C14D6"/>
    <w:rsid w:val="006D4468"/>
    <w:rsid w:val="006E2429"/>
    <w:rsid w:val="006E279C"/>
    <w:rsid w:val="006E3A0D"/>
    <w:rsid w:val="006E3DE6"/>
    <w:rsid w:val="006E5100"/>
    <w:rsid w:val="006F730B"/>
    <w:rsid w:val="00703B03"/>
    <w:rsid w:val="00705F59"/>
    <w:rsid w:val="00710636"/>
    <w:rsid w:val="007120BA"/>
    <w:rsid w:val="00713F79"/>
    <w:rsid w:val="00722799"/>
    <w:rsid w:val="00726843"/>
    <w:rsid w:val="00726CCB"/>
    <w:rsid w:val="007271D4"/>
    <w:rsid w:val="0073785D"/>
    <w:rsid w:val="007438AC"/>
    <w:rsid w:val="00745CD1"/>
    <w:rsid w:val="007476BB"/>
    <w:rsid w:val="007534ED"/>
    <w:rsid w:val="00754023"/>
    <w:rsid w:val="0075649C"/>
    <w:rsid w:val="00763685"/>
    <w:rsid w:val="00772221"/>
    <w:rsid w:val="0078235D"/>
    <w:rsid w:val="00782AE7"/>
    <w:rsid w:val="00785804"/>
    <w:rsid w:val="007875AF"/>
    <w:rsid w:val="00792AA1"/>
    <w:rsid w:val="00793727"/>
    <w:rsid w:val="0079372C"/>
    <w:rsid w:val="00794D9B"/>
    <w:rsid w:val="007A4064"/>
    <w:rsid w:val="007A5978"/>
    <w:rsid w:val="007B0E3B"/>
    <w:rsid w:val="007B2110"/>
    <w:rsid w:val="007B43DF"/>
    <w:rsid w:val="007B5E3E"/>
    <w:rsid w:val="007B735C"/>
    <w:rsid w:val="007B74A2"/>
    <w:rsid w:val="007C0230"/>
    <w:rsid w:val="007C2ED8"/>
    <w:rsid w:val="007D0799"/>
    <w:rsid w:val="007D0C91"/>
    <w:rsid w:val="007D3447"/>
    <w:rsid w:val="007D3B55"/>
    <w:rsid w:val="007D6D67"/>
    <w:rsid w:val="007E1F96"/>
    <w:rsid w:val="007E2202"/>
    <w:rsid w:val="00805098"/>
    <w:rsid w:val="00806D27"/>
    <w:rsid w:val="00810BEE"/>
    <w:rsid w:val="00811602"/>
    <w:rsid w:val="00811D6A"/>
    <w:rsid w:val="00814DD8"/>
    <w:rsid w:val="00820CED"/>
    <w:rsid w:val="008328E8"/>
    <w:rsid w:val="00835E56"/>
    <w:rsid w:val="008366D8"/>
    <w:rsid w:val="00840033"/>
    <w:rsid w:val="008479AE"/>
    <w:rsid w:val="008514DE"/>
    <w:rsid w:val="00852E99"/>
    <w:rsid w:val="00853042"/>
    <w:rsid w:val="00853C3B"/>
    <w:rsid w:val="00854CD3"/>
    <w:rsid w:val="008619DB"/>
    <w:rsid w:val="00862AA3"/>
    <w:rsid w:val="00863E8B"/>
    <w:rsid w:val="00871EC6"/>
    <w:rsid w:val="0087237F"/>
    <w:rsid w:val="00874EC6"/>
    <w:rsid w:val="008818BB"/>
    <w:rsid w:val="00881E9B"/>
    <w:rsid w:val="008859CB"/>
    <w:rsid w:val="00886D02"/>
    <w:rsid w:val="008A1C6B"/>
    <w:rsid w:val="008A29EC"/>
    <w:rsid w:val="008A45A3"/>
    <w:rsid w:val="008A6D65"/>
    <w:rsid w:val="008B05F5"/>
    <w:rsid w:val="008B0E8E"/>
    <w:rsid w:val="008B38D9"/>
    <w:rsid w:val="008B3CEC"/>
    <w:rsid w:val="008C02CA"/>
    <w:rsid w:val="008C17DE"/>
    <w:rsid w:val="008C4E14"/>
    <w:rsid w:val="008C577D"/>
    <w:rsid w:val="008C6E66"/>
    <w:rsid w:val="008D3189"/>
    <w:rsid w:val="008D3817"/>
    <w:rsid w:val="008D54CC"/>
    <w:rsid w:val="008D6CC2"/>
    <w:rsid w:val="008D708A"/>
    <w:rsid w:val="008D72BA"/>
    <w:rsid w:val="008E0595"/>
    <w:rsid w:val="008E3383"/>
    <w:rsid w:val="008E43EF"/>
    <w:rsid w:val="008E4B27"/>
    <w:rsid w:val="008E74CD"/>
    <w:rsid w:val="008F5138"/>
    <w:rsid w:val="008F53E0"/>
    <w:rsid w:val="00900293"/>
    <w:rsid w:val="0090469B"/>
    <w:rsid w:val="00904E1D"/>
    <w:rsid w:val="00905E69"/>
    <w:rsid w:val="0090692E"/>
    <w:rsid w:val="00915FEE"/>
    <w:rsid w:val="009200E8"/>
    <w:rsid w:val="00936667"/>
    <w:rsid w:val="009375E0"/>
    <w:rsid w:val="009408A7"/>
    <w:rsid w:val="00943301"/>
    <w:rsid w:val="00944503"/>
    <w:rsid w:val="009475A5"/>
    <w:rsid w:val="00950C00"/>
    <w:rsid w:val="00952481"/>
    <w:rsid w:val="00952809"/>
    <w:rsid w:val="00961288"/>
    <w:rsid w:val="0096303F"/>
    <w:rsid w:val="0096489C"/>
    <w:rsid w:val="00970CD0"/>
    <w:rsid w:val="00972F20"/>
    <w:rsid w:val="009751E5"/>
    <w:rsid w:val="00980470"/>
    <w:rsid w:val="009817E2"/>
    <w:rsid w:val="009829AA"/>
    <w:rsid w:val="00985EEC"/>
    <w:rsid w:val="00994709"/>
    <w:rsid w:val="009958E2"/>
    <w:rsid w:val="009959C0"/>
    <w:rsid w:val="009A264F"/>
    <w:rsid w:val="009A6FE4"/>
    <w:rsid w:val="009B3851"/>
    <w:rsid w:val="009B3C98"/>
    <w:rsid w:val="009B7808"/>
    <w:rsid w:val="009C1946"/>
    <w:rsid w:val="009C5890"/>
    <w:rsid w:val="009C6858"/>
    <w:rsid w:val="009C7F2E"/>
    <w:rsid w:val="009C7FAE"/>
    <w:rsid w:val="009D0B3F"/>
    <w:rsid w:val="009D4E54"/>
    <w:rsid w:val="009D6520"/>
    <w:rsid w:val="009D6DA9"/>
    <w:rsid w:val="009D78C8"/>
    <w:rsid w:val="009E04D7"/>
    <w:rsid w:val="009E3562"/>
    <w:rsid w:val="009F12DF"/>
    <w:rsid w:val="009F306A"/>
    <w:rsid w:val="009F3C8B"/>
    <w:rsid w:val="00A02E8A"/>
    <w:rsid w:val="00A05136"/>
    <w:rsid w:val="00A05F13"/>
    <w:rsid w:val="00A1132A"/>
    <w:rsid w:val="00A129A9"/>
    <w:rsid w:val="00A15507"/>
    <w:rsid w:val="00A17083"/>
    <w:rsid w:val="00A17F4C"/>
    <w:rsid w:val="00A17FCD"/>
    <w:rsid w:val="00A21B08"/>
    <w:rsid w:val="00A21F4C"/>
    <w:rsid w:val="00A25B19"/>
    <w:rsid w:val="00A2640D"/>
    <w:rsid w:val="00A441EB"/>
    <w:rsid w:val="00A44F09"/>
    <w:rsid w:val="00A468E6"/>
    <w:rsid w:val="00A46A89"/>
    <w:rsid w:val="00A50AAB"/>
    <w:rsid w:val="00A5547F"/>
    <w:rsid w:val="00A64CFE"/>
    <w:rsid w:val="00A65276"/>
    <w:rsid w:val="00A667A3"/>
    <w:rsid w:val="00A66AA7"/>
    <w:rsid w:val="00A7565D"/>
    <w:rsid w:val="00A81E9D"/>
    <w:rsid w:val="00A860F6"/>
    <w:rsid w:val="00A8675A"/>
    <w:rsid w:val="00A86BBF"/>
    <w:rsid w:val="00A9577A"/>
    <w:rsid w:val="00A96FB5"/>
    <w:rsid w:val="00AA4CB9"/>
    <w:rsid w:val="00AB2FB3"/>
    <w:rsid w:val="00AB621E"/>
    <w:rsid w:val="00AC003B"/>
    <w:rsid w:val="00AC0379"/>
    <w:rsid w:val="00AC26FE"/>
    <w:rsid w:val="00AC3F44"/>
    <w:rsid w:val="00AC6FBD"/>
    <w:rsid w:val="00AC7202"/>
    <w:rsid w:val="00AD42BE"/>
    <w:rsid w:val="00AD6B8B"/>
    <w:rsid w:val="00AD7884"/>
    <w:rsid w:val="00AD789B"/>
    <w:rsid w:val="00AD7C4D"/>
    <w:rsid w:val="00AE0B25"/>
    <w:rsid w:val="00AE116C"/>
    <w:rsid w:val="00AE1AFA"/>
    <w:rsid w:val="00AE40D6"/>
    <w:rsid w:val="00AE44FB"/>
    <w:rsid w:val="00AE57E0"/>
    <w:rsid w:val="00AF0D0C"/>
    <w:rsid w:val="00AF20A7"/>
    <w:rsid w:val="00AF3178"/>
    <w:rsid w:val="00AF50D1"/>
    <w:rsid w:val="00AF6DA3"/>
    <w:rsid w:val="00B00B0E"/>
    <w:rsid w:val="00B02F94"/>
    <w:rsid w:val="00B03B86"/>
    <w:rsid w:val="00B10E62"/>
    <w:rsid w:val="00B16C26"/>
    <w:rsid w:val="00B17FBC"/>
    <w:rsid w:val="00B22172"/>
    <w:rsid w:val="00B3221C"/>
    <w:rsid w:val="00B363D7"/>
    <w:rsid w:val="00B37135"/>
    <w:rsid w:val="00B3718B"/>
    <w:rsid w:val="00B4003E"/>
    <w:rsid w:val="00B42721"/>
    <w:rsid w:val="00B43970"/>
    <w:rsid w:val="00B44D50"/>
    <w:rsid w:val="00B50E28"/>
    <w:rsid w:val="00B51201"/>
    <w:rsid w:val="00B5682E"/>
    <w:rsid w:val="00B612CD"/>
    <w:rsid w:val="00B63C50"/>
    <w:rsid w:val="00B66DAD"/>
    <w:rsid w:val="00B7130C"/>
    <w:rsid w:val="00B7281C"/>
    <w:rsid w:val="00B7302D"/>
    <w:rsid w:val="00B731C4"/>
    <w:rsid w:val="00B75DC6"/>
    <w:rsid w:val="00B8145D"/>
    <w:rsid w:val="00B81928"/>
    <w:rsid w:val="00B824A2"/>
    <w:rsid w:val="00B842FB"/>
    <w:rsid w:val="00B850B9"/>
    <w:rsid w:val="00B916C2"/>
    <w:rsid w:val="00B9344B"/>
    <w:rsid w:val="00B97CD6"/>
    <w:rsid w:val="00BA4EE0"/>
    <w:rsid w:val="00BB018B"/>
    <w:rsid w:val="00BB2132"/>
    <w:rsid w:val="00BB43E6"/>
    <w:rsid w:val="00BB46BA"/>
    <w:rsid w:val="00BC21E7"/>
    <w:rsid w:val="00BC436F"/>
    <w:rsid w:val="00BC4792"/>
    <w:rsid w:val="00BC486A"/>
    <w:rsid w:val="00BE2BDF"/>
    <w:rsid w:val="00BE4E74"/>
    <w:rsid w:val="00BE587B"/>
    <w:rsid w:val="00BF4BBE"/>
    <w:rsid w:val="00BF54DB"/>
    <w:rsid w:val="00BF60E3"/>
    <w:rsid w:val="00C11D40"/>
    <w:rsid w:val="00C13EAF"/>
    <w:rsid w:val="00C14326"/>
    <w:rsid w:val="00C158A7"/>
    <w:rsid w:val="00C21963"/>
    <w:rsid w:val="00C22F85"/>
    <w:rsid w:val="00C2581C"/>
    <w:rsid w:val="00C3052C"/>
    <w:rsid w:val="00C30E74"/>
    <w:rsid w:val="00C46468"/>
    <w:rsid w:val="00C46D88"/>
    <w:rsid w:val="00C47099"/>
    <w:rsid w:val="00C472F4"/>
    <w:rsid w:val="00C477D7"/>
    <w:rsid w:val="00C528BC"/>
    <w:rsid w:val="00C53F45"/>
    <w:rsid w:val="00C5600B"/>
    <w:rsid w:val="00C56CDA"/>
    <w:rsid w:val="00C64F68"/>
    <w:rsid w:val="00C714F2"/>
    <w:rsid w:val="00C7195E"/>
    <w:rsid w:val="00C71D27"/>
    <w:rsid w:val="00C76F5C"/>
    <w:rsid w:val="00C773C8"/>
    <w:rsid w:val="00C82FD1"/>
    <w:rsid w:val="00C84AB1"/>
    <w:rsid w:val="00C94CAD"/>
    <w:rsid w:val="00C954BD"/>
    <w:rsid w:val="00C9744E"/>
    <w:rsid w:val="00CA4D82"/>
    <w:rsid w:val="00CA5B18"/>
    <w:rsid w:val="00CA5C65"/>
    <w:rsid w:val="00CA6682"/>
    <w:rsid w:val="00CA70A2"/>
    <w:rsid w:val="00CA777C"/>
    <w:rsid w:val="00CB13B6"/>
    <w:rsid w:val="00CB1958"/>
    <w:rsid w:val="00CB4176"/>
    <w:rsid w:val="00CC2199"/>
    <w:rsid w:val="00CC29E3"/>
    <w:rsid w:val="00CD18E9"/>
    <w:rsid w:val="00CD2B3E"/>
    <w:rsid w:val="00CD3D13"/>
    <w:rsid w:val="00CD4155"/>
    <w:rsid w:val="00CD530C"/>
    <w:rsid w:val="00CD6425"/>
    <w:rsid w:val="00CE4BD8"/>
    <w:rsid w:val="00CE6119"/>
    <w:rsid w:val="00CE690D"/>
    <w:rsid w:val="00CF30F0"/>
    <w:rsid w:val="00CF69A9"/>
    <w:rsid w:val="00D01A41"/>
    <w:rsid w:val="00D01F8F"/>
    <w:rsid w:val="00D027B7"/>
    <w:rsid w:val="00D03BFC"/>
    <w:rsid w:val="00D1538F"/>
    <w:rsid w:val="00D15CEB"/>
    <w:rsid w:val="00D16438"/>
    <w:rsid w:val="00D2011E"/>
    <w:rsid w:val="00D22555"/>
    <w:rsid w:val="00D27BCE"/>
    <w:rsid w:val="00D27C7A"/>
    <w:rsid w:val="00D3306B"/>
    <w:rsid w:val="00D357FD"/>
    <w:rsid w:val="00D36B6B"/>
    <w:rsid w:val="00D37AD6"/>
    <w:rsid w:val="00D40FB3"/>
    <w:rsid w:val="00D41594"/>
    <w:rsid w:val="00D43A69"/>
    <w:rsid w:val="00D475C2"/>
    <w:rsid w:val="00D567FF"/>
    <w:rsid w:val="00D6179C"/>
    <w:rsid w:val="00D63A1D"/>
    <w:rsid w:val="00D64F24"/>
    <w:rsid w:val="00D66FB1"/>
    <w:rsid w:val="00D7371F"/>
    <w:rsid w:val="00D73BA8"/>
    <w:rsid w:val="00D81FE6"/>
    <w:rsid w:val="00D838A9"/>
    <w:rsid w:val="00D862F1"/>
    <w:rsid w:val="00D86B14"/>
    <w:rsid w:val="00D91D3F"/>
    <w:rsid w:val="00D92207"/>
    <w:rsid w:val="00D939F2"/>
    <w:rsid w:val="00D95ED0"/>
    <w:rsid w:val="00D9708C"/>
    <w:rsid w:val="00DA0812"/>
    <w:rsid w:val="00DA0D1B"/>
    <w:rsid w:val="00DA3379"/>
    <w:rsid w:val="00DA67F9"/>
    <w:rsid w:val="00DB0278"/>
    <w:rsid w:val="00DC1E97"/>
    <w:rsid w:val="00DC530A"/>
    <w:rsid w:val="00DC7E19"/>
    <w:rsid w:val="00DD6BFE"/>
    <w:rsid w:val="00DE0C7D"/>
    <w:rsid w:val="00DE5010"/>
    <w:rsid w:val="00DE57DF"/>
    <w:rsid w:val="00DE6050"/>
    <w:rsid w:val="00DE7175"/>
    <w:rsid w:val="00DE7D2B"/>
    <w:rsid w:val="00DF1B15"/>
    <w:rsid w:val="00DF1D10"/>
    <w:rsid w:val="00DF59F0"/>
    <w:rsid w:val="00E00493"/>
    <w:rsid w:val="00E06BBD"/>
    <w:rsid w:val="00E13264"/>
    <w:rsid w:val="00E155B5"/>
    <w:rsid w:val="00E23CE2"/>
    <w:rsid w:val="00E24B0B"/>
    <w:rsid w:val="00E30451"/>
    <w:rsid w:val="00E32767"/>
    <w:rsid w:val="00E33FAF"/>
    <w:rsid w:val="00E35E9B"/>
    <w:rsid w:val="00E37491"/>
    <w:rsid w:val="00E44A9F"/>
    <w:rsid w:val="00E53320"/>
    <w:rsid w:val="00E547FB"/>
    <w:rsid w:val="00E56A3C"/>
    <w:rsid w:val="00E57725"/>
    <w:rsid w:val="00E61B06"/>
    <w:rsid w:val="00E656AA"/>
    <w:rsid w:val="00E70DCA"/>
    <w:rsid w:val="00E72AFD"/>
    <w:rsid w:val="00E74D83"/>
    <w:rsid w:val="00E753F4"/>
    <w:rsid w:val="00E80252"/>
    <w:rsid w:val="00E80556"/>
    <w:rsid w:val="00E81586"/>
    <w:rsid w:val="00E82961"/>
    <w:rsid w:val="00E83AEC"/>
    <w:rsid w:val="00E84D30"/>
    <w:rsid w:val="00E9501E"/>
    <w:rsid w:val="00E97311"/>
    <w:rsid w:val="00EA0D78"/>
    <w:rsid w:val="00EA41D1"/>
    <w:rsid w:val="00EA61D7"/>
    <w:rsid w:val="00EB0638"/>
    <w:rsid w:val="00EB073E"/>
    <w:rsid w:val="00EB09D5"/>
    <w:rsid w:val="00EB0FA0"/>
    <w:rsid w:val="00EB5209"/>
    <w:rsid w:val="00EC177D"/>
    <w:rsid w:val="00EC2191"/>
    <w:rsid w:val="00EC3A67"/>
    <w:rsid w:val="00EC7568"/>
    <w:rsid w:val="00EC7895"/>
    <w:rsid w:val="00ED3B63"/>
    <w:rsid w:val="00EE1853"/>
    <w:rsid w:val="00EE3053"/>
    <w:rsid w:val="00EE63BB"/>
    <w:rsid w:val="00EE7F8E"/>
    <w:rsid w:val="00EF0273"/>
    <w:rsid w:val="00EF22D7"/>
    <w:rsid w:val="00EF5050"/>
    <w:rsid w:val="00EF60A8"/>
    <w:rsid w:val="00EF6BBF"/>
    <w:rsid w:val="00F10894"/>
    <w:rsid w:val="00F14119"/>
    <w:rsid w:val="00F1526F"/>
    <w:rsid w:val="00F169EE"/>
    <w:rsid w:val="00F2412E"/>
    <w:rsid w:val="00F25258"/>
    <w:rsid w:val="00F42F27"/>
    <w:rsid w:val="00F47DCC"/>
    <w:rsid w:val="00F5047F"/>
    <w:rsid w:val="00F51B9F"/>
    <w:rsid w:val="00F54690"/>
    <w:rsid w:val="00F552EC"/>
    <w:rsid w:val="00F56285"/>
    <w:rsid w:val="00F57462"/>
    <w:rsid w:val="00F57526"/>
    <w:rsid w:val="00F61833"/>
    <w:rsid w:val="00F6266C"/>
    <w:rsid w:val="00F63251"/>
    <w:rsid w:val="00F70009"/>
    <w:rsid w:val="00F752DF"/>
    <w:rsid w:val="00F827EA"/>
    <w:rsid w:val="00F83DD6"/>
    <w:rsid w:val="00F86641"/>
    <w:rsid w:val="00F934BC"/>
    <w:rsid w:val="00F956A6"/>
    <w:rsid w:val="00F97C3A"/>
    <w:rsid w:val="00FA1011"/>
    <w:rsid w:val="00FA38CB"/>
    <w:rsid w:val="00FA782C"/>
    <w:rsid w:val="00FB184D"/>
    <w:rsid w:val="00FB326F"/>
    <w:rsid w:val="00FC0FD6"/>
    <w:rsid w:val="00FC1D34"/>
    <w:rsid w:val="00FC605A"/>
    <w:rsid w:val="00FD39CB"/>
    <w:rsid w:val="00FD53D2"/>
    <w:rsid w:val="00FE40F9"/>
    <w:rsid w:val="00FF10A7"/>
    <w:rsid w:val="00FF32BE"/>
    <w:rsid w:val="00FF4E95"/>
    <w:rsid w:val="00FF7626"/>
    <w:rsid w:val="00FF7FD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98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3F4"/>
  </w:style>
  <w:style w:type="paragraph" w:styleId="Titre1">
    <w:name w:val="heading 1"/>
    <w:basedOn w:val="Normal"/>
    <w:next w:val="Normal"/>
    <w:link w:val="Titre1Car"/>
    <w:uiPriority w:val="99"/>
    <w:qFormat/>
    <w:rsid w:val="008A1C6B"/>
    <w:pPr>
      <w:keepNext/>
      <w:keepLines/>
      <w:spacing w:before="480" w:after="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9"/>
    <w:qFormat/>
    <w:rsid w:val="008A1C6B"/>
    <w:pPr>
      <w:keepNext/>
      <w:keepLines/>
      <w:spacing w:before="200" w:after="0"/>
      <w:outlineLvl w:val="1"/>
    </w:pPr>
    <w:rPr>
      <w:rFonts w:ascii="Cambria" w:eastAsia="Times New Roman" w:hAnsi="Cambria" w:cs="Times New Roman"/>
      <w:b/>
      <w:bCs/>
      <w:color w:val="4F81BD"/>
      <w:sz w:val="26"/>
      <w:szCs w:val="26"/>
    </w:rPr>
  </w:style>
  <w:style w:type="paragraph" w:styleId="Titre3">
    <w:name w:val="heading 3"/>
    <w:basedOn w:val="Normal"/>
    <w:next w:val="Normal"/>
    <w:link w:val="Titre3Car"/>
    <w:uiPriority w:val="99"/>
    <w:qFormat/>
    <w:rsid w:val="008A1C6B"/>
    <w:pPr>
      <w:keepNext/>
      <w:keepLines/>
      <w:spacing w:before="200" w:after="0"/>
      <w:outlineLvl w:val="2"/>
    </w:pPr>
    <w:rPr>
      <w:rFonts w:ascii="Cambria" w:eastAsia="Times New Roman" w:hAnsi="Cambria" w:cs="Times New Roman"/>
      <w:b/>
      <w:bCs/>
      <w:color w:val="4F81BD"/>
    </w:rPr>
  </w:style>
  <w:style w:type="paragraph" w:styleId="Titre4">
    <w:name w:val="heading 4"/>
    <w:basedOn w:val="Normal"/>
    <w:next w:val="Normal"/>
    <w:link w:val="Titre4Car"/>
    <w:uiPriority w:val="99"/>
    <w:qFormat/>
    <w:rsid w:val="004A2A5D"/>
    <w:pPr>
      <w:keepNext/>
      <w:keepLines/>
      <w:spacing w:before="200" w:after="0"/>
      <w:ind w:left="2160"/>
      <w:outlineLvl w:val="3"/>
    </w:pPr>
    <w:rPr>
      <w:rFonts w:ascii="Cambria" w:eastAsia="Times New Roman" w:hAnsi="Cambria" w:cs="Cambria"/>
      <w:b/>
      <w:bCs/>
      <w:i/>
      <w:iCs/>
      <w:color w:val="4F81BD"/>
    </w:rPr>
  </w:style>
  <w:style w:type="paragraph" w:styleId="Titre5">
    <w:name w:val="heading 5"/>
    <w:basedOn w:val="Normal"/>
    <w:next w:val="Normal"/>
    <w:link w:val="Titre5Car"/>
    <w:uiPriority w:val="99"/>
    <w:qFormat/>
    <w:rsid w:val="004A2A5D"/>
    <w:pPr>
      <w:keepNext/>
      <w:keepLines/>
      <w:spacing w:before="200" w:after="0"/>
      <w:ind w:left="2880"/>
      <w:outlineLvl w:val="4"/>
    </w:pPr>
    <w:rPr>
      <w:rFonts w:ascii="Cambria" w:eastAsia="Times New Roman" w:hAnsi="Cambria" w:cs="Cambria"/>
      <w:color w:val="243F60"/>
    </w:rPr>
  </w:style>
  <w:style w:type="paragraph" w:styleId="Titre6">
    <w:name w:val="heading 6"/>
    <w:basedOn w:val="Normal"/>
    <w:next w:val="Normal"/>
    <w:link w:val="Titre6Car"/>
    <w:uiPriority w:val="99"/>
    <w:qFormat/>
    <w:rsid w:val="004A2A5D"/>
    <w:pPr>
      <w:keepNext/>
      <w:keepLines/>
      <w:spacing w:before="200" w:after="0"/>
      <w:ind w:left="3600"/>
      <w:outlineLvl w:val="5"/>
    </w:pPr>
    <w:rPr>
      <w:rFonts w:ascii="Cambria" w:eastAsia="Times New Roman" w:hAnsi="Cambria" w:cs="Cambria"/>
      <w:i/>
      <w:iCs/>
      <w:color w:val="243F60"/>
    </w:rPr>
  </w:style>
  <w:style w:type="paragraph" w:styleId="Titre7">
    <w:name w:val="heading 7"/>
    <w:basedOn w:val="Normal"/>
    <w:next w:val="Normal"/>
    <w:link w:val="Titre7Car"/>
    <w:uiPriority w:val="99"/>
    <w:qFormat/>
    <w:rsid w:val="004A2A5D"/>
    <w:pPr>
      <w:keepNext/>
      <w:keepLines/>
      <w:spacing w:before="200" w:after="0"/>
      <w:ind w:left="4320"/>
      <w:outlineLvl w:val="6"/>
    </w:pPr>
    <w:rPr>
      <w:rFonts w:ascii="Cambria" w:eastAsia="Times New Roman" w:hAnsi="Cambria" w:cs="Cambria"/>
      <w:i/>
      <w:iCs/>
      <w:color w:val="404040"/>
    </w:rPr>
  </w:style>
  <w:style w:type="paragraph" w:styleId="Titre8">
    <w:name w:val="heading 8"/>
    <w:basedOn w:val="Normal"/>
    <w:next w:val="Normal"/>
    <w:link w:val="Titre8Car"/>
    <w:uiPriority w:val="99"/>
    <w:qFormat/>
    <w:rsid w:val="004A2A5D"/>
    <w:pPr>
      <w:keepNext/>
      <w:keepLines/>
      <w:spacing w:before="200" w:after="0"/>
      <w:ind w:left="5040"/>
      <w:outlineLvl w:val="7"/>
    </w:pPr>
    <w:rPr>
      <w:rFonts w:ascii="Cambria" w:eastAsia="Times New Roman" w:hAnsi="Cambria" w:cs="Cambria"/>
      <w:color w:val="404040"/>
      <w:sz w:val="20"/>
      <w:szCs w:val="20"/>
    </w:rPr>
  </w:style>
  <w:style w:type="paragraph" w:styleId="Titre9">
    <w:name w:val="heading 9"/>
    <w:basedOn w:val="Normal"/>
    <w:next w:val="Normal"/>
    <w:link w:val="Titre9Car"/>
    <w:uiPriority w:val="99"/>
    <w:qFormat/>
    <w:rsid w:val="004A2A5D"/>
    <w:pPr>
      <w:keepNext/>
      <w:keepLines/>
      <w:spacing w:before="200" w:after="0"/>
      <w:ind w:left="5760"/>
      <w:outlineLvl w:val="8"/>
    </w:pPr>
    <w:rPr>
      <w:rFonts w:ascii="Cambria" w:eastAsia="Times New Roman" w:hAnsi="Cambria" w:cs="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8A1C6B"/>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9"/>
    <w:rsid w:val="008A1C6B"/>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9"/>
    <w:rsid w:val="008A1C6B"/>
    <w:rPr>
      <w:rFonts w:ascii="Cambria" w:eastAsia="Times New Roman" w:hAnsi="Cambria" w:cs="Times New Roman"/>
      <w:b/>
      <w:bCs/>
      <w:color w:val="4F81BD"/>
    </w:rPr>
  </w:style>
  <w:style w:type="character" w:customStyle="1" w:styleId="Titre4Car">
    <w:name w:val="Titre 4 Car"/>
    <w:basedOn w:val="Policepardfaut"/>
    <w:link w:val="Titre4"/>
    <w:uiPriority w:val="99"/>
    <w:rsid w:val="004A2A5D"/>
    <w:rPr>
      <w:rFonts w:ascii="Cambria" w:eastAsia="Times New Roman" w:hAnsi="Cambria" w:cs="Cambria"/>
      <w:b/>
      <w:bCs/>
      <w:i/>
      <w:iCs/>
      <w:color w:val="4F81BD"/>
    </w:rPr>
  </w:style>
  <w:style w:type="character" w:customStyle="1" w:styleId="Titre5Car">
    <w:name w:val="Titre 5 Car"/>
    <w:basedOn w:val="Policepardfaut"/>
    <w:link w:val="Titre5"/>
    <w:uiPriority w:val="99"/>
    <w:rsid w:val="004A2A5D"/>
    <w:rPr>
      <w:rFonts w:ascii="Cambria" w:eastAsia="Times New Roman" w:hAnsi="Cambria" w:cs="Cambria"/>
      <w:color w:val="243F60"/>
    </w:rPr>
  </w:style>
  <w:style w:type="character" w:customStyle="1" w:styleId="Titre6Car">
    <w:name w:val="Titre 6 Car"/>
    <w:basedOn w:val="Policepardfaut"/>
    <w:link w:val="Titre6"/>
    <w:uiPriority w:val="99"/>
    <w:rsid w:val="004A2A5D"/>
    <w:rPr>
      <w:rFonts w:ascii="Cambria" w:eastAsia="Times New Roman" w:hAnsi="Cambria" w:cs="Cambria"/>
      <w:i/>
      <w:iCs/>
      <w:color w:val="243F60"/>
    </w:rPr>
  </w:style>
  <w:style w:type="character" w:customStyle="1" w:styleId="Titre7Car">
    <w:name w:val="Titre 7 Car"/>
    <w:basedOn w:val="Policepardfaut"/>
    <w:link w:val="Titre7"/>
    <w:uiPriority w:val="99"/>
    <w:rsid w:val="004A2A5D"/>
    <w:rPr>
      <w:rFonts w:ascii="Cambria" w:eastAsia="Times New Roman" w:hAnsi="Cambria" w:cs="Cambria"/>
      <w:i/>
      <w:iCs/>
      <w:color w:val="404040"/>
    </w:rPr>
  </w:style>
  <w:style w:type="character" w:customStyle="1" w:styleId="Titre8Car">
    <w:name w:val="Titre 8 Car"/>
    <w:basedOn w:val="Policepardfaut"/>
    <w:link w:val="Titre8"/>
    <w:uiPriority w:val="99"/>
    <w:rsid w:val="004A2A5D"/>
    <w:rPr>
      <w:rFonts w:ascii="Cambria" w:eastAsia="Times New Roman" w:hAnsi="Cambria" w:cs="Cambria"/>
      <w:color w:val="404040"/>
      <w:sz w:val="20"/>
      <w:szCs w:val="20"/>
    </w:rPr>
  </w:style>
  <w:style w:type="character" w:customStyle="1" w:styleId="Titre9Car">
    <w:name w:val="Titre 9 Car"/>
    <w:basedOn w:val="Policepardfaut"/>
    <w:link w:val="Titre9"/>
    <w:uiPriority w:val="99"/>
    <w:rsid w:val="004A2A5D"/>
    <w:rPr>
      <w:rFonts w:ascii="Cambria" w:eastAsia="Times New Roman" w:hAnsi="Cambria" w:cs="Cambria"/>
      <w:i/>
      <w:iCs/>
      <w:color w:val="404040"/>
      <w:sz w:val="20"/>
      <w:szCs w:val="20"/>
    </w:rPr>
  </w:style>
  <w:style w:type="paragraph" w:styleId="En-tte">
    <w:name w:val="header"/>
    <w:basedOn w:val="Normal"/>
    <w:link w:val="En-tteCar"/>
    <w:uiPriority w:val="99"/>
    <w:unhideWhenUsed/>
    <w:rsid w:val="00A86BBF"/>
    <w:pPr>
      <w:tabs>
        <w:tab w:val="center" w:pos="4536"/>
        <w:tab w:val="right" w:pos="9072"/>
      </w:tabs>
      <w:spacing w:after="0" w:line="240" w:lineRule="auto"/>
    </w:pPr>
  </w:style>
  <w:style w:type="character" w:customStyle="1" w:styleId="En-tteCar">
    <w:name w:val="En-tête Car"/>
    <w:basedOn w:val="Policepardfaut"/>
    <w:link w:val="En-tte"/>
    <w:uiPriority w:val="99"/>
    <w:rsid w:val="00A86BBF"/>
  </w:style>
  <w:style w:type="paragraph" w:styleId="Pieddepage">
    <w:name w:val="footer"/>
    <w:basedOn w:val="Normal"/>
    <w:link w:val="PieddepageCar"/>
    <w:uiPriority w:val="99"/>
    <w:unhideWhenUsed/>
    <w:rsid w:val="00A86B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6BBF"/>
  </w:style>
  <w:style w:type="paragraph" w:styleId="Paragraphedeliste">
    <w:name w:val="List Paragraph"/>
    <w:basedOn w:val="Normal"/>
    <w:uiPriority w:val="34"/>
    <w:qFormat/>
    <w:rsid w:val="008A1C6B"/>
    <w:pPr>
      <w:ind w:left="720"/>
      <w:contextualSpacing/>
    </w:pPr>
    <w:rPr>
      <w:rFonts w:ascii="Calibri" w:eastAsia="Times New Roman" w:hAnsi="Calibri" w:cs="Arial"/>
    </w:rPr>
  </w:style>
  <w:style w:type="paragraph" w:styleId="Textedebulles">
    <w:name w:val="Balloon Text"/>
    <w:basedOn w:val="Normal"/>
    <w:link w:val="TextedebullesCar"/>
    <w:semiHidden/>
    <w:unhideWhenUsed/>
    <w:rsid w:val="008A1C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8A1C6B"/>
    <w:rPr>
      <w:rFonts w:ascii="Tahoma" w:hAnsi="Tahoma" w:cs="Tahoma"/>
      <w:sz w:val="16"/>
      <w:szCs w:val="16"/>
    </w:rPr>
  </w:style>
  <w:style w:type="character" w:styleId="Numrodepage">
    <w:name w:val="page number"/>
    <w:basedOn w:val="Policepardfaut"/>
    <w:rsid w:val="00D36B6B"/>
  </w:style>
  <w:style w:type="paragraph" w:styleId="Sansinterligne">
    <w:name w:val="No Spacing"/>
    <w:link w:val="SansinterligneCar"/>
    <w:uiPriority w:val="1"/>
    <w:qFormat/>
    <w:rsid w:val="004A2A5D"/>
    <w:pPr>
      <w:spacing w:after="0" w:line="240" w:lineRule="auto"/>
    </w:pPr>
    <w:rPr>
      <w:rFonts w:ascii="Calibri" w:eastAsia="Times New Roman" w:hAnsi="Calibri" w:cs="Calibri"/>
      <w:lang w:eastAsia="en-US"/>
    </w:rPr>
  </w:style>
  <w:style w:type="character" w:customStyle="1" w:styleId="SansinterligneCar">
    <w:name w:val="Sans interligne Car"/>
    <w:basedOn w:val="Policepardfaut"/>
    <w:link w:val="Sansinterligne"/>
    <w:uiPriority w:val="1"/>
    <w:locked/>
    <w:rsid w:val="004A2A5D"/>
    <w:rPr>
      <w:rFonts w:ascii="Calibri" w:eastAsia="Times New Roman" w:hAnsi="Calibri" w:cs="Calibri"/>
      <w:lang w:eastAsia="en-US"/>
    </w:rPr>
  </w:style>
  <w:style w:type="paragraph" w:styleId="Notedebasdepage">
    <w:name w:val="footnote text"/>
    <w:basedOn w:val="Normal"/>
    <w:link w:val="NotedebasdepageCar"/>
    <w:uiPriority w:val="99"/>
    <w:semiHidden/>
    <w:rsid w:val="004A2A5D"/>
    <w:pPr>
      <w:spacing w:after="0" w:line="240" w:lineRule="auto"/>
    </w:pPr>
    <w:rPr>
      <w:rFonts w:ascii="Calibri" w:eastAsia="Times New Roman" w:hAnsi="Calibri" w:cs="Calibri"/>
      <w:sz w:val="20"/>
      <w:szCs w:val="20"/>
    </w:rPr>
  </w:style>
  <w:style w:type="character" w:customStyle="1" w:styleId="NotedebasdepageCar">
    <w:name w:val="Note de bas de page Car"/>
    <w:basedOn w:val="Policepardfaut"/>
    <w:link w:val="Notedebasdepage"/>
    <w:uiPriority w:val="99"/>
    <w:semiHidden/>
    <w:rsid w:val="004A2A5D"/>
    <w:rPr>
      <w:rFonts w:ascii="Calibri" w:eastAsia="Times New Roman" w:hAnsi="Calibri" w:cs="Calibri"/>
      <w:sz w:val="20"/>
      <w:szCs w:val="20"/>
    </w:rPr>
  </w:style>
  <w:style w:type="table" w:styleId="Grilledutableau">
    <w:name w:val="Table Grid"/>
    <w:basedOn w:val="TableauNormal"/>
    <w:rsid w:val="004A2A5D"/>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re">
    <w:name w:val="Title"/>
    <w:basedOn w:val="Normal"/>
    <w:next w:val="Normal"/>
    <w:link w:val="TitreCar"/>
    <w:qFormat/>
    <w:rsid w:val="004A2A5D"/>
    <w:pPr>
      <w:spacing w:before="240" w:after="60"/>
      <w:jc w:val="center"/>
      <w:outlineLvl w:val="0"/>
    </w:pPr>
    <w:rPr>
      <w:rFonts w:ascii="Cambria" w:eastAsia="Times New Roman" w:hAnsi="Cambria" w:cs="Times New Roman"/>
      <w:b/>
      <w:bCs/>
      <w:kern w:val="28"/>
      <w:sz w:val="32"/>
      <w:szCs w:val="32"/>
    </w:rPr>
  </w:style>
  <w:style w:type="character" w:customStyle="1" w:styleId="TitreCar">
    <w:name w:val="Titre Car"/>
    <w:basedOn w:val="Policepardfaut"/>
    <w:link w:val="Titre"/>
    <w:rsid w:val="004A2A5D"/>
    <w:rPr>
      <w:rFonts w:ascii="Cambria" w:eastAsia="Times New Roman" w:hAnsi="Cambria" w:cs="Times New Roman"/>
      <w:b/>
      <w:bCs/>
      <w:kern w:val="28"/>
      <w:sz w:val="32"/>
      <w:szCs w:val="32"/>
    </w:rPr>
  </w:style>
  <w:style w:type="character" w:styleId="CitationHTML">
    <w:name w:val="HTML Cite"/>
    <w:basedOn w:val="Policepardfaut"/>
    <w:uiPriority w:val="99"/>
    <w:unhideWhenUsed/>
    <w:rsid w:val="00CC29E3"/>
    <w:rPr>
      <w:i/>
      <w:iCs/>
    </w:rPr>
  </w:style>
  <w:style w:type="character" w:styleId="Lienhypertexte">
    <w:name w:val="Hyperlink"/>
    <w:basedOn w:val="Policepardfaut"/>
    <w:uiPriority w:val="99"/>
    <w:rsid w:val="00CC29E3"/>
    <w:rPr>
      <w:color w:val="0000FF"/>
      <w:u w:val="single"/>
    </w:rPr>
  </w:style>
  <w:style w:type="character" w:styleId="lev">
    <w:name w:val="Strong"/>
    <w:basedOn w:val="Policepardfaut"/>
    <w:uiPriority w:val="22"/>
    <w:qFormat/>
    <w:rsid w:val="00CC29E3"/>
    <w:rPr>
      <w:b/>
      <w:bCs/>
    </w:rPr>
  </w:style>
  <w:style w:type="paragraph" w:styleId="NormalWeb">
    <w:name w:val="Normal (Web)"/>
    <w:basedOn w:val="Normal"/>
    <w:uiPriority w:val="99"/>
    <w:unhideWhenUsed/>
    <w:rsid w:val="00CC29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edeliste1">
    <w:name w:val="Paragraphe de liste1"/>
    <w:basedOn w:val="Normal"/>
    <w:rsid w:val="00CC29E3"/>
    <w:pPr>
      <w:ind w:left="720"/>
    </w:pPr>
    <w:rPr>
      <w:rFonts w:ascii="Calibri" w:eastAsia="Times New Roman" w:hAnsi="Calibri" w:cs="Arial"/>
    </w:rPr>
  </w:style>
  <w:style w:type="character" w:customStyle="1" w:styleId="CarCar3">
    <w:name w:val="Car Car3"/>
    <w:basedOn w:val="Policepardfaut"/>
    <w:locked/>
    <w:rsid w:val="00CC29E3"/>
    <w:rPr>
      <w:rFonts w:cs="Times New Roman"/>
    </w:rPr>
  </w:style>
  <w:style w:type="character" w:styleId="Marquedecommentaire">
    <w:name w:val="annotation reference"/>
    <w:basedOn w:val="Policepardfaut"/>
    <w:semiHidden/>
    <w:rsid w:val="00CC29E3"/>
    <w:rPr>
      <w:sz w:val="16"/>
      <w:szCs w:val="16"/>
    </w:rPr>
  </w:style>
  <w:style w:type="paragraph" w:styleId="Commentaire">
    <w:name w:val="annotation text"/>
    <w:basedOn w:val="Normal"/>
    <w:link w:val="CommentaireCar"/>
    <w:semiHidden/>
    <w:rsid w:val="00CC29E3"/>
    <w:rPr>
      <w:rFonts w:ascii="Calibri" w:eastAsia="Times New Roman" w:hAnsi="Calibri" w:cs="Arial"/>
      <w:sz w:val="20"/>
      <w:szCs w:val="20"/>
    </w:rPr>
  </w:style>
  <w:style w:type="character" w:customStyle="1" w:styleId="CommentaireCar">
    <w:name w:val="Commentaire Car"/>
    <w:basedOn w:val="Policepardfaut"/>
    <w:link w:val="Commentaire"/>
    <w:semiHidden/>
    <w:rsid w:val="00CC29E3"/>
    <w:rPr>
      <w:rFonts w:ascii="Calibri" w:eastAsia="Times New Roman" w:hAnsi="Calibri" w:cs="Arial"/>
      <w:sz w:val="20"/>
      <w:szCs w:val="20"/>
    </w:rPr>
  </w:style>
  <w:style w:type="paragraph" w:styleId="Objetducommentaire">
    <w:name w:val="annotation subject"/>
    <w:basedOn w:val="Commentaire"/>
    <w:next w:val="Commentaire"/>
    <w:link w:val="ObjetducommentaireCar"/>
    <w:semiHidden/>
    <w:rsid w:val="00CC29E3"/>
    <w:rPr>
      <w:b/>
      <w:bCs/>
    </w:rPr>
  </w:style>
  <w:style w:type="character" w:customStyle="1" w:styleId="ObjetducommentaireCar">
    <w:name w:val="Objet du commentaire Car"/>
    <w:basedOn w:val="CommentaireCar"/>
    <w:link w:val="Objetducommentaire"/>
    <w:semiHidden/>
    <w:rsid w:val="00CC29E3"/>
    <w:rPr>
      <w:b/>
      <w:bCs/>
    </w:rPr>
  </w:style>
  <w:style w:type="paragraph" w:styleId="TM1">
    <w:name w:val="toc 1"/>
    <w:basedOn w:val="Normal"/>
    <w:next w:val="Normal"/>
    <w:autoRedefine/>
    <w:uiPriority w:val="39"/>
    <w:unhideWhenUsed/>
    <w:qFormat/>
    <w:rsid w:val="008514DE"/>
    <w:pPr>
      <w:spacing w:after="100"/>
    </w:pPr>
  </w:style>
  <w:style w:type="paragraph" w:styleId="TM2">
    <w:name w:val="toc 2"/>
    <w:basedOn w:val="Normal"/>
    <w:next w:val="Normal"/>
    <w:autoRedefine/>
    <w:uiPriority w:val="39"/>
    <w:unhideWhenUsed/>
    <w:qFormat/>
    <w:rsid w:val="008514DE"/>
    <w:pPr>
      <w:spacing w:after="100"/>
      <w:ind w:left="220"/>
    </w:pPr>
  </w:style>
  <w:style w:type="paragraph" w:styleId="TM3">
    <w:name w:val="toc 3"/>
    <w:basedOn w:val="Normal"/>
    <w:next w:val="Normal"/>
    <w:autoRedefine/>
    <w:uiPriority w:val="39"/>
    <w:unhideWhenUsed/>
    <w:qFormat/>
    <w:rsid w:val="008514DE"/>
    <w:pPr>
      <w:spacing w:after="100"/>
      <w:ind w:left="440"/>
    </w:pPr>
  </w:style>
  <w:style w:type="paragraph" w:styleId="En-ttedetabledesmatires">
    <w:name w:val="TOC Heading"/>
    <w:basedOn w:val="Titre1"/>
    <w:next w:val="Normal"/>
    <w:uiPriority w:val="39"/>
    <w:unhideWhenUsed/>
    <w:qFormat/>
    <w:rsid w:val="007D0799"/>
    <w:pPr>
      <w:outlineLvl w:val="9"/>
    </w:pPr>
    <w:rPr>
      <w:rFonts w:asciiTheme="majorHAnsi" w:eastAsiaTheme="majorEastAsia" w:hAnsiTheme="majorHAnsi" w:cstheme="majorBidi"/>
      <w:color w:val="365F91" w:themeColor="accent1" w:themeShade="BF"/>
      <w:lang w:eastAsia="en-US"/>
    </w:rPr>
  </w:style>
  <w:style w:type="paragraph" w:styleId="TM4">
    <w:name w:val="toc 4"/>
    <w:basedOn w:val="Normal"/>
    <w:next w:val="Normal"/>
    <w:autoRedefine/>
    <w:uiPriority w:val="39"/>
    <w:unhideWhenUsed/>
    <w:rsid w:val="007D0799"/>
    <w:pPr>
      <w:spacing w:after="100"/>
      <w:ind w:left="660"/>
    </w:pPr>
  </w:style>
  <w:style w:type="paragraph" w:styleId="TM5">
    <w:name w:val="toc 5"/>
    <w:basedOn w:val="Normal"/>
    <w:next w:val="Normal"/>
    <w:autoRedefine/>
    <w:uiPriority w:val="39"/>
    <w:unhideWhenUsed/>
    <w:rsid w:val="007D0799"/>
    <w:pPr>
      <w:spacing w:after="100"/>
      <w:ind w:left="880"/>
    </w:pPr>
  </w:style>
  <w:style w:type="paragraph" w:styleId="TM6">
    <w:name w:val="toc 6"/>
    <w:basedOn w:val="Normal"/>
    <w:next w:val="Normal"/>
    <w:autoRedefine/>
    <w:uiPriority w:val="39"/>
    <w:unhideWhenUsed/>
    <w:rsid w:val="007D0799"/>
    <w:pPr>
      <w:spacing w:after="100"/>
      <w:ind w:left="1100"/>
    </w:pPr>
  </w:style>
  <w:style w:type="paragraph" w:styleId="TM7">
    <w:name w:val="toc 7"/>
    <w:basedOn w:val="Normal"/>
    <w:next w:val="Normal"/>
    <w:autoRedefine/>
    <w:uiPriority w:val="39"/>
    <w:unhideWhenUsed/>
    <w:rsid w:val="007D0799"/>
    <w:pPr>
      <w:spacing w:after="100"/>
      <w:ind w:left="1320"/>
    </w:pPr>
  </w:style>
  <w:style w:type="paragraph" w:styleId="TM8">
    <w:name w:val="toc 8"/>
    <w:basedOn w:val="Normal"/>
    <w:next w:val="Normal"/>
    <w:autoRedefine/>
    <w:uiPriority w:val="39"/>
    <w:unhideWhenUsed/>
    <w:rsid w:val="007D0799"/>
    <w:pPr>
      <w:spacing w:after="100"/>
      <w:ind w:left="1540"/>
    </w:pPr>
  </w:style>
  <w:style w:type="paragraph" w:styleId="TM9">
    <w:name w:val="toc 9"/>
    <w:basedOn w:val="Normal"/>
    <w:next w:val="Normal"/>
    <w:autoRedefine/>
    <w:uiPriority w:val="39"/>
    <w:unhideWhenUsed/>
    <w:rsid w:val="007D0799"/>
    <w:pPr>
      <w:spacing w:after="100"/>
      <w:ind w:left="1760"/>
    </w:pPr>
  </w:style>
  <w:style w:type="paragraph" w:styleId="Lgende">
    <w:name w:val="caption"/>
    <w:basedOn w:val="Normal"/>
    <w:next w:val="Normal"/>
    <w:uiPriority w:val="35"/>
    <w:unhideWhenUsed/>
    <w:qFormat/>
    <w:rsid w:val="007D0799"/>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B7130C"/>
    <w:pPr>
      <w:spacing w:after="0"/>
    </w:pPr>
  </w:style>
  <w:style w:type="character" w:styleId="Appelnotedebasdep">
    <w:name w:val="footnote reference"/>
    <w:basedOn w:val="Policepardfaut"/>
    <w:uiPriority w:val="99"/>
    <w:semiHidden/>
    <w:unhideWhenUsed/>
    <w:rsid w:val="00E24B0B"/>
    <w:rPr>
      <w:vertAlign w:val="superscript"/>
    </w:rPr>
  </w:style>
  <w:style w:type="character" w:styleId="Numrodeligne">
    <w:name w:val="line number"/>
    <w:basedOn w:val="Policepardfaut"/>
    <w:uiPriority w:val="99"/>
    <w:semiHidden/>
    <w:unhideWhenUsed/>
    <w:rsid w:val="004B44D4"/>
  </w:style>
  <w:style w:type="paragraph" w:customStyle="1" w:styleId="En-ttedetabledesmatires1">
    <w:name w:val="En-tête de table des matières1"/>
    <w:basedOn w:val="Titre1"/>
    <w:next w:val="Normal"/>
    <w:rsid w:val="003C3059"/>
    <w:pPr>
      <w:outlineLvl w:val="9"/>
    </w:pPr>
    <w:rPr>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Tr&#195;&#168;fle" TargetMode="External"/><Relationship Id="rId117" Type="http://schemas.openxmlformats.org/officeDocument/2006/relationships/chart" Target="charts/chart56.xml"/><Relationship Id="rId21" Type="http://schemas.openxmlformats.org/officeDocument/2006/relationships/hyperlink" Target="http://fr.wikipedia.org/wiki/Inde" TargetMode="External"/><Relationship Id="rId42" Type="http://schemas.openxmlformats.org/officeDocument/2006/relationships/image" Target="media/image6.jpeg"/><Relationship Id="rId47" Type="http://schemas.openxmlformats.org/officeDocument/2006/relationships/image" Target="media/image11.jpeg"/><Relationship Id="rId63" Type="http://schemas.openxmlformats.org/officeDocument/2006/relationships/image" Target="media/image22.jpeg"/><Relationship Id="rId68" Type="http://schemas.openxmlformats.org/officeDocument/2006/relationships/chart" Target="charts/chart11.xml"/><Relationship Id="rId84" Type="http://schemas.openxmlformats.org/officeDocument/2006/relationships/chart" Target="charts/chart27.xml"/><Relationship Id="rId89" Type="http://schemas.openxmlformats.org/officeDocument/2006/relationships/chart" Target="charts/chart30.xml"/><Relationship Id="rId112" Type="http://schemas.openxmlformats.org/officeDocument/2006/relationships/image" Target="media/image27.png"/><Relationship Id="rId133" Type="http://schemas.openxmlformats.org/officeDocument/2006/relationships/header" Target="header6.xml"/><Relationship Id="rId138" Type="http://schemas.openxmlformats.org/officeDocument/2006/relationships/diagramData" Target="diagrams/data1.xml"/><Relationship Id="rId16" Type="http://schemas.openxmlformats.org/officeDocument/2006/relationships/chart" Target="charts/chart1.xml"/><Relationship Id="rId107" Type="http://schemas.openxmlformats.org/officeDocument/2006/relationships/chart" Target="charts/chart48.xml"/><Relationship Id="rId11" Type="http://schemas.openxmlformats.org/officeDocument/2006/relationships/hyperlink" Target="http://www.usaid.gov/" TargetMode="External"/><Relationship Id="rId32" Type="http://schemas.openxmlformats.org/officeDocument/2006/relationships/hyperlink" Target="http://fr.wikipedia.org/wiki/Agriculture_biologique" TargetMode="External"/><Relationship Id="rId37" Type="http://schemas.openxmlformats.org/officeDocument/2006/relationships/hyperlink" Target="http://fr.wikipedia.org/wiki/Fer" TargetMode="External"/><Relationship Id="rId53" Type="http://schemas.openxmlformats.org/officeDocument/2006/relationships/chart" Target="charts/chart7.xml"/><Relationship Id="rId58" Type="http://schemas.openxmlformats.org/officeDocument/2006/relationships/image" Target="media/image17.jpeg"/><Relationship Id="rId74" Type="http://schemas.openxmlformats.org/officeDocument/2006/relationships/chart" Target="charts/chart17.xml"/><Relationship Id="rId79" Type="http://schemas.openxmlformats.org/officeDocument/2006/relationships/chart" Target="charts/chart22.xml"/><Relationship Id="rId102" Type="http://schemas.openxmlformats.org/officeDocument/2006/relationships/chart" Target="charts/chart43.xml"/><Relationship Id="rId123" Type="http://schemas.openxmlformats.org/officeDocument/2006/relationships/chart" Target="charts/chart62.xml"/><Relationship Id="rId128" Type="http://schemas.openxmlformats.org/officeDocument/2006/relationships/chart" Target="charts/chart67.xml"/><Relationship Id="rId144" Type="http://schemas.openxmlformats.org/officeDocument/2006/relationships/diagramLayout" Target="diagrams/layout2.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31.xml"/><Relationship Id="rId95" Type="http://schemas.openxmlformats.org/officeDocument/2006/relationships/chart" Target="charts/chart36.xml"/><Relationship Id="rId22" Type="http://schemas.openxmlformats.org/officeDocument/2006/relationships/hyperlink" Target="http://fr.wikipedia.org/wiki/R&#195;&#169;publique_populaire_de_Chine" TargetMode="External"/><Relationship Id="rId27" Type="http://schemas.openxmlformats.org/officeDocument/2006/relationships/hyperlink" Target="http://fr.wikipedia.org/wiki/Fleur" TargetMode="External"/><Relationship Id="rId43" Type="http://schemas.openxmlformats.org/officeDocument/2006/relationships/image" Target="media/image7.jpeg"/><Relationship Id="rId48" Type="http://schemas.openxmlformats.org/officeDocument/2006/relationships/header" Target="header4.xml"/><Relationship Id="rId64" Type="http://schemas.openxmlformats.org/officeDocument/2006/relationships/image" Target="media/image23.jpeg"/><Relationship Id="rId69" Type="http://schemas.openxmlformats.org/officeDocument/2006/relationships/chart" Target="charts/chart12.xml"/><Relationship Id="rId113" Type="http://schemas.openxmlformats.org/officeDocument/2006/relationships/chart" Target="charts/chart52.xml"/><Relationship Id="rId118" Type="http://schemas.openxmlformats.org/officeDocument/2006/relationships/chart" Target="charts/chart57.xml"/><Relationship Id="rId134" Type="http://schemas.openxmlformats.org/officeDocument/2006/relationships/header" Target="header7.xml"/><Relationship Id="rId139" Type="http://schemas.openxmlformats.org/officeDocument/2006/relationships/diagramLayout" Target="diagrams/layout1.xml"/><Relationship Id="rId80" Type="http://schemas.openxmlformats.org/officeDocument/2006/relationships/chart" Target="charts/chart23.xml"/><Relationship Id="rId85" Type="http://schemas.openxmlformats.org/officeDocument/2006/relationships/chart" Target="charts/chart28.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hyperlink" Target="http://fr.wikipedia.org/wiki/Foliole" TargetMode="External"/><Relationship Id="rId33" Type="http://schemas.openxmlformats.org/officeDocument/2006/relationships/hyperlink" Target="http://fr.wikipedia.org/wiki/Engrais_vert" TargetMode="External"/><Relationship Id="rId38" Type="http://schemas.openxmlformats.org/officeDocument/2006/relationships/hyperlink" Target="http://fr.wikipedia.org/wiki/Soufre" TargetMode="External"/><Relationship Id="rId46" Type="http://schemas.openxmlformats.org/officeDocument/2006/relationships/image" Target="media/image10.jpeg"/><Relationship Id="rId59" Type="http://schemas.openxmlformats.org/officeDocument/2006/relationships/image" Target="media/image18.jpeg"/><Relationship Id="rId67" Type="http://schemas.openxmlformats.org/officeDocument/2006/relationships/chart" Target="charts/chart10.xml"/><Relationship Id="rId103" Type="http://schemas.openxmlformats.org/officeDocument/2006/relationships/chart" Target="charts/chart44.xml"/><Relationship Id="rId108" Type="http://schemas.openxmlformats.org/officeDocument/2006/relationships/chart" Target="charts/chart49.xml"/><Relationship Id="rId116" Type="http://schemas.openxmlformats.org/officeDocument/2006/relationships/chart" Target="charts/chart55.xml"/><Relationship Id="rId124" Type="http://schemas.openxmlformats.org/officeDocument/2006/relationships/chart" Target="charts/chart63.xml"/><Relationship Id="rId129" Type="http://schemas.openxmlformats.org/officeDocument/2006/relationships/chart" Target="charts/chart68.xml"/><Relationship Id="rId137" Type="http://schemas.openxmlformats.org/officeDocument/2006/relationships/header" Target="header9.xml"/><Relationship Id="rId20" Type="http://schemas.openxmlformats.org/officeDocument/2006/relationships/hyperlink" Target="http://fr.wikipedia.org/wiki/Moyen-Orient" TargetMode="External"/><Relationship Id="rId41" Type="http://schemas.openxmlformats.org/officeDocument/2006/relationships/hyperlink" Target="http://fr.wikipedia.org/wiki/Saponine" TargetMode="External"/><Relationship Id="rId54" Type="http://schemas.openxmlformats.org/officeDocument/2006/relationships/chart" Target="charts/chart8.xml"/><Relationship Id="rId62" Type="http://schemas.openxmlformats.org/officeDocument/2006/relationships/image" Target="media/image21.jpeg"/><Relationship Id="rId70" Type="http://schemas.openxmlformats.org/officeDocument/2006/relationships/chart" Target="charts/chart13.xml"/><Relationship Id="rId75" Type="http://schemas.openxmlformats.org/officeDocument/2006/relationships/chart" Target="charts/chart18.xml"/><Relationship Id="rId83" Type="http://schemas.openxmlformats.org/officeDocument/2006/relationships/chart" Target="charts/chart26.xml"/><Relationship Id="rId88" Type="http://schemas.openxmlformats.org/officeDocument/2006/relationships/image" Target="media/image25.png"/><Relationship Id="rId91" Type="http://schemas.openxmlformats.org/officeDocument/2006/relationships/chart" Target="charts/chart32.xml"/><Relationship Id="rId96" Type="http://schemas.openxmlformats.org/officeDocument/2006/relationships/chart" Target="charts/chart37.xml"/><Relationship Id="rId111" Type="http://schemas.openxmlformats.org/officeDocument/2006/relationships/image" Target="media/image26.png"/><Relationship Id="rId132" Type="http://schemas.openxmlformats.org/officeDocument/2006/relationships/image" Target="media/image29.png"/><Relationship Id="rId140" Type="http://schemas.openxmlformats.org/officeDocument/2006/relationships/diagramQuickStyle" Target="diagrams/quickStyle1.xml"/><Relationship Id="rId145"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fr.wikipedia.org/wiki/Plante_annuelle" TargetMode="External"/><Relationship Id="rId28" Type="http://schemas.openxmlformats.org/officeDocument/2006/relationships/image" Target="media/image3.jpeg"/><Relationship Id="rId36" Type="http://schemas.openxmlformats.org/officeDocument/2006/relationships/hyperlink" Target="http://fr.wikipedia.org/wiki/Phosphore" TargetMode="External"/><Relationship Id="rId49" Type="http://schemas.openxmlformats.org/officeDocument/2006/relationships/image" Target="media/image12.png"/><Relationship Id="rId57" Type="http://schemas.openxmlformats.org/officeDocument/2006/relationships/image" Target="media/image16.jpeg"/><Relationship Id="rId106" Type="http://schemas.openxmlformats.org/officeDocument/2006/relationships/chart" Target="charts/chart47.xml"/><Relationship Id="rId114" Type="http://schemas.openxmlformats.org/officeDocument/2006/relationships/chart" Target="charts/chart53.xml"/><Relationship Id="rId119" Type="http://schemas.openxmlformats.org/officeDocument/2006/relationships/chart" Target="charts/chart58.xml"/><Relationship Id="rId127" Type="http://schemas.openxmlformats.org/officeDocument/2006/relationships/chart" Target="charts/chart66.xml"/><Relationship Id="rId10" Type="http://schemas.openxmlformats.org/officeDocument/2006/relationships/footer" Target="footer2.xml"/><Relationship Id="rId31" Type="http://schemas.openxmlformats.org/officeDocument/2006/relationships/hyperlink" Target="http://fr.wikipedia.org/wiki/Antiquit&#195;&#169;" TargetMode="External"/><Relationship Id="rId44" Type="http://schemas.openxmlformats.org/officeDocument/2006/relationships/image" Target="media/image8.jpeg"/><Relationship Id="rId52" Type="http://schemas.openxmlformats.org/officeDocument/2006/relationships/chart" Target="charts/chart6.xml"/><Relationship Id="rId60" Type="http://schemas.openxmlformats.org/officeDocument/2006/relationships/image" Target="media/image19.jpeg"/><Relationship Id="rId65" Type="http://schemas.openxmlformats.org/officeDocument/2006/relationships/header" Target="header5.xml"/><Relationship Id="rId73" Type="http://schemas.openxmlformats.org/officeDocument/2006/relationships/chart" Target="charts/chart16.xml"/><Relationship Id="rId78" Type="http://schemas.openxmlformats.org/officeDocument/2006/relationships/chart" Target="charts/chart21.xml"/><Relationship Id="rId81" Type="http://schemas.openxmlformats.org/officeDocument/2006/relationships/chart" Target="charts/chart24.xml"/><Relationship Id="rId86" Type="http://schemas.openxmlformats.org/officeDocument/2006/relationships/chart" Target="charts/chart29.xml"/><Relationship Id="rId94" Type="http://schemas.openxmlformats.org/officeDocument/2006/relationships/chart" Target="charts/chart35.xml"/><Relationship Id="rId99" Type="http://schemas.openxmlformats.org/officeDocument/2006/relationships/chart" Target="charts/chart40.xml"/><Relationship Id="rId101" Type="http://schemas.openxmlformats.org/officeDocument/2006/relationships/chart" Target="charts/chart42.xml"/><Relationship Id="rId122" Type="http://schemas.openxmlformats.org/officeDocument/2006/relationships/chart" Target="charts/chart61.xml"/><Relationship Id="rId130" Type="http://schemas.openxmlformats.org/officeDocument/2006/relationships/chart" Target="charts/chart69.xml"/><Relationship Id="rId135" Type="http://schemas.openxmlformats.org/officeDocument/2006/relationships/header" Target="header8.xml"/><Relationship Id="rId143" Type="http://schemas.openxmlformats.org/officeDocument/2006/relationships/diagramData" Target="diagrams/data2.xml"/><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3.xml"/><Relationship Id="rId39" Type="http://schemas.openxmlformats.org/officeDocument/2006/relationships/hyperlink" Target="http://fr.wikipedia.org/wiki/Acide_nicotinique" TargetMode="External"/><Relationship Id="rId109" Type="http://schemas.openxmlformats.org/officeDocument/2006/relationships/chart" Target="charts/chart50.xml"/><Relationship Id="rId34" Type="http://schemas.openxmlformats.org/officeDocument/2006/relationships/hyperlink" Target="http://fr.wikipedia.org/wiki/Plante_tinctoriale" TargetMode="External"/><Relationship Id="rId50" Type="http://schemas.openxmlformats.org/officeDocument/2006/relationships/image" Target="media/image13.png"/><Relationship Id="rId55" Type="http://schemas.openxmlformats.org/officeDocument/2006/relationships/image" Target="media/image14.png"/><Relationship Id="rId76" Type="http://schemas.openxmlformats.org/officeDocument/2006/relationships/chart" Target="charts/chart19.xml"/><Relationship Id="rId97" Type="http://schemas.openxmlformats.org/officeDocument/2006/relationships/chart" Target="charts/chart38.xml"/><Relationship Id="rId104" Type="http://schemas.openxmlformats.org/officeDocument/2006/relationships/chart" Target="charts/chart45.xml"/><Relationship Id="rId120" Type="http://schemas.openxmlformats.org/officeDocument/2006/relationships/chart" Target="charts/chart59.xml"/><Relationship Id="rId125" Type="http://schemas.openxmlformats.org/officeDocument/2006/relationships/chart" Target="charts/chart64.xml"/><Relationship Id="rId141" Type="http://schemas.openxmlformats.org/officeDocument/2006/relationships/diagramColors" Target="diagrams/colors1.xml"/><Relationship Id="rId146" Type="http://schemas.openxmlformats.org/officeDocument/2006/relationships/diagramColors" Target="diagrams/colors2.xml"/><Relationship Id="rId7" Type="http://schemas.openxmlformats.org/officeDocument/2006/relationships/endnotes" Target="endnotes.xml"/><Relationship Id="rId71" Type="http://schemas.openxmlformats.org/officeDocument/2006/relationships/chart" Target="charts/chart14.xml"/><Relationship Id="rId92" Type="http://schemas.openxmlformats.org/officeDocument/2006/relationships/chart" Target="charts/chart33.xm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fr.wikipedia.org/wiki/Feuille" TargetMode="External"/><Relationship Id="rId40" Type="http://schemas.openxmlformats.org/officeDocument/2006/relationships/hyperlink" Target="http://fr.wikipedia.org/wiki/Alcalo&#195;&#175;de" TargetMode="External"/><Relationship Id="rId45" Type="http://schemas.openxmlformats.org/officeDocument/2006/relationships/image" Target="media/image9.jpeg"/><Relationship Id="rId66" Type="http://schemas.openxmlformats.org/officeDocument/2006/relationships/chart" Target="charts/chart9.xml"/><Relationship Id="rId87" Type="http://schemas.openxmlformats.org/officeDocument/2006/relationships/image" Target="media/image24.png"/><Relationship Id="rId110" Type="http://schemas.openxmlformats.org/officeDocument/2006/relationships/chart" Target="charts/chart51.xml"/><Relationship Id="rId115" Type="http://schemas.openxmlformats.org/officeDocument/2006/relationships/chart" Target="charts/chart54.xml"/><Relationship Id="rId131" Type="http://schemas.openxmlformats.org/officeDocument/2006/relationships/image" Target="media/image28.png"/><Relationship Id="rId136" Type="http://schemas.openxmlformats.org/officeDocument/2006/relationships/hyperlink" Target="http://www.tunisie.com/APIA/aromaticplant.pdf" TargetMode="External"/><Relationship Id="rId61" Type="http://schemas.openxmlformats.org/officeDocument/2006/relationships/image" Target="media/image20.jpeg"/><Relationship Id="rId82" Type="http://schemas.openxmlformats.org/officeDocument/2006/relationships/chart" Target="charts/chart25.xml"/><Relationship Id="rId19" Type="http://schemas.openxmlformats.org/officeDocument/2006/relationships/chart" Target="charts/chart4.xml"/><Relationship Id="rId14" Type="http://schemas.openxmlformats.org/officeDocument/2006/relationships/image" Target="media/image1.png"/><Relationship Id="rId30" Type="http://schemas.openxmlformats.org/officeDocument/2006/relationships/image" Target="media/image5.jpeg"/><Relationship Id="rId35" Type="http://schemas.openxmlformats.org/officeDocument/2006/relationships/hyperlink" Target="http://fr.wikipedia.org/wiki/&#195;&#8240;pice" TargetMode="External"/><Relationship Id="rId56" Type="http://schemas.openxmlformats.org/officeDocument/2006/relationships/image" Target="media/image15.jpeg"/><Relationship Id="rId77" Type="http://schemas.openxmlformats.org/officeDocument/2006/relationships/chart" Target="charts/chart20.xml"/><Relationship Id="rId100" Type="http://schemas.openxmlformats.org/officeDocument/2006/relationships/chart" Target="charts/chart41.xml"/><Relationship Id="rId105" Type="http://schemas.openxmlformats.org/officeDocument/2006/relationships/chart" Target="charts/chart46.xml"/><Relationship Id="rId126" Type="http://schemas.openxmlformats.org/officeDocument/2006/relationships/chart" Target="charts/chart65.xml"/><Relationship Id="rId147" Type="http://schemas.openxmlformats.org/officeDocument/2006/relationships/header" Target="header10.xml"/><Relationship Id="rId8" Type="http://schemas.openxmlformats.org/officeDocument/2006/relationships/footer" Target="footer1.xml"/><Relationship Id="rId51" Type="http://schemas.openxmlformats.org/officeDocument/2006/relationships/chart" Target="charts/chart5.xml"/><Relationship Id="rId72" Type="http://schemas.openxmlformats.org/officeDocument/2006/relationships/chart" Target="charts/chart15.xml"/><Relationship Id="rId93" Type="http://schemas.openxmlformats.org/officeDocument/2006/relationships/chart" Target="charts/chart34.xml"/><Relationship Id="rId98" Type="http://schemas.openxmlformats.org/officeDocument/2006/relationships/chart" Target="charts/chart39.xml"/><Relationship Id="rId121" Type="http://schemas.openxmlformats.org/officeDocument/2006/relationships/chart" Target="charts/chart60.xml"/><Relationship Id="rId142" Type="http://schemas.openxmlformats.org/officeDocument/2006/relationships/image" Target="media/image36.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lahmadi\Bureau\m&#233;moire.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lahmadi\Bureau\donn&#233;es1\m&#233;moire.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lahmadi\Bureau\donn&#233;es1\m&#233;moire.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user\Bureau\donn&#233;es\m&#233;moire.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user\Bureau\donn&#233;es\m&#233;moire.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user\Bureau\donn&#233;es2\m&#233;moir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Documents%20and%20Settings\user\Bureau\donn&#233;es\m&#233;moire.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Documents%20and%20Settings\user\Bureau\donn&#233;es\m&#233;moir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Documents%20and%20Settings\user\Bureau\donn&#233;es\m&#233;moi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lahmadi\Bureau\m&#233;moire.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Documents%20and%20Settings\user\Bureau\donn&#233;es\m&#233;moire.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Documents%20and%20Settings\lahmadi\Bureau\donn&#233;es1\m&#233;moire.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Documents%20and%20Settings\user\Bureau\donn&#233;es2\m&#233;moir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Documents%20and%20Settings\lahmadi\Bureau\donn&#233;es1\m&#233;moire.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Documents%20and%20Settings\user\Bureau\donn&#233;es\m&#233;moire.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Documents%20and%20Settings\user\Bureau\donn&#233;es\m&#233;moire.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Documents%20and%20Settings\user\Bureau\donn&#233;es\m&#233;moire.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Documents%20and%20Settings\lahmadi\Bureau\donn&#233;es1\m&#233;moir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lahmadi\Bureau\donn&#233;es\m&#233;moi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lahmadi\Bureau\m&#233;moire.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Documents%20and%20Settings\lahmadi\Bureau\donn&#233;es1\m&#233;moire.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Documents%20and%20Settings\user\Bureau\donn&#233;es1\m&#233;moire.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Documents%20and%20Settings\user\Bureau\donn&#233;es1\m&#233;moir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lahmadi\Bureau\CRSTRA\Magist&#232;re\donn&#233;es1\m&#233;moir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Documents%20and%20Settings\user\Bureau\donn&#233;es1\m&#233;moir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Documents%20and%20Settings\user\Bureau\donn&#233;es\m&#233;moi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lahmadi\Bureau\m&#233;moire.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Documents%20and%20Settings\user\Bureau\donn&#233;es1\m&#233;moire.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Documents%20and%20Settings\user\Bureau\donn&#233;es\m&#233;moire.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Documents%20and%20Settings\user\Bureau\donn&#233;es\m&#233;moire.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Documents%20and%20Settings\user\Bureau\donn&#233;es\m&#233;moir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Documents%20and%20Settings\user\Bureau\donn&#233;es\m&#233;moire.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Documents%20and%20Settings\lahmadi\Bureau\CRSTRA\Magist&#232;re\donn&#233;es1\m&#233;moire.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Documents%20and%20Settings\lahmadi\Bureau\CRSTRA\Magist&#232;re\donn&#233;es1\m&#233;moire.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Documents%20and%20Settings\user\Bureau\donn&#233;es1\m&#233;moir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ocuments%20and%20Settings\lahmadi\Bureau\donn&#233;es\m&#233;moire.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ocuments%20and%20Settings\lahmadi\Bureau\donn&#233;es\m&#233;moire.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C:\Documents%20and%20Settings\lahmadi\Bureau\donn&#233;es1\m&#233;moire.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C:\Documents%20and%20Settings\lahmadi\Bureau\donn&#233;es1\m&#233;moire.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C:\Documents%20and%20Settings\lahmadi\Bureau\donn&#233;es1\m&#233;moir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Documents%20and%20Settings\user\Bureau\donn&#233;es1\m&#233;moire.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C:\Documents%20and%20Settings\lahmadi\Bureau\donn&#233;es1\m&#233;moire.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C:\Documents%20and%20Settings\user\Bureau\donn&#233;es\m&#233;moire.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C:\Documents%20and%20Settings\user\Bureau\donn&#233;es1\m&#233;moir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C:\Documents%20and%20Settings\user\Bureau\donn&#233;es\m&#233;moire.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C:\Documents%20and%20Settings\user\Bureau\donn&#233;es1\m&#233;moire.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C:\Documents%20and%20Settings\user\Bureau\donn&#233;es1\m&#233;moire.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Documents%20and%20Settings\user\Bureau\donn&#233;es1\m&#233;moire.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C:\Documents%20and%20Settings\user\Bureau\donn&#233;es1\m&#233;moire.xlsx" TargetMode="Externa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C:\Documents%20and%20Settings\user\Bureau\donn&#233;es1\m&#233;moire.xlsx" TargetMode="External"/></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file:///C:\Documents%20and%20Settings\user\Bureau\donn&#233;es1\m&#233;moire.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Documents%20and%20Settings\lahmadi\Bureau\CRSTRA\Magist&#232;re\donn&#233;es1\m&#233;moire.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Documents%20and%20Settings\lahmadi\Bureau\donn&#233;es\m&#233;moire.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Documents%20and%20Settings\lahmadi\Bureau\donn&#233;es\m&#233;moir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user\Bureau\donn&#233;es\m&#233;moir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lahmadi\Bureau\donn&#233;es\m&#233;moire.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lahmadi\Bureau\donn&#233;es1\m&#233;moi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Feuil1!$A$27</c:f>
              <c:strCache>
                <c:ptCount val="1"/>
                <c:pt idx="0">
                  <c:v>Superficie (ha)</c:v>
                </c:pt>
              </c:strCache>
            </c:strRef>
          </c:tx>
          <c:cat>
            <c:strRef>
              <c:f>Feuil1!$B$26:$Q$26</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Feuil1!$B$27:$Q$27</c:f>
              <c:numCache>
                <c:formatCode>General</c:formatCode>
                <c:ptCount val="16"/>
                <c:pt idx="0">
                  <c:v>85</c:v>
                </c:pt>
                <c:pt idx="1">
                  <c:v>89</c:v>
                </c:pt>
                <c:pt idx="2">
                  <c:v>91</c:v>
                </c:pt>
                <c:pt idx="3">
                  <c:v>40</c:v>
                </c:pt>
                <c:pt idx="4">
                  <c:v>104</c:v>
                </c:pt>
                <c:pt idx="5">
                  <c:v>105</c:v>
                </c:pt>
                <c:pt idx="6">
                  <c:v>46</c:v>
                </c:pt>
                <c:pt idx="7">
                  <c:v>43</c:v>
                </c:pt>
                <c:pt idx="8">
                  <c:v>111</c:v>
                </c:pt>
                <c:pt idx="9">
                  <c:v>104</c:v>
                </c:pt>
                <c:pt idx="10" formatCode="_-* #,##0\ _F_-;\-* #,##0\ _F_-;_-* &quot;-&quot;??\ _F_-;_-@_-">
                  <c:v>111</c:v>
                </c:pt>
                <c:pt idx="11">
                  <c:v>64</c:v>
                </c:pt>
                <c:pt idx="12">
                  <c:v>84</c:v>
                </c:pt>
                <c:pt idx="13">
                  <c:v>46</c:v>
                </c:pt>
                <c:pt idx="14">
                  <c:v>56</c:v>
                </c:pt>
                <c:pt idx="15">
                  <c:v>70</c:v>
                </c:pt>
              </c:numCache>
            </c:numRef>
          </c:val>
        </c:ser>
        <c:shape val="cylinder"/>
        <c:axId val="202556544"/>
        <c:axId val="202558464"/>
        <c:axId val="0"/>
      </c:bar3DChart>
      <c:catAx>
        <c:axId val="202556544"/>
        <c:scaling>
          <c:orientation val="minMax"/>
        </c:scaling>
        <c:axPos val="b"/>
        <c:title>
          <c:tx>
            <c:rich>
              <a:bodyPr/>
              <a:lstStyle/>
              <a:p>
                <a:pPr>
                  <a:defRPr/>
                </a:pPr>
                <a:r>
                  <a:rPr lang="en-US"/>
                  <a:t>Campagnes</a:t>
                </a:r>
              </a:p>
            </c:rich>
          </c:tx>
        </c:title>
        <c:tickLblPos val="nextTo"/>
        <c:crossAx val="202558464"/>
        <c:crosses val="autoZero"/>
        <c:auto val="1"/>
        <c:lblAlgn val="ctr"/>
        <c:lblOffset val="100"/>
      </c:catAx>
      <c:valAx>
        <c:axId val="202558464"/>
        <c:scaling>
          <c:orientation val="minMax"/>
        </c:scaling>
        <c:axPos val="l"/>
        <c:title>
          <c:tx>
            <c:rich>
              <a:bodyPr rot="-5400000" vert="horz"/>
              <a:lstStyle/>
              <a:p>
                <a:pPr>
                  <a:defRPr/>
                </a:pPr>
                <a:r>
                  <a:rPr lang="en-US"/>
                  <a:t>Superficie(ha)</a:t>
                </a:r>
              </a:p>
            </c:rich>
          </c:tx>
        </c:title>
        <c:numFmt formatCode="General" sourceLinked="1"/>
        <c:tickLblPos val="nextTo"/>
        <c:crossAx val="202556544"/>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fr-F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Feuil8!$J$4</c:f>
              <c:strCache>
                <c:ptCount val="1"/>
                <c:pt idx="0">
                  <c:v>CG</c:v>
                </c:pt>
              </c:strCache>
            </c:strRef>
          </c:tx>
          <c:dLbls>
            <c:showVal val="1"/>
          </c:dLbls>
          <c:cat>
            <c:strRef>
              <c:f>Feuil8!$K$3:$P$3</c:f>
              <c:strCache>
                <c:ptCount val="6"/>
                <c:pt idx="0">
                  <c:v>P1</c:v>
                </c:pt>
                <c:pt idx="1">
                  <c:v>P2</c:v>
                </c:pt>
                <c:pt idx="2">
                  <c:v>P3</c:v>
                </c:pt>
                <c:pt idx="3">
                  <c:v>P4</c:v>
                </c:pt>
                <c:pt idx="4">
                  <c:v>P5</c:v>
                </c:pt>
                <c:pt idx="5">
                  <c:v>P6</c:v>
                </c:pt>
              </c:strCache>
            </c:strRef>
          </c:cat>
          <c:val>
            <c:numRef>
              <c:f>Feuil8!$K$4:$P$4</c:f>
              <c:numCache>
                <c:formatCode>General</c:formatCode>
                <c:ptCount val="6"/>
                <c:pt idx="0">
                  <c:v>99.669999999999987</c:v>
                </c:pt>
                <c:pt idx="1">
                  <c:v>98.33</c:v>
                </c:pt>
                <c:pt idx="2">
                  <c:v>99.669999999999987</c:v>
                </c:pt>
                <c:pt idx="3">
                  <c:v>88.669999999999987</c:v>
                </c:pt>
                <c:pt idx="4">
                  <c:v>93</c:v>
                </c:pt>
                <c:pt idx="5">
                  <c:v>99</c:v>
                </c:pt>
              </c:numCache>
            </c:numRef>
          </c:val>
        </c:ser>
        <c:dLbls>
          <c:showVal val="1"/>
        </c:dLbls>
        <c:gapWidth val="75"/>
        <c:shape val="cylinder"/>
        <c:axId val="204496256"/>
        <c:axId val="204523008"/>
        <c:axId val="0"/>
      </c:bar3DChart>
      <c:catAx>
        <c:axId val="204496256"/>
        <c:scaling>
          <c:orientation val="minMax"/>
        </c:scaling>
        <c:axPos val="b"/>
        <c:title>
          <c:tx>
            <c:rich>
              <a:bodyPr/>
              <a:lstStyle/>
              <a:p>
                <a:pPr>
                  <a:defRPr/>
                </a:pPr>
                <a:r>
                  <a:rPr lang="en-US"/>
                  <a:t>Population</a:t>
                </a:r>
              </a:p>
            </c:rich>
          </c:tx>
        </c:title>
        <c:majorTickMark val="none"/>
        <c:tickLblPos val="nextTo"/>
        <c:crossAx val="204523008"/>
        <c:crosses val="autoZero"/>
        <c:auto val="1"/>
        <c:lblAlgn val="ctr"/>
        <c:lblOffset val="100"/>
      </c:catAx>
      <c:valAx>
        <c:axId val="204523008"/>
        <c:scaling>
          <c:orientation val="minMax"/>
        </c:scaling>
        <c:axPos val="l"/>
        <c:title>
          <c:tx>
            <c:rich>
              <a:bodyPr rot="-5400000" vert="horz"/>
              <a:lstStyle/>
              <a:p>
                <a:pPr>
                  <a:defRPr/>
                </a:pPr>
                <a:r>
                  <a:rPr lang="en-US"/>
                  <a:t>Capacité moyenne de germination en (%)</a:t>
                </a:r>
              </a:p>
            </c:rich>
          </c:tx>
          <c:layout>
            <c:manualLayout>
              <c:xMode val="edge"/>
              <c:yMode val="edge"/>
              <c:x val="5.2484058049444914E-2"/>
              <c:y val="6.3620265792567757E-2"/>
            </c:manualLayout>
          </c:layout>
        </c:title>
        <c:numFmt formatCode="General" sourceLinked="1"/>
        <c:majorTickMark val="none"/>
        <c:tickLblPos val="nextTo"/>
        <c:crossAx val="204496256"/>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4019444444445306"/>
          <c:y val="7.407407407407407E-2"/>
          <c:w val="0.80147222222222159"/>
          <c:h val="0.70847222222222217"/>
        </c:manualLayout>
      </c:layout>
      <c:bar3DChart>
        <c:barDir val="col"/>
        <c:grouping val="clustered"/>
        <c:ser>
          <c:idx val="0"/>
          <c:order val="0"/>
          <c:tx>
            <c:strRef>
              <c:f>Feuil8!$K$12</c:f>
              <c:strCache>
                <c:ptCount val="1"/>
                <c:pt idx="0">
                  <c:v>VG</c:v>
                </c:pt>
              </c:strCache>
            </c:strRef>
          </c:tx>
          <c:dLbls>
            <c:dLbl>
              <c:idx val="0"/>
              <c:layout>
                <c:manualLayout>
                  <c:x val="0"/>
                  <c:y val="-1.2552301255230163E-2"/>
                </c:manualLayout>
              </c:layout>
              <c:showVal val="1"/>
            </c:dLbl>
            <c:dLbl>
              <c:idx val="1"/>
              <c:layout>
                <c:manualLayout>
                  <c:x val="0"/>
                  <c:y val="-2.0920502092050198E-2"/>
                </c:manualLayout>
              </c:layout>
              <c:showVal val="1"/>
            </c:dLbl>
            <c:dLbl>
              <c:idx val="2"/>
              <c:layout>
                <c:manualLayout>
                  <c:x val="7.0505287896595742E-3"/>
                  <c:y val="-2.0920502092050198E-2"/>
                </c:manualLayout>
              </c:layout>
              <c:showVal val="1"/>
            </c:dLbl>
            <c:dLbl>
              <c:idx val="3"/>
              <c:layout>
                <c:manualLayout>
                  <c:x val="0"/>
                  <c:y val="-3.7656903765690412E-2"/>
                </c:manualLayout>
              </c:layout>
              <c:tx>
                <c:rich>
                  <a:bodyPr/>
                  <a:lstStyle/>
                  <a:p>
                    <a:r>
                      <a:rPr lang="en-US"/>
                      <a:t>475,49</a:t>
                    </a:r>
                  </a:p>
                </c:rich>
              </c:tx>
              <c:showVal val="1"/>
            </c:dLbl>
            <c:dLbl>
              <c:idx val="4"/>
              <c:layout>
                <c:manualLayout>
                  <c:x val="0"/>
                  <c:y val="-1.6736401673640169E-2"/>
                </c:manualLayout>
              </c:layout>
              <c:showVal val="1"/>
            </c:dLbl>
            <c:dLbl>
              <c:idx val="5"/>
              <c:layout>
                <c:manualLayout>
                  <c:x val="8.6172134183558447E-17"/>
                  <c:y val="-2.0920502092050198E-2"/>
                </c:manualLayout>
              </c:layout>
              <c:showVal val="1"/>
            </c:dLbl>
            <c:showVal val="1"/>
          </c:dLbls>
          <c:cat>
            <c:strRef>
              <c:f>Feuil8!$L$11:$Q$11</c:f>
              <c:strCache>
                <c:ptCount val="6"/>
                <c:pt idx="0">
                  <c:v>P1</c:v>
                </c:pt>
                <c:pt idx="1">
                  <c:v>P2</c:v>
                </c:pt>
                <c:pt idx="2">
                  <c:v>P3</c:v>
                </c:pt>
                <c:pt idx="3">
                  <c:v>P4</c:v>
                </c:pt>
                <c:pt idx="4">
                  <c:v>P5</c:v>
                </c:pt>
                <c:pt idx="5">
                  <c:v>P6</c:v>
                </c:pt>
              </c:strCache>
            </c:strRef>
          </c:cat>
          <c:val>
            <c:numRef>
              <c:f>Feuil8!$L$12:$Q$12</c:f>
              <c:numCache>
                <c:formatCode>General</c:formatCode>
                <c:ptCount val="6"/>
                <c:pt idx="0">
                  <c:v>955.5</c:v>
                </c:pt>
                <c:pt idx="1">
                  <c:v>714.13</c:v>
                </c:pt>
                <c:pt idx="2">
                  <c:v>926.5</c:v>
                </c:pt>
                <c:pt idx="3">
                  <c:v>475.48899999998116</c:v>
                </c:pt>
                <c:pt idx="4">
                  <c:v>522.19000000000005</c:v>
                </c:pt>
                <c:pt idx="5">
                  <c:v>715.14</c:v>
                </c:pt>
              </c:numCache>
            </c:numRef>
          </c:val>
        </c:ser>
        <c:dLbls>
          <c:showVal val="1"/>
        </c:dLbls>
        <c:gapWidth val="75"/>
        <c:shape val="cylinder"/>
        <c:axId val="204314112"/>
        <c:axId val="204316032"/>
        <c:axId val="0"/>
      </c:bar3DChart>
      <c:catAx>
        <c:axId val="204314112"/>
        <c:scaling>
          <c:orientation val="minMax"/>
        </c:scaling>
        <c:axPos val="b"/>
        <c:title>
          <c:tx>
            <c:rich>
              <a:bodyPr/>
              <a:lstStyle/>
              <a:p>
                <a:pPr>
                  <a:defRPr/>
                </a:pPr>
                <a:r>
                  <a:rPr lang="en-US"/>
                  <a:t>Population</a:t>
                </a:r>
              </a:p>
            </c:rich>
          </c:tx>
        </c:title>
        <c:majorTickMark val="none"/>
        <c:tickLblPos val="nextTo"/>
        <c:crossAx val="204316032"/>
        <c:crosses val="autoZero"/>
        <c:auto val="1"/>
        <c:lblAlgn val="ctr"/>
        <c:lblOffset val="100"/>
      </c:catAx>
      <c:valAx>
        <c:axId val="204316032"/>
        <c:scaling>
          <c:orientation val="minMax"/>
        </c:scaling>
        <c:axPos val="l"/>
        <c:title>
          <c:tx>
            <c:rich>
              <a:bodyPr rot="-5400000" vert="horz"/>
              <a:lstStyle/>
              <a:p>
                <a:pPr>
                  <a:defRPr/>
                </a:pPr>
                <a:r>
                  <a:rPr lang="en-US"/>
                  <a:t> valeur germinative moyenne</a:t>
                </a:r>
              </a:p>
              <a:p>
                <a:pPr>
                  <a:defRPr/>
                </a:pPr>
                <a:endParaRPr lang="en-US"/>
              </a:p>
            </c:rich>
          </c:tx>
        </c:title>
        <c:numFmt formatCode="General" sourceLinked="1"/>
        <c:majorTickMark val="none"/>
        <c:tickLblPos val="nextTo"/>
        <c:crossAx val="204314112"/>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0.10868684208852741"/>
          <c:y val="5.9620596205962086E-2"/>
          <c:w val="0.87456591975088993"/>
          <c:h val="0.72935407464315816"/>
        </c:manualLayout>
      </c:layout>
      <c:bar3DChart>
        <c:barDir val="col"/>
        <c:grouping val="clustered"/>
        <c:ser>
          <c:idx val="0"/>
          <c:order val="0"/>
          <c:tx>
            <c:strRef>
              <c:f>Feuil2!$B$6</c:f>
              <c:strCache>
                <c:ptCount val="1"/>
                <c:pt idx="0">
                  <c:v>L</c:v>
                </c:pt>
              </c:strCache>
            </c:strRef>
          </c:tx>
          <c:dLbls>
            <c:showVal val="1"/>
          </c:dLbls>
          <c:cat>
            <c:strRef>
              <c:f>Feuil2!$C$5:$H$5</c:f>
              <c:strCache>
                <c:ptCount val="6"/>
                <c:pt idx="0">
                  <c:v>P1</c:v>
                </c:pt>
                <c:pt idx="1">
                  <c:v>P2</c:v>
                </c:pt>
                <c:pt idx="2">
                  <c:v>P3</c:v>
                </c:pt>
                <c:pt idx="3">
                  <c:v>P4</c:v>
                </c:pt>
                <c:pt idx="4">
                  <c:v>P5</c:v>
                </c:pt>
                <c:pt idx="5">
                  <c:v>P6</c:v>
                </c:pt>
              </c:strCache>
            </c:strRef>
          </c:cat>
          <c:val>
            <c:numRef>
              <c:f>Feuil2!$C$6:$H$6</c:f>
              <c:numCache>
                <c:formatCode>General</c:formatCode>
                <c:ptCount val="6"/>
                <c:pt idx="0" formatCode="_-* #,##0\ _F_-;\-* #,##0\ _F_-;_-* &quot;-&quot;??\ _F_-;_-@_-">
                  <c:v>12</c:v>
                </c:pt>
                <c:pt idx="1">
                  <c:v>12</c:v>
                </c:pt>
                <c:pt idx="2">
                  <c:v>11.5</c:v>
                </c:pt>
                <c:pt idx="3">
                  <c:v>13.75</c:v>
                </c:pt>
                <c:pt idx="4">
                  <c:v>13.5</c:v>
                </c:pt>
                <c:pt idx="5">
                  <c:v>13.5</c:v>
                </c:pt>
              </c:numCache>
            </c:numRef>
          </c:val>
        </c:ser>
        <c:ser>
          <c:idx val="1"/>
          <c:order val="1"/>
          <c:tx>
            <c:strRef>
              <c:f>Feuil2!$B$7</c:f>
              <c:strCache>
                <c:ptCount val="1"/>
                <c:pt idx="0">
                  <c:v>PL</c:v>
                </c:pt>
              </c:strCache>
            </c:strRef>
          </c:tx>
          <c:dLbls>
            <c:showVal val="1"/>
          </c:dLbls>
          <c:cat>
            <c:strRef>
              <c:f>Feuil2!$C$5:$H$5</c:f>
              <c:strCache>
                <c:ptCount val="6"/>
                <c:pt idx="0">
                  <c:v>P1</c:v>
                </c:pt>
                <c:pt idx="1">
                  <c:v>P2</c:v>
                </c:pt>
                <c:pt idx="2">
                  <c:v>P3</c:v>
                </c:pt>
                <c:pt idx="3">
                  <c:v>P4</c:v>
                </c:pt>
                <c:pt idx="4">
                  <c:v>P5</c:v>
                </c:pt>
                <c:pt idx="5">
                  <c:v>P6</c:v>
                </c:pt>
              </c:strCache>
            </c:strRef>
          </c:cat>
          <c:val>
            <c:numRef>
              <c:f>Feuil2!$C$7:$H$7</c:f>
              <c:numCache>
                <c:formatCode>_-* #,##0\ _F_-;\-* #,##0\ _F_-;_-* "-"??\ _F_-;_-@_-</c:formatCode>
                <c:ptCount val="6"/>
                <c:pt idx="0">
                  <c:v>14</c:v>
                </c:pt>
                <c:pt idx="1">
                  <c:v>14.25</c:v>
                </c:pt>
                <c:pt idx="2">
                  <c:v>14.25</c:v>
                </c:pt>
                <c:pt idx="4">
                  <c:v>18</c:v>
                </c:pt>
                <c:pt idx="5" formatCode="General">
                  <c:v>17</c:v>
                </c:pt>
              </c:numCache>
            </c:numRef>
          </c:val>
        </c:ser>
        <c:dLbls>
          <c:showVal val="1"/>
        </c:dLbls>
        <c:gapWidth val="75"/>
        <c:shape val="cylinder"/>
        <c:axId val="195367680"/>
        <c:axId val="195369600"/>
        <c:axId val="0"/>
      </c:bar3DChart>
      <c:catAx>
        <c:axId val="195367680"/>
        <c:scaling>
          <c:orientation val="minMax"/>
        </c:scaling>
        <c:axPos val="b"/>
        <c:title>
          <c:tx>
            <c:rich>
              <a:bodyPr/>
              <a:lstStyle/>
              <a:p>
                <a:pPr>
                  <a:defRPr/>
                </a:pPr>
                <a:r>
                  <a:rPr lang="en-US"/>
                  <a:t>Population</a:t>
                </a:r>
              </a:p>
            </c:rich>
          </c:tx>
        </c:title>
        <c:majorTickMark val="none"/>
        <c:tickLblPos val="nextTo"/>
        <c:crossAx val="195369600"/>
        <c:crosses val="autoZero"/>
        <c:auto val="1"/>
        <c:lblAlgn val="ctr"/>
        <c:lblOffset val="100"/>
      </c:catAx>
      <c:valAx>
        <c:axId val="195369600"/>
        <c:scaling>
          <c:orientation val="minMax"/>
        </c:scaling>
        <c:axPos val="l"/>
        <c:title>
          <c:tx>
            <c:rich>
              <a:bodyPr rot="-5400000" vert="horz"/>
              <a:lstStyle/>
              <a:p>
                <a:pPr>
                  <a:defRPr/>
                </a:pPr>
                <a:r>
                  <a:rPr lang="en-US"/>
                  <a:t>Nombre moyen de jours</a:t>
                </a:r>
              </a:p>
            </c:rich>
          </c:tx>
          <c:layout>
            <c:manualLayout>
              <c:xMode val="edge"/>
              <c:yMode val="edge"/>
              <c:x val="1.5100802650113725E-2"/>
              <c:y val="0.12599426807760244"/>
            </c:manualLayout>
          </c:layout>
        </c:title>
        <c:numFmt formatCode="_-* #,##0\ _F_-;\-* #,##0\ _F_-;_-* &quot;-&quot;??\ _F_-;_-@_-" sourceLinked="1"/>
        <c:majorTickMark val="none"/>
        <c:tickLblPos val="nextTo"/>
        <c:crossAx val="195367680"/>
        <c:crosses val="autoZero"/>
        <c:crossBetween val="between"/>
      </c:valAx>
    </c:plotArea>
    <c:legend>
      <c:legendPos val="b"/>
      <c:layout>
        <c:manualLayout>
          <c:xMode val="edge"/>
          <c:yMode val="edge"/>
          <c:x val="0.91191267758196859"/>
          <c:y val="0.24497795479740858"/>
          <c:w val="7.8290838645169364E-2"/>
          <c:h val="0.3487718785973925"/>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3887941534713771"/>
          <c:y val="6.3466666666666713E-2"/>
          <c:w val="0.86112055558272604"/>
          <c:h val="0.69200809644562566"/>
        </c:manualLayout>
      </c:layout>
      <c:bar3DChart>
        <c:barDir val="col"/>
        <c:grouping val="clustered"/>
        <c:ser>
          <c:idx val="0"/>
          <c:order val="0"/>
          <c:tx>
            <c:strRef>
              <c:f>Feuil2!$B$10</c:f>
              <c:strCache>
                <c:ptCount val="1"/>
                <c:pt idx="0">
                  <c:v>PL</c:v>
                </c:pt>
              </c:strCache>
            </c:strRef>
          </c:tx>
          <c:dLbls>
            <c:showVal val="1"/>
          </c:dLbls>
          <c:cat>
            <c:strRef>
              <c:f>Feuil2!$C$9:$H$9</c:f>
              <c:strCache>
                <c:ptCount val="6"/>
                <c:pt idx="0">
                  <c:v>P1</c:v>
                </c:pt>
                <c:pt idx="1">
                  <c:v>P2</c:v>
                </c:pt>
                <c:pt idx="2">
                  <c:v>P3</c:v>
                </c:pt>
                <c:pt idx="3">
                  <c:v>P4</c:v>
                </c:pt>
                <c:pt idx="4">
                  <c:v>P5</c:v>
                </c:pt>
                <c:pt idx="5">
                  <c:v>P6</c:v>
                </c:pt>
              </c:strCache>
            </c:strRef>
          </c:cat>
          <c:val>
            <c:numRef>
              <c:f>Feuil2!$C$10:$H$10</c:f>
              <c:numCache>
                <c:formatCode>General</c:formatCode>
                <c:ptCount val="6"/>
                <c:pt idx="0" formatCode="_-* #,##0\ _F_-;\-* #,##0\ _F_-;_-* &quot;-&quot;??\ _F_-;_-@_-">
                  <c:v>90.31</c:v>
                </c:pt>
                <c:pt idx="1">
                  <c:v>85.08</c:v>
                </c:pt>
                <c:pt idx="2">
                  <c:v>92.03</c:v>
                </c:pt>
                <c:pt idx="3">
                  <c:v>70.86</c:v>
                </c:pt>
                <c:pt idx="4">
                  <c:v>83.669999999999987</c:v>
                </c:pt>
                <c:pt idx="5">
                  <c:v>85.78</c:v>
                </c:pt>
              </c:numCache>
            </c:numRef>
          </c:val>
        </c:ser>
        <c:dLbls>
          <c:showVal val="1"/>
        </c:dLbls>
        <c:gapWidth val="75"/>
        <c:shape val="cylinder"/>
        <c:axId val="195402752"/>
        <c:axId val="53695616"/>
        <c:axId val="0"/>
      </c:bar3DChart>
      <c:catAx>
        <c:axId val="195402752"/>
        <c:scaling>
          <c:orientation val="minMax"/>
        </c:scaling>
        <c:axPos val="b"/>
        <c:title>
          <c:tx>
            <c:rich>
              <a:bodyPr/>
              <a:lstStyle/>
              <a:p>
                <a:pPr>
                  <a:defRPr/>
                </a:pPr>
                <a:r>
                  <a:rPr lang="en-US"/>
                  <a:t>Population</a:t>
                </a:r>
              </a:p>
            </c:rich>
          </c:tx>
          <c:layout>
            <c:manualLayout>
              <c:xMode val="edge"/>
              <c:yMode val="edge"/>
              <c:x val="0.38742363355616088"/>
              <c:y val="0.91039999999999999"/>
            </c:manualLayout>
          </c:layout>
        </c:title>
        <c:majorTickMark val="none"/>
        <c:tickLblPos val="nextTo"/>
        <c:crossAx val="53695616"/>
        <c:crosses val="autoZero"/>
        <c:auto val="1"/>
        <c:lblAlgn val="ctr"/>
        <c:lblOffset val="100"/>
      </c:catAx>
      <c:valAx>
        <c:axId val="53695616"/>
        <c:scaling>
          <c:orientation val="minMax"/>
        </c:scaling>
        <c:axPos val="l"/>
        <c:title>
          <c:tx>
            <c:rich>
              <a:bodyPr rot="-5400000" vert="horz"/>
              <a:lstStyle/>
              <a:p>
                <a:pPr>
                  <a:defRPr/>
                </a:pPr>
                <a:r>
                  <a:rPr lang="en-US"/>
                  <a:t>Pourcentage moyen de levée</a:t>
                </a:r>
              </a:p>
            </c:rich>
          </c:tx>
          <c:layout>
            <c:manualLayout>
              <c:xMode val="edge"/>
              <c:yMode val="edge"/>
              <c:x val="2.5676508415296652E-2"/>
              <c:y val="9.4667521367521545E-2"/>
            </c:manualLayout>
          </c:layout>
        </c:title>
        <c:numFmt formatCode="_-* #,##0\ _F_-;\-* #,##0\ _F_-;_-* &quot;-&quot;??\ _F_-;_-@_-" sourceLinked="1"/>
        <c:majorTickMark val="none"/>
        <c:tickLblPos val="nextTo"/>
        <c:crossAx val="195402752"/>
        <c:crosses val="autoZero"/>
        <c:crossBetween val="between"/>
      </c:valAx>
      <c:spPr>
        <a:noFill/>
        <a:ln w="25400">
          <a:noFill/>
        </a:ln>
      </c:spPr>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0.12213888888888889"/>
          <c:y val="0.14814814814814894"/>
          <c:w val="0.84452777777777777"/>
          <c:h val="0.60215660542432192"/>
        </c:manualLayout>
      </c:layout>
      <c:bar3DChart>
        <c:barDir val="col"/>
        <c:grouping val="clustered"/>
        <c:ser>
          <c:idx val="0"/>
          <c:order val="0"/>
          <c:tx>
            <c:strRef>
              <c:f>Feuil2!$B$14</c:f>
              <c:strCache>
                <c:ptCount val="1"/>
                <c:pt idx="0">
                  <c:v>DF</c:v>
                </c:pt>
              </c:strCache>
            </c:strRef>
          </c:tx>
          <c:dLbls>
            <c:showVal val="1"/>
          </c:dLbls>
          <c:cat>
            <c:strRef>
              <c:f>Feuil2!$C$13:$H$13</c:f>
              <c:strCache>
                <c:ptCount val="6"/>
                <c:pt idx="0">
                  <c:v>P1</c:v>
                </c:pt>
                <c:pt idx="1">
                  <c:v>P2</c:v>
                </c:pt>
                <c:pt idx="2">
                  <c:v>P3</c:v>
                </c:pt>
                <c:pt idx="3">
                  <c:v>P4</c:v>
                </c:pt>
                <c:pt idx="4">
                  <c:v>P5</c:v>
                </c:pt>
                <c:pt idx="5">
                  <c:v>P6</c:v>
                </c:pt>
              </c:strCache>
            </c:strRef>
          </c:cat>
          <c:val>
            <c:numRef>
              <c:f>Feuil2!$C$14:$H$14</c:f>
              <c:numCache>
                <c:formatCode>General</c:formatCode>
                <c:ptCount val="6"/>
                <c:pt idx="0" formatCode="_-* #,##0\ _F_-;\-* #,##0\ _F_-;_-* &quot;-&quot;??\ _F_-;_-@_-">
                  <c:v>64.5</c:v>
                </c:pt>
                <c:pt idx="1">
                  <c:v>63.25</c:v>
                </c:pt>
                <c:pt idx="2">
                  <c:v>65</c:v>
                </c:pt>
                <c:pt idx="3">
                  <c:v>62.5</c:v>
                </c:pt>
                <c:pt idx="4">
                  <c:v>66.25</c:v>
                </c:pt>
                <c:pt idx="5">
                  <c:v>63.5</c:v>
                </c:pt>
              </c:numCache>
            </c:numRef>
          </c:val>
        </c:ser>
        <c:ser>
          <c:idx val="1"/>
          <c:order val="1"/>
          <c:tx>
            <c:strRef>
              <c:f>Feuil2!$B$15</c:f>
              <c:strCache>
                <c:ptCount val="1"/>
                <c:pt idx="0">
                  <c:v>PF</c:v>
                </c:pt>
              </c:strCache>
            </c:strRef>
          </c:tx>
          <c:dLbls>
            <c:showVal val="1"/>
          </c:dLbls>
          <c:cat>
            <c:strRef>
              <c:f>Feuil2!$C$13:$H$13</c:f>
              <c:strCache>
                <c:ptCount val="6"/>
                <c:pt idx="0">
                  <c:v>P1</c:v>
                </c:pt>
                <c:pt idx="1">
                  <c:v>P2</c:v>
                </c:pt>
                <c:pt idx="2">
                  <c:v>P3</c:v>
                </c:pt>
                <c:pt idx="3">
                  <c:v>P4</c:v>
                </c:pt>
                <c:pt idx="4">
                  <c:v>P5</c:v>
                </c:pt>
                <c:pt idx="5">
                  <c:v>P6</c:v>
                </c:pt>
              </c:strCache>
            </c:strRef>
          </c:cat>
          <c:val>
            <c:numRef>
              <c:f>Feuil2!$C$15:$H$15</c:f>
              <c:numCache>
                <c:formatCode>_-* #,##0\ _F_-;\-* #,##0\ _F_-;_-* "-"??\ _F_-;_-@_-</c:formatCode>
                <c:ptCount val="6"/>
                <c:pt idx="0">
                  <c:v>70</c:v>
                </c:pt>
                <c:pt idx="1">
                  <c:v>72</c:v>
                </c:pt>
                <c:pt idx="2">
                  <c:v>70.5</c:v>
                </c:pt>
                <c:pt idx="3">
                  <c:v>70.5</c:v>
                </c:pt>
                <c:pt idx="4">
                  <c:v>72</c:v>
                </c:pt>
                <c:pt idx="5" formatCode="General">
                  <c:v>71.5</c:v>
                </c:pt>
              </c:numCache>
            </c:numRef>
          </c:val>
        </c:ser>
        <c:ser>
          <c:idx val="2"/>
          <c:order val="2"/>
          <c:tx>
            <c:strRef>
              <c:f>Feuil2!$B$16</c:f>
              <c:strCache>
                <c:ptCount val="1"/>
                <c:pt idx="0">
                  <c:v>FF</c:v>
                </c:pt>
              </c:strCache>
            </c:strRef>
          </c:tx>
          <c:dLbls>
            <c:showVal val="1"/>
          </c:dLbls>
          <c:cat>
            <c:strRef>
              <c:f>Feuil2!$C$13:$H$13</c:f>
              <c:strCache>
                <c:ptCount val="6"/>
                <c:pt idx="0">
                  <c:v>P1</c:v>
                </c:pt>
                <c:pt idx="1">
                  <c:v>P2</c:v>
                </c:pt>
                <c:pt idx="2">
                  <c:v>P3</c:v>
                </c:pt>
                <c:pt idx="3">
                  <c:v>P4</c:v>
                </c:pt>
                <c:pt idx="4">
                  <c:v>P5</c:v>
                </c:pt>
                <c:pt idx="5">
                  <c:v>P6</c:v>
                </c:pt>
              </c:strCache>
            </c:strRef>
          </c:cat>
          <c:val>
            <c:numRef>
              <c:f>Feuil2!$C$16:$H$16</c:f>
              <c:numCache>
                <c:formatCode>General</c:formatCode>
                <c:ptCount val="6"/>
                <c:pt idx="0">
                  <c:v>95.75</c:v>
                </c:pt>
                <c:pt idx="1">
                  <c:v>95</c:v>
                </c:pt>
                <c:pt idx="2">
                  <c:v>97.25</c:v>
                </c:pt>
                <c:pt idx="3">
                  <c:v>95</c:v>
                </c:pt>
                <c:pt idx="4">
                  <c:v>95</c:v>
                </c:pt>
                <c:pt idx="5">
                  <c:v>96.5</c:v>
                </c:pt>
              </c:numCache>
            </c:numRef>
          </c:val>
        </c:ser>
        <c:dLbls>
          <c:showVal val="1"/>
        </c:dLbls>
        <c:gapWidth val="75"/>
        <c:shape val="cylinder"/>
        <c:axId val="202681728"/>
        <c:axId val="53741056"/>
        <c:axId val="0"/>
      </c:bar3DChart>
      <c:catAx>
        <c:axId val="202681728"/>
        <c:scaling>
          <c:orientation val="minMax"/>
        </c:scaling>
        <c:axPos val="b"/>
        <c:title>
          <c:tx>
            <c:rich>
              <a:bodyPr/>
              <a:lstStyle/>
              <a:p>
                <a:pPr>
                  <a:defRPr/>
                </a:pPr>
                <a:r>
                  <a:rPr lang="en-US"/>
                  <a:t>Population</a:t>
                </a:r>
              </a:p>
            </c:rich>
          </c:tx>
          <c:layout>
            <c:manualLayout>
              <c:xMode val="edge"/>
              <c:yMode val="edge"/>
              <c:x val="0.4068472222222223"/>
              <c:y val="0.90331981445954757"/>
            </c:manualLayout>
          </c:layout>
        </c:title>
        <c:majorTickMark val="none"/>
        <c:tickLblPos val="nextTo"/>
        <c:crossAx val="53741056"/>
        <c:crosses val="autoZero"/>
        <c:auto val="1"/>
        <c:lblAlgn val="ctr"/>
        <c:lblOffset val="100"/>
      </c:catAx>
      <c:valAx>
        <c:axId val="53741056"/>
        <c:scaling>
          <c:orientation val="minMax"/>
        </c:scaling>
        <c:axPos val="l"/>
        <c:title>
          <c:tx>
            <c:rich>
              <a:bodyPr rot="-5400000" vert="horz"/>
              <a:lstStyle/>
              <a:p>
                <a:pPr>
                  <a:defRPr/>
                </a:pPr>
                <a:r>
                  <a:rPr lang="en-US"/>
                  <a:t>Nombre moyen de jours</a:t>
                </a:r>
              </a:p>
            </c:rich>
          </c:tx>
          <c:layout>
            <c:manualLayout>
              <c:xMode val="edge"/>
              <c:yMode val="edge"/>
              <c:x val="2.5968282073056431E-2"/>
              <c:y val="0.14126746274848925"/>
            </c:manualLayout>
          </c:layout>
        </c:title>
        <c:numFmt formatCode="_-* #,##0\ _F_-;\-* #,##0\ _F_-;_-* &quot;-&quot;??\ _F_-;_-@_-" sourceLinked="1"/>
        <c:majorTickMark val="none"/>
        <c:tickLblPos val="nextTo"/>
        <c:crossAx val="202681728"/>
        <c:crosses val="autoZero"/>
        <c:crossBetween val="between"/>
      </c:valAx>
    </c:plotArea>
    <c:legend>
      <c:legendPos val="b"/>
      <c:layout>
        <c:manualLayout>
          <c:xMode val="edge"/>
          <c:yMode val="edge"/>
          <c:x val="0.34735148731411342"/>
          <c:y val="4.1832531350250134E-2"/>
          <c:w val="0.21640813648296001"/>
          <c:h val="7.8537839020122513E-2"/>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1513189448441249"/>
          <c:y val="5.6132075471698115E-2"/>
          <c:w val="0.85848920863314415"/>
          <c:h val="0.68930619521614656"/>
        </c:manualLayout>
      </c:layout>
      <c:bar3DChart>
        <c:barDir val="col"/>
        <c:grouping val="clustered"/>
        <c:ser>
          <c:idx val="0"/>
          <c:order val="0"/>
          <c:tx>
            <c:strRef>
              <c:f>Feuil2!$B$34</c:f>
              <c:strCache>
                <c:ptCount val="1"/>
                <c:pt idx="0">
                  <c:v>ETF</c:v>
                </c:pt>
              </c:strCache>
            </c:strRef>
          </c:tx>
          <c:dLbls>
            <c:showVal val="1"/>
          </c:dLbls>
          <c:cat>
            <c:strRef>
              <c:f>Feuil2!$C$33:$H$33</c:f>
              <c:strCache>
                <c:ptCount val="6"/>
                <c:pt idx="0">
                  <c:v>P1</c:v>
                </c:pt>
                <c:pt idx="1">
                  <c:v>P2</c:v>
                </c:pt>
                <c:pt idx="2">
                  <c:v>P3</c:v>
                </c:pt>
                <c:pt idx="3">
                  <c:v>P4</c:v>
                </c:pt>
                <c:pt idx="4">
                  <c:v>P5</c:v>
                </c:pt>
                <c:pt idx="5">
                  <c:v>P6</c:v>
                </c:pt>
              </c:strCache>
            </c:strRef>
          </c:cat>
          <c:val>
            <c:numRef>
              <c:f>Feuil2!$C$34:$H$34</c:f>
              <c:numCache>
                <c:formatCode>General</c:formatCode>
                <c:ptCount val="6"/>
                <c:pt idx="0">
                  <c:v>31.25</c:v>
                </c:pt>
                <c:pt idx="1">
                  <c:v>31.75</c:v>
                </c:pt>
                <c:pt idx="2">
                  <c:v>32.25</c:v>
                </c:pt>
                <c:pt idx="3">
                  <c:v>32.5</c:v>
                </c:pt>
                <c:pt idx="4">
                  <c:v>28.75</c:v>
                </c:pt>
                <c:pt idx="5">
                  <c:v>33</c:v>
                </c:pt>
              </c:numCache>
            </c:numRef>
          </c:val>
        </c:ser>
        <c:dLbls>
          <c:showVal val="1"/>
        </c:dLbls>
        <c:gapWidth val="75"/>
        <c:shape val="cylinder"/>
        <c:axId val="53782400"/>
        <c:axId val="53792768"/>
        <c:axId val="0"/>
      </c:bar3DChart>
      <c:catAx>
        <c:axId val="53782400"/>
        <c:scaling>
          <c:orientation val="minMax"/>
        </c:scaling>
        <c:axPos val="b"/>
        <c:title>
          <c:tx>
            <c:rich>
              <a:bodyPr/>
              <a:lstStyle/>
              <a:p>
                <a:pPr>
                  <a:defRPr/>
                </a:pPr>
                <a:r>
                  <a:rPr lang="en-US"/>
                  <a:t>Population</a:t>
                </a:r>
              </a:p>
            </c:rich>
          </c:tx>
        </c:title>
        <c:majorTickMark val="none"/>
        <c:tickLblPos val="nextTo"/>
        <c:crossAx val="53792768"/>
        <c:crosses val="autoZero"/>
        <c:auto val="1"/>
        <c:lblAlgn val="ctr"/>
        <c:lblOffset val="100"/>
      </c:catAx>
      <c:valAx>
        <c:axId val="53792768"/>
        <c:scaling>
          <c:orientation val="minMax"/>
        </c:scaling>
        <c:axPos val="l"/>
        <c:title>
          <c:tx>
            <c:rich>
              <a:bodyPr rot="-5400000" vert="horz"/>
              <a:lstStyle/>
              <a:p>
                <a:pPr>
                  <a:defRPr/>
                </a:pPr>
                <a:r>
                  <a:rPr lang="en-US"/>
                  <a:t>Nombre moyen de jours</a:t>
                </a:r>
              </a:p>
              <a:p>
                <a:pPr>
                  <a:defRPr/>
                </a:pPr>
                <a:endParaRPr lang="en-US"/>
              </a:p>
            </c:rich>
          </c:tx>
          <c:layout>
            <c:manualLayout>
              <c:xMode val="edge"/>
              <c:yMode val="edge"/>
              <c:x val="3.4985424360394264E-2"/>
              <c:y val="0.12884171075837739"/>
            </c:manualLayout>
          </c:layout>
        </c:title>
        <c:numFmt formatCode="General" sourceLinked="1"/>
        <c:majorTickMark val="none"/>
        <c:tickLblPos val="nextTo"/>
        <c:crossAx val="53782400"/>
        <c:crosses val="autoZero"/>
        <c:crossBetween val="between"/>
      </c:valAx>
    </c:plotArea>
    <c:legend>
      <c:legendPos val="b"/>
      <c:layout>
        <c:manualLayout>
          <c:xMode val="edge"/>
          <c:yMode val="edge"/>
          <c:x val="0.44696412948381481"/>
          <c:y val="5.0147035192029565E-2"/>
          <c:w val="9.5269247594050754E-2"/>
          <c:h val="7.3908209390492849E-2"/>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2920812676193291"/>
          <c:y val="8.5186173762178033E-2"/>
          <c:w val="0.83083428571428553"/>
          <c:h val="0.69441585352072865"/>
        </c:manualLayout>
      </c:layout>
      <c:bar3DChart>
        <c:barDir val="col"/>
        <c:grouping val="clustered"/>
        <c:ser>
          <c:idx val="0"/>
          <c:order val="0"/>
          <c:tx>
            <c:strRef>
              <c:f>Feuil2!$B$19</c:f>
              <c:strCache>
                <c:ptCount val="1"/>
                <c:pt idx="0">
                  <c:v>NO</c:v>
                </c:pt>
              </c:strCache>
            </c:strRef>
          </c:tx>
          <c:dLbls>
            <c:dLbl>
              <c:idx val="0"/>
              <c:layout>
                <c:manualLayout>
                  <c:x val="4.9382716049388622E-3"/>
                  <c:y val="-3.9548022598870115E-2"/>
                </c:manualLayout>
              </c:layout>
              <c:showVal val="1"/>
            </c:dLbl>
            <c:dLbl>
              <c:idx val="1"/>
              <c:layout>
                <c:manualLayout>
                  <c:x val="4.9382716049388101E-3"/>
                  <c:y val="-5.6497175141242993E-2"/>
                </c:manualLayout>
              </c:layout>
              <c:showVal val="1"/>
            </c:dLbl>
            <c:dLbl>
              <c:idx val="3"/>
              <c:layout>
                <c:manualLayout>
                  <c:x val="0"/>
                  <c:y val="-3.9548022598870115E-2"/>
                </c:manualLayout>
              </c:layout>
              <c:showVal val="1"/>
            </c:dLbl>
            <c:showVal val="1"/>
          </c:dLbls>
          <c:cat>
            <c:strRef>
              <c:f>Feuil2!$C$18:$H$18</c:f>
              <c:strCache>
                <c:ptCount val="6"/>
                <c:pt idx="0">
                  <c:v>P1</c:v>
                </c:pt>
                <c:pt idx="1">
                  <c:v>P2</c:v>
                </c:pt>
                <c:pt idx="2">
                  <c:v>P3</c:v>
                </c:pt>
                <c:pt idx="3">
                  <c:v>P4</c:v>
                </c:pt>
                <c:pt idx="4">
                  <c:v>P5</c:v>
                </c:pt>
                <c:pt idx="5">
                  <c:v>P6</c:v>
                </c:pt>
              </c:strCache>
            </c:strRef>
          </c:cat>
          <c:val>
            <c:numRef>
              <c:f>Feuil2!$C$19:$H$19</c:f>
              <c:numCache>
                <c:formatCode>General</c:formatCode>
                <c:ptCount val="6"/>
                <c:pt idx="0" formatCode="_-* #,##0\ _F_-;\-* #,##0\ _F_-;_-* &quot;-&quot;??\ _F_-;_-@_-">
                  <c:v>72.5</c:v>
                </c:pt>
                <c:pt idx="1">
                  <c:v>72.5</c:v>
                </c:pt>
                <c:pt idx="2">
                  <c:v>75</c:v>
                </c:pt>
                <c:pt idx="3">
                  <c:v>72.5</c:v>
                </c:pt>
                <c:pt idx="4">
                  <c:v>76</c:v>
                </c:pt>
                <c:pt idx="5">
                  <c:v>76</c:v>
                </c:pt>
              </c:numCache>
            </c:numRef>
          </c:val>
        </c:ser>
        <c:dLbls>
          <c:showVal val="1"/>
        </c:dLbls>
        <c:gapWidth val="75"/>
        <c:shape val="cylinder"/>
        <c:axId val="60830080"/>
        <c:axId val="60832000"/>
        <c:axId val="0"/>
      </c:bar3DChart>
      <c:catAx>
        <c:axId val="60830080"/>
        <c:scaling>
          <c:orientation val="minMax"/>
        </c:scaling>
        <c:axPos val="b"/>
        <c:title>
          <c:tx>
            <c:rich>
              <a:bodyPr/>
              <a:lstStyle/>
              <a:p>
                <a:pPr>
                  <a:defRPr/>
                </a:pPr>
                <a:r>
                  <a:rPr lang="en-US"/>
                  <a:t>Population</a:t>
                </a:r>
              </a:p>
            </c:rich>
          </c:tx>
        </c:title>
        <c:majorTickMark val="none"/>
        <c:tickLblPos val="nextTo"/>
        <c:crossAx val="60832000"/>
        <c:crosses val="autoZero"/>
        <c:auto val="1"/>
        <c:lblAlgn val="ctr"/>
        <c:lblOffset val="100"/>
      </c:catAx>
      <c:valAx>
        <c:axId val="60832000"/>
        <c:scaling>
          <c:orientation val="minMax"/>
        </c:scaling>
        <c:axPos val="l"/>
        <c:title>
          <c:tx>
            <c:rich>
              <a:bodyPr rot="-5400000" vert="horz"/>
              <a:lstStyle/>
              <a:p>
                <a:pPr>
                  <a:defRPr/>
                </a:pPr>
                <a:r>
                  <a:rPr lang="en-US"/>
                  <a:t>Nombre moyen de jours</a:t>
                </a:r>
              </a:p>
            </c:rich>
          </c:tx>
          <c:layout>
            <c:manualLayout>
              <c:xMode val="edge"/>
              <c:yMode val="edge"/>
              <c:x val="4.8503755369678866E-2"/>
              <c:y val="0.14548666710778799"/>
            </c:manualLayout>
          </c:layout>
        </c:title>
        <c:numFmt formatCode="_-* #,##0\ _F_-;\-* #,##0\ _F_-;_-* &quot;-&quot;??\ _F_-;_-@_-" sourceLinked="1"/>
        <c:majorTickMark val="none"/>
        <c:tickLblPos val="nextTo"/>
        <c:crossAx val="60830080"/>
        <c:crosses val="autoZero"/>
        <c:crossBetween val="between"/>
      </c:valAx>
    </c:plotArea>
    <c:legend>
      <c:legendPos val="b"/>
      <c:layout>
        <c:manualLayout>
          <c:xMode val="edge"/>
          <c:yMode val="edge"/>
          <c:x val="0.40098745990087464"/>
          <c:y val="5.2662484985992906E-3"/>
          <c:w val="0.10543229318557402"/>
          <c:h val="0.17050269140086324"/>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3804265997490592"/>
          <c:y val="6.0714285714285804E-2"/>
          <c:w val="0.83435382685069004"/>
          <c:h val="0.72516792543789177"/>
        </c:manualLayout>
      </c:layout>
      <c:bar3DChart>
        <c:barDir val="col"/>
        <c:grouping val="clustered"/>
        <c:ser>
          <c:idx val="0"/>
          <c:order val="0"/>
          <c:tx>
            <c:strRef>
              <c:f>Feuil2!$B$24</c:f>
              <c:strCache>
                <c:ptCount val="1"/>
                <c:pt idx="0">
                  <c:v>FG</c:v>
                </c:pt>
              </c:strCache>
            </c:strRef>
          </c:tx>
          <c:dLbls>
            <c:showVal val="1"/>
          </c:dLbls>
          <c:cat>
            <c:strRef>
              <c:f>Feuil2!$C$23:$H$23</c:f>
              <c:strCache>
                <c:ptCount val="6"/>
                <c:pt idx="0">
                  <c:v>P1</c:v>
                </c:pt>
                <c:pt idx="1">
                  <c:v>P2</c:v>
                </c:pt>
                <c:pt idx="2">
                  <c:v>P3</c:v>
                </c:pt>
                <c:pt idx="3">
                  <c:v>P4</c:v>
                </c:pt>
                <c:pt idx="4">
                  <c:v>P5</c:v>
                </c:pt>
                <c:pt idx="5">
                  <c:v>P6</c:v>
                </c:pt>
              </c:strCache>
            </c:strRef>
          </c:cat>
          <c:val>
            <c:numRef>
              <c:f>Feuil2!$C$24:$H$24</c:f>
              <c:numCache>
                <c:formatCode>General</c:formatCode>
                <c:ptCount val="6"/>
                <c:pt idx="0" formatCode="_-* #,##0\ _F_-;\-* #,##0\ _F_-;_-* &quot;-&quot;??\ _F_-;_-@_-">
                  <c:v>89</c:v>
                </c:pt>
                <c:pt idx="1">
                  <c:v>90</c:v>
                </c:pt>
                <c:pt idx="2">
                  <c:v>91.5</c:v>
                </c:pt>
                <c:pt idx="3">
                  <c:v>89</c:v>
                </c:pt>
                <c:pt idx="4">
                  <c:v>91.5</c:v>
                </c:pt>
                <c:pt idx="5">
                  <c:v>91.5</c:v>
                </c:pt>
              </c:numCache>
            </c:numRef>
          </c:val>
        </c:ser>
        <c:dLbls>
          <c:showVal val="1"/>
        </c:dLbls>
        <c:gapWidth val="75"/>
        <c:shape val="cylinder"/>
        <c:axId val="60877440"/>
        <c:axId val="60879616"/>
        <c:axId val="0"/>
      </c:bar3DChart>
      <c:catAx>
        <c:axId val="60877440"/>
        <c:scaling>
          <c:orientation val="minMax"/>
        </c:scaling>
        <c:axPos val="b"/>
        <c:title>
          <c:tx>
            <c:rich>
              <a:bodyPr/>
              <a:lstStyle/>
              <a:p>
                <a:pPr>
                  <a:defRPr/>
                </a:pPr>
                <a:r>
                  <a:rPr lang="en-US"/>
                  <a:t>Population</a:t>
                </a:r>
              </a:p>
            </c:rich>
          </c:tx>
        </c:title>
        <c:majorTickMark val="none"/>
        <c:tickLblPos val="nextTo"/>
        <c:crossAx val="60879616"/>
        <c:crosses val="autoZero"/>
        <c:auto val="1"/>
        <c:lblAlgn val="ctr"/>
        <c:lblOffset val="100"/>
      </c:catAx>
      <c:valAx>
        <c:axId val="60879616"/>
        <c:scaling>
          <c:orientation val="minMax"/>
        </c:scaling>
        <c:axPos val="l"/>
        <c:title>
          <c:tx>
            <c:rich>
              <a:bodyPr rot="-5400000" vert="horz"/>
              <a:lstStyle/>
              <a:p>
                <a:pPr>
                  <a:defRPr/>
                </a:pPr>
                <a:r>
                  <a:rPr lang="en-US"/>
                  <a:t>Nombre moyen de jours</a:t>
                </a:r>
              </a:p>
            </c:rich>
          </c:tx>
          <c:layout>
            <c:manualLayout>
              <c:xMode val="edge"/>
              <c:yMode val="edge"/>
              <c:x val="3.7182574400422191E-2"/>
              <c:y val="0.12801076336046241"/>
            </c:manualLayout>
          </c:layout>
        </c:title>
        <c:numFmt formatCode="_-* #,##0\ _F_-;\-* #,##0\ _F_-;_-* &quot;-&quot;??\ _F_-;_-@_-" sourceLinked="1"/>
        <c:majorTickMark val="none"/>
        <c:tickLblPos val="nextTo"/>
        <c:crossAx val="60877440"/>
        <c:crosses val="autoZero"/>
        <c:crossBetween val="between"/>
      </c:valAx>
    </c:plotArea>
    <c:legend>
      <c:legendPos val="b"/>
      <c:layout>
        <c:manualLayout>
          <c:xMode val="edge"/>
          <c:yMode val="edge"/>
          <c:x val="0.52690794206279767"/>
          <c:y val="5.0878574388727804E-3"/>
          <c:w val="8.7468649752114311E-2"/>
          <c:h val="0.11042934106920846"/>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4852777777777779"/>
          <c:y val="0.12962962962961591"/>
          <c:w val="0.7875833333333333"/>
          <c:h val="0.60215660542432192"/>
        </c:manualLayout>
      </c:layout>
      <c:bar3DChart>
        <c:barDir val="col"/>
        <c:grouping val="clustered"/>
        <c:ser>
          <c:idx val="0"/>
          <c:order val="0"/>
          <c:tx>
            <c:strRef>
              <c:f>Feuil2!$B$30</c:f>
              <c:strCache>
                <c:ptCount val="1"/>
                <c:pt idx="0">
                  <c:v>M</c:v>
                </c:pt>
              </c:strCache>
            </c:strRef>
          </c:tx>
          <c:dLbls>
            <c:showVal val="1"/>
          </c:dLbls>
          <c:cat>
            <c:strRef>
              <c:f>Feuil2!$C$29:$H$29</c:f>
              <c:strCache>
                <c:ptCount val="6"/>
                <c:pt idx="0">
                  <c:v>P1</c:v>
                </c:pt>
                <c:pt idx="1">
                  <c:v>P2</c:v>
                </c:pt>
                <c:pt idx="2">
                  <c:v>P3</c:v>
                </c:pt>
                <c:pt idx="3">
                  <c:v>P4</c:v>
                </c:pt>
                <c:pt idx="4">
                  <c:v>P5</c:v>
                </c:pt>
                <c:pt idx="5">
                  <c:v>P6</c:v>
                </c:pt>
              </c:strCache>
            </c:strRef>
          </c:cat>
          <c:val>
            <c:numRef>
              <c:f>Feuil2!$C$30:$H$30</c:f>
              <c:numCache>
                <c:formatCode>General</c:formatCode>
                <c:ptCount val="6"/>
                <c:pt idx="0" formatCode="_-* #,##0\ _F_-;\-* #,##0\ _F_-;_-* &quot;-&quot;??\ _F_-;_-@_-">
                  <c:v>123.75</c:v>
                </c:pt>
                <c:pt idx="1">
                  <c:v>124.25</c:v>
                </c:pt>
                <c:pt idx="2">
                  <c:v>123.75</c:v>
                </c:pt>
                <c:pt idx="3">
                  <c:v>124</c:v>
                </c:pt>
                <c:pt idx="4">
                  <c:v>123.75</c:v>
                </c:pt>
                <c:pt idx="5">
                  <c:v>124.25</c:v>
                </c:pt>
              </c:numCache>
            </c:numRef>
          </c:val>
        </c:ser>
        <c:dLbls>
          <c:showVal val="1"/>
        </c:dLbls>
        <c:gapWidth val="75"/>
        <c:shape val="cylinder"/>
        <c:axId val="53830784"/>
        <c:axId val="53832704"/>
        <c:axId val="0"/>
      </c:bar3DChart>
      <c:catAx>
        <c:axId val="53830784"/>
        <c:scaling>
          <c:orientation val="minMax"/>
        </c:scaling>
        <c:axPos val="b"/>
        <c:title>
          <c:tx>
            <c:rich>
              <a:bodyPr/>
              <a:lstStyle/>
              <a:p>
                <a:pPr>
                  <a:defRPr/>
                </a:pPr>
                <a:r>
                  <a:rPr lang="en-US"/>
                  <a:t>Population</a:t>
                </a:r>
              </a:p>
            </c:rich>
          </c:tx>
          <c:layout>
            <c:manualLayout>
              <c:xMode val="edge"/>
              <c:yMode val="edge"/>
              <c:x val="0.39726003427653733"/>
              <c:y val="0.87615652588880932"/>
            </c:manualLayout>
          </c:layout>
        </c:title>
        <c:majorTickMark val="none"/>
        <c:tickLblPos val="nextTo"/>
        <c:crossAx val="53832704"/>
        <c:crosses val="autoZero"/>
        <c:auto val="1"/>
        <c:lblAlgn val="ctr"/>
        <c:lblOffset val="100"/>
      </c:catAx>
      <c:valAx>
        <c:axId val="53832704"/>
        <c:scaling>
          <c:orientation val="minMax"/>
        </c:scaling>
        <c:axPos val="l"/>
        <c:title>
          <c:tx>
            <c:rich>
              <a:bodyPr rot="-5400000" vert="horz"/>
              <a:lstStyle/>
              <a:p>
                <a:pPr>
                  <a:defRPr/>
                </a:pPr>
                <a:r>
                  <a:rPr lang="en-US"/>
                  <a:t>Nombre moyen de jours</a:t>
                </a:r>
              </a:p>
            </c:rich>
          </c:tx>
          <c:layout>
            <c:manualLayout>
              <c:xMode val="edge"/>
              <c:yMode val="edge"/>
              <c:x val="3.3339823845524835E-2"/>
              <c:y val="0.12953174603174605"/>
            </c:manualLayout>
          </c:layout>
        </c:title>
        <c:numFmt formatCode="_-* #,##0\ _F_-;\-* #,##0\ _F_-;_-* &quot;-&quot;??\ _F_-;_-@_-" sourceLinked="1"/>
        <c:majorTickMark val="none"/>
        <c:tickLblPos val="nextTo"/>
        <c:crossAx val="53830784"/>
        <c:crosses val="autoZero"/>
        <c:crossBetween val="between"/>
      </c:valAx>
    </c:plotArea>
    <c:legend>
      <c:legendPos val="b"/>
      <c:layout>
        <c:manualLayout>
          <c:xMode val="edge"/>
          <c:yMode val="edge"/>
          <c:x val="0.47971288260500738"/>
          <c:y val="2.0552788044351394E-3"/>
          <c:w val="0.10179544630092609"/>
          <c:h val="0.15393165140071779"/>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7.2953392900265632E-2"/>
          <c:y val="0.12854772077257159"/>
          <c:w val="0.89693081761006765"/>
          <c:h val="0.6991532265363386"/>
        </c:manualLayout>
      </c:layout>
      <c:bar3DChart>
        <c:barDir val="col"/>
        <c:grouping val="clustered"/>
        <c:ser>
          <c:idx val="0"/>
          <c:order val="0"/>
          <c:tx>
            <c:strRef>
              <c:f>Feuil3!$C$5</c:f>
              <c:strCache>
                <c:ptCount val="1"/>
                <c:pt idx="0">
                  <c:v>H1</c:v>
                </c:pt>
              </c:strCache>
            </c:strRef>
          </c:tx>
          <c:dLbls>
            <c:showVal val="1"/>
          </c:dLbls>
          <c:cat>
            <c:strRef>
              <c:f>Feuil3!$D$4:$I$4</c:f>
              <c:strCache>
                <c:ptCount val="6"/>
                <c:pt idx="0">
                  <c:v>P1</c:v>
                </c:pt>
                <c:pt idx="1">
                  <c:v>P2</c:v>
                </c:pt>
                <c:pt idx="2">
                  <c:v>P3</c:v>
                </c:pt>
                <c:pt idx="3">
                  <c:v>P4</c:v>
                </c:pt>
                <c:pt idx="4">
                  <c:v>P5</c:v>
                </c:pt>
                <c:pt idx="5">
                  <c:v>P6</c:v>
                </c:pt>
              </c:strCache>
            </c:strRef>
          </c:cat>
          <c:val>
            <c:numRef>
              <c:f>Feuil3!$D$5:$I$5</c:f>
              <c:numCache>
                <c:formatCode>General</c:formatCode>
                <c:ptCount val="6"/>
                <c:pt idx="0">
                  <c:v>12.81</c:v>
                </c:pt>
                <c:pt idx="1">
                  <c:v>12.97</c:v>
                </c:pt>
                <c:pt idx="2">
                  <c:v>8.1399999999999988</c:v>
                </c:pt>
                <c:pt idx="3">
                  <c:v>12.42</c:v>
                </c:pt>
                <c:pt idx="4">
                  <c:v>7.8199999999999985</c:v>
                </c:pt>
                <c:pt idx="5">
                  <c:v>9.4700000000000006</c:v>
                </c:pt>
              </c:numCache>
            </c:numRef>
          </c:val>
        </c:ser>
        <c:ser>
          <c:idx val="1"/>
          <c:order val="1"/>
          <c:tx>
            <c:strRef>
              <c:f>Feuil3!$C$6</c:f>
              <c:strCache>
                <c:ptCount val="1"/>
                <c:pt idx="0">
                  <c:v>H2</c:v>
                </c:pt>
              </c:strCache>
            </c:strRef>
          </c:tx>
          <c:dLbls>
            <c:showVal val="1"/>
          </c:dLbls>
          <c:cat>
            <c:strRef>
              <c:f>Feuil3!$D$4:$I$4</c:f>
              <c:strCache>
                <c:ptCount val="6"/>
                <c:pt idx="0">
                  <c:v>P1</c:v>
                </c:pt>
                <c:pt idx="1">
                  <c:v>P2</c:v>
                </c:pt>
                <c:pt idx="2">
                  <c:v>P3</c:v>
                </c:pt>
                <c:pt idx="3">
                  <c:v>P4</c:v>
                </c:pt>
                <c:pt idx="4">
                  <c:v>P5</c:v>
                </c:pt>
                <c:pt idx="5">
                  <c:v>P6</c:v>
                </c:pt>
              </c:strCache>
            </c:strRef>
          </c:cat>
          <c:val>
            <c:numRef>
              <c:f>Feuil3!$D$6:$I$6</c:f>
              <c:numCache>
                <c:formatCode>General</c:formatCode>
                <c:ptCount val="6"/>
                <c:pt idx="0">
                  <c:v>18.45</c:v>
                </c:pt>
                <c:pt idx="1">
                  <c:v>17.25</c:v>
                </c:pt>
                <c:pt idx="2">
                  <c:v>11.44</c:v>
                </c:pt>
                <c:pt idx="3">
                  <c:v>19.190000000000001</c:v>
                </c:pt>
                <c:pt idx="4">
                  <c:v>12.11</c:v>
                </c:pt>
                <c:pt idx="5">
                  <c:v>13.639999999999999</c:v>
                </c:pt>
              </c:numCache>
            </c:numRef>
          </c:val>
        </c:ser>
        <c:ser>
          <c:idx val="2"/>
          <c:order val="2"/>
          <c:tx>
            <c:strRef>
              <c:f>Feuil3!$C$7</c:f>
              <c:strCache>
                <c:ptCount val="1"/>
                <c:pt idx="0">
                  <c:v>H3</c:v>
                </c:pt>
              </c:strCache>
            </c:strRef>
          </c:tx>
          <c:dLbls>
            <c:showVal val="1"/>
          </c:dLbls>
          <c:cat>
            <c:strRef>
              <c:f>Feuil3!$D$4:$I$4</c:f>
              <c:strCache>
                <c:ptCount val="6"/>
                <c:pt idx="0">
                  <c:v>P1</c:v>
                </c:pt>
                <c:pt idx="1">
                  <c:v>P2</c:v>
                </c:pt>
                <c:pt idx="2">
                  <c:v>P3</c:v>
                </c:pt>
                <c:pt idx="3">
                  <c:v>P4</c:v>
                </c:pt>
                <c:pt idx="4">
                  <c:v>P5</c:v>
                </c:pt>
                <c:pt idx="5">
                  <c:v>P6</c:v>
                </c:pt>
              </c:strCache>
            </c:strRef>
          </c:cat>
          <c:val>
            <c:numRef>
              <c:f>Feuil3!$D$7:$I$7</c:f>
              <c:numCache>
                <c:formatCode>General</c:formatCode>
                <c:ptCount val="6"/>
                <c:pt idx="0">
                  <c:v>25.2</c:v>
                </c:pt>
                <c:pt idx="1">
                  <c:v>22.4</c:v>
                </c:pt>
                <c:pt idx="2">
                  <c:v>15.219999999999999</c:v>
                </c:pt>
                <c:pt idx="3">
                  <c:v>23.32</c:v>
                </c:pt>
                <c:pt idx="4">
                  <c:v>16.510000000000005</c:v>
                </c:pt>
                <c:pt idx="5">
                  <c:v>17.649999999999999</c:v>
                </c:pt>
              </c:numCache>
            </c:numRef>
          </c:val>
        </c:ser>
        <c:ser>
          <c:idx val="3"/>
          <c:order val="3"/>
          <c:tx>
            <c:strRef>
              <c:f>Feuil3!$C$8</c:f>
              <c:strCache>
                <c:ptCount val="1"/>
                <c:pt idx="0">
                  <c:v>H4</c:v>
                </c:pt>
              </c:strCache>
            </c:strRef>
          </c:tx>
          <c:dLbls>
            <c:showVal val="1"/>
          </c:dLbls>
          <c:cat>
            <c:strRef>
              <c:f>Feuil3!$D$4:$I$4</c:f>
              <c:strCache>
                <c:ptCount val="6"/>
                <c:pt idx="0">
                  <c:v>P1</c:v>
                </c:pt>
                <c:pt idx="1">
                  <c:v>P2</c:v>
                </c:pt>
                <c:pt idx="2">
                  <c:v>P3</c:v>
                </c:pt>
                <c:pt idx="3">
                  <c:v>P4</c:v>
                </c:pt>
                <c:pt idx="4">
                  <c:v>P5</c:v>
                </c:pt>
                <c:pt idx="5">
                  <c:v>P6</c:v>
                </c:pt>
              </c:strCache>
            </c:strRef>
          </c:cat>
          <c:val>
            <c:numRef>
              <c:f>Feuil3!$D$8:$I$8</c:f>
              <c:numCache>
                <c:formatCode>General</c:formatCode>
                <c:ptCount val="6"/>
                <c:pt idx="0">
                  <c:v>32.9</c:v>
                </c:pt>
                <c:pt idx="1">
                  <c:v>30.9</c:v>
                </c:pt>
                <c:pt idx="2">
                  <c:v>20.34</c:v>
                </c:pt>
                <c:pt idx="3">
                  <c:v>29.85</c:v>
                </c:pt>
                <c:pt idx="4">
                  <c:v>23.19</c:v>
                </c:pt>
                <c:pt idx="5">
                  <c:v>22.72</c:v>
                </c:pt>
              </c:numCache>
            </c:numRef>
          </c:val>
        </c:ser>
        <c:ser>
          <c:idx val="4"/>
          <c:order val="4"/>
          <c:tx>
            <c:strRef>
              <c:f>Feuil3!$C$9</c:f>
              <c:strCache>
                <c:ptCount val="1"/>
                <c:pt idx="0">
                  <c:v>H5</c:v>
                </c:pt>
              </c:strCache>
            </c:strRef>
          </c:tx>
          <c:dLbls>
            <c:showVal val="1"/>
          </c:dLbls>
          <c:cat>
            <c:strRef>
              <c:f>Feuil3!$D$4:$I$4</c:f>
              <c:strCache>
                <c:ptCount val="6"/>
                <c:pt idx="0">
                  <c:v>P1</c:v>
                </c:pt>
                <c:pt idx="1">
                  <c:v>P2</c:v>
                </c:pt>
                <c:pt idx="2">
                  <c:v>P3</c:v>
                </c:pt>
                <c:pt idx="3">
                  <c:v>P4</c:v>
                </c:pt>
                <c:pt idx="4">
                  <c:v>P5</c:v>
                </c:pt>
                <c:pt idx="5">
                  <c:v>P6</c:v>
                </c:pt>
              </c:strCache>
            </c:strRef>
          </c:cat>
          <c:val>
            <c:numRef>
              <c:f>Feuil3!$D$9:$I$9</c:f>
              <c:numCache>
                <c:formatCode>General</c:formatCode>
                <c:ptCount val="6"/>
                <c:pt idx="0">
                  <c:v>38.220000000000013</c:v>
                </c:pt>
                <c:pt idx="1">
                  <c:v>36.6</c:v>
                </c:pt>
                <c:pt idx="2">
                  <c:v>25.1</c:v>
                </c:pt>
                <c:pt idx="3">
                  <c:v>36.949999999999996</c:v>
                </c:pt>
                <c:pt idx="4">
                  <c:v>29.01</c:v>
                </c:pt>
                <c:pt idx="5">
                  <c:v>27.110000000000031</c:v>
                </c:pt>
              </c:numCache>
            </c:numRef>
          </c:val>
        </c:ser>
        <c:dLbls>
          <c:showVal val="1"/>
        </c:dLbls>
        <c:gapWidth val="75"/>
        <c:shape val="cylinder"/>
        <c:axId val="60899712"/>
        <c:axId val="60901632"/>
        <c:axId val="0"/>
      </c:bar3DChart>
      <c:catAx>
        <c:axId val="60899712"/>
        <c:scaling>
          <c:orientation val="minMax"/>
        </c:scaling>
        <c:axPos val="b"/>
        <c:title>
          <c:tx>
            <c:rich>
              <a:bodyPr/>
              <a:lstStyle/>
              <a:p>
                <a:pPr>
                  <a:defRPr/>
                </a:pPr>
                <a:r>
                  <a:rPr lang="en-US"/>
                  <a:t>Population</a:t>
                </a:r>
              </a:p>
            </c:rich>
          </c:tx>
          <c:layout>
            <c:manualLayout>
              <c:xMode val="edge"/>
              <c:yMode val="edge"/>
              <c:x val="0.44366377320620332"/>
              <c:y val="0.91069728197676736"/>
            </c:manualLayout>
          </c:layout>
        </c:title>
        <c:majorTickMark val="none"/>
        <c:tickLblPos val="nextTo"/>
        <c:crossAx val="60901632"/>
        <c:crosses val="autoZero"/>
        <c:auto val="1"/>
        <c:lblAlgn val="ctr"/>
        <c:lblOffset val="100"/>
      </c:catAx>
      <c:valAx>
        <c:axId val="60901632"/>
        <c:scaling>
          <c:orientation val="minMax"/>
        </c:scaling>
        <c:axPos val="l"/>
        <c:title>
          <c:tx>
            <c:rich>
              <a:bodyPr rot="-5400000" vert="horz"/>
              <a:lstStyle/>
              <a:p>
                <a:pPr>
                  <a:defRPr/>
                </a:pPr>
                <a:r>
                  <a:rPr lang="en-US"/>
                  <a:t>La</a:t>
                </a:r>
                <a:r>
                  <a:rPr lang="en-US" baseline="0"/>
                  <a:t> </a:t>
                </a:r>
                <a:r>
                  <a:rPr lang="en-US"/>
                  <a:t>hauteur moyenne en cm</a:t>
                </a:r>
              </a:p>
            </c:rich>
          </c:tx>
          <c:layout>
            <c:manualLayout>
              <c:xMode val="edge"/>
              <c:yMode val="edge"/>
              <c:x val="3.3649480506067492E-4"/>
              <c:y val="0.14073717268802144"/>
            </c:manualLayout>
          </c:layout>
        </c:title>
        <c:numFmt formatCode="General" sourceLinked="1"/>
        <c:majorTickMark val="none"/>
        <c:tickLblPos val="nextTo"/>
        <c:crossAx val="60899712"/>
        <c:crosses val="autoZero"/>
        <c:crossBetween val="between"/>
      </c:valAx>
    </c:plotArea>
    <c:legend>
      <c:legendPos val="b"/>
      <c:layout>
        <c:manualLayout>
          <c:xMode val="edge"/>
          <c:yMode val="edge"/>
          <c:x val="0.20224447023655448"/>
          <c:y val="2.3710553622657707E-3"/>
          <c:w val="0.62549143711224864"/>
          <c:h val="0.10502105841421808"/>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Feuil1!$A$30</c:f>
              <c:strCache>
                <c:ptCount val="1"/>
                <c:pt idx="0">
                  <c:v>Production (Qx)</c:v>
                </c:pt>
              </c:strCache>
            </c:strRef>
          </c:tx>
          <c:cat>
            <c:strRef>
              <c:f>Feuil1!$B$29:$Q$29</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Feuil1!$B$30:$Q$30</c:f>
              <c:numCache>
                <c:formatCode>General</c:formatCode>
                <c:ptCount val="16"/>
                <c:pt idx="0">
                  <c:v>986</c:v>
                </c:pt>
                <c:pt idx="1">
                  <c:v>1054</c:v>
                </c:pt>
                <c:pt idx="2">
                  <c:v>1042</c:v>
                </c:pt>
                <c:pt idx="3">
                  <c:v>72</c:v>
                </c:pt>
                <c:pt idx="4">
                  <c:v>1402</c:v>
                </c:pt>
                <c:pt idx="5">
                  <c:v>1030</c:v>
                </c:pt>
                <c:pt idx="6">
                  <c:v>541</c:v>
                </c:pt>
                <c:pt idx="7">
                  <c:v>560</c:v>
                </c:pt>
                <c:pt idx="8">
                  <c:v>1309</c:v>
                </c:pt>
                <c:pt idx="9">
                  <c:v>1294</c:v>
                </c:pt>
                <c:pt idx="10" formatCode="_-* #,##0\ _F_-;\-* #,##0\ _F_-;_-* &quot;-&quot;??\ _F_-;_-@_-">
                  <c:v>2047</c:v>
                </c:pt>
                <c:pt idx="11">
                  <c:v>643</c:v>
                </c:pt>
                <c:pt idx="12">
                  <c:v>848</c:v>
                </c:pt>
                <c:pt idx="13">
                  <c:v>433</c:v>
                </c:pt>
                <c:pt idx="14">
                  <c:v>489</c:v>
                </c:pt>
                <c:pt idx="15">
                  <c:v>677</c:v>
                </c:pt>
              </c:numCache>
            </c:numRef>
          </c:val>
        </c:ser>
        <c:shape val="cylinder"/>
        <c:axId val="202869376"/>
        <c:axId val="202875648"/>
        <c:axId val="0"/>
      </c:bar3DChart>
      <c:catAx>
        <c:axId val="202869376"/>
        <c:scaling>
          <c:orientation val="minMax"/>
        </c:scaling>
        <c:axPos val="b"/>
        <c:title>
          <c:tx>
            <c:rich>
              <a:bodyPr/>
              <a:lstStyle/>
              <a:p>
                <a:pPr>
                  <a:defRPr/>
                </a:pPr>
                <a:r>
                  <a:rPr lang="en-US"/>
                  <a:t>Campagnes</a:t>
                </a:r>
              </a:p>
            </c:rich>
          </c:tx>
        </c:title>
        <c:tickLblPos val="nextTo"/>
        <c:crossAx val="202875648"/>
        <c:crosses val="autoZero"/>
        <c:auto val="1"/>
        <c:lblAlgn val="ctr"/>
        <c:lblOffset val="100"/>
      </c:catAx>
      <c:valAx>
        <c:axId val="202875648"/>
        <c:scaling>
          <c:orientation val="minMax"/>
        </c:scaling>
        <c:axPos val="l"/>
        <c:title>
          <c:tx>
            <c:rich>
              <a:bodyPr rot="-5400000" vert="horz"/>
              <a:lstStyle/>
              <a:p>
                <a:pPr>
                  <a:defRPr/>
                </a:pPr>
                <a:r>
                  <a:rPr lang="en-US"/>
                  <a:t>Production (Qx)</a:t>
                </a:r>
              </a:p>
            </c:rich>
          </c:tx>
        </c:title>
        <c:numFmt formatCode="General" sourceLinked="1"/>
        <c:tickLblPos val="nextTo"/>
        <c:crossAx val="202869376"/>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b="1">
          <a:solidFill>
            <a:schemeClr val="dk1"/>
          </a:solidFill>
          <a:latin typeface="Times New Roman" pitchFamily="18" charset="0"/>
          <a:ea typeface="+mn-ea"/>
          <a:cs typeface="Times New Roman" pitchFamily="18" charset="0"/>
        </a:defRPr>
      </a:pPr>
      <a:endParaRPr lang="fr-F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Feuil3!$C$13</c:f>
              <c:strCache>
                <c:ptCount val="1"/>
                <c:pt idx="0">
                  <c:v>VCH</c:v>
                </c:pt>
              </c:strCache>
            </c:strRef>
          </c:tx>
          <c:dLbls>
            <c:txPr>
              <a:bodyPr/>
              <a:lstStyle/>
              <a:p>
                <a:pPr>
                  <a:defRPr>
                    <a:latin typeface="Times New Roman" pitchFamily="18" charset="0"/>
                    <a:cs typeface="Times New Roman" pitchFamily="18" charset="0"/>
                  </a:defRPr>
                </a:pPr>
                <a:endParaRPr lang="fr-FR"/>
              </a:p>
            </c:txPr>
            <c:showVal val="1"/>
          </c:dLbls>
          <c:cat>
            <c:strRef>
              <c:f>Feuil3!$D$12:$I$12</c:f>
              <c:strCache>
                <c:ptCount val="6"/>
                <c:pt idx="0">
                  <c:v>P1</c:v>
                </c:pt>
                <c:pt idx="1">
                  <c:v>P2</c:v>
                </c:pt>
                <c:pt idx="2">
                  <c:v>P3</c:v>
                </c:pt>
                <c:pt idx="3">
                  <c:v>P4</c:v>
                </c:pt>
                <c:pt idx="4">
                  <c:v>P5</c:v>
                </c:pt>
                <c:pt idx="5">
                  <c:v>P6</c:v>
                </c:pt>
              </c:strCache>
            </c:strRef>
          </c:cat>
          <c:val>
            <c:numRef>
              <c:f>Feuil3!$D$13:$I$13</c:f>
              <c:numCache>
                <c:formatCode>General</c:formatCode>
                <c:ptCount val="6"/>
                <c:pt idx="0">
                  <c:v>0.91</c:v>
                </c:pt>
                <c:pt idx="1">
                  <c:v>0.84000000000000064</c:v>
                </c:pt>
                <c:pt idx="2">
                  <c:v>0.61000000000000065</c:v>
                </c:pt>
                <c:pt idx="3">
                  <c:v>0.88</c:v>
                </c:pt>
                <c:pt idx="4">
                  <c:v>0.76000000000002665</c:v>
                </c:pt>
                <c:pt idx="5">
                  <c:v>0.63000000000002065</c:v>
                </c:pt>
              </c:numCache>
            </c:numRef>
          </c:val>
        </c:ser>
        <c:dLbls>
          <c:showVal val="1"/>
        </c:dLbls>
        <c:gapWidth val="75"/>
        <c:shape val="cylinder"/>
        <c:axId val="60922496"/>
        <c:axId val="61076224"/>
        <c:axId val="0"/>
      </c:bar3DChart>
      <c:catAx>
        <c:axId val="60922496"/>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Population</a:t>
                </a:r>
              </a:p>
            </c:rich>
          </c:tx>
          <c:layout>
            <c:manualLayout>
              <c:xMode val="edge"/>
              <c:yMode val="edge"/>
              <c:x val="0.44915718423368645"/>
              <c:y val="0.86490035273370292"/>
            </c:manualLayout>
          </c:layout>
        </c:title>
        <c:majorTickMark val="none"/>
        <c:tickLblPos val="nextTo"/>
        <c:txPr>
          <a:bodyPr/>
          <a:lstStyle/>
          <a:p>
            <a:pPr>
              <a:defRPr>
                <a:latin typeface="Times New Roman" pitchFamily="18" charset="0"/>
                <a:cs typeface="Times New Roman" pitchFamily="18" charset="0"/>
              </a:defRPr>
            </a:pPr>
            <a:endParaRPr lang="fr-FR"/>
          </a:p>
        </c:txPr>
        <c:crossAx val="61076224"/>
        <c:crosses val="autoZero"/>
        <c:auto val="1"/>
        <c:lblAlgn val="ctr"/>
        <c:lblOffset val="100"/>
      </c:catAx>
      <c:valAx>
        <c:axId val="61076224"/>
        <c:scaling>
          <c:orientation val="minMax"/>
        </c:scaling>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Vitesse moyenne </a:t>
                </a:r>
              </a:p>
              <a:p>
                <a:pPr>
                  <a:defRPr>
                    <a:latin typeface="Times New Roman" pitchFamily="18" charset="0"/>
                    <a:cs typeface="Times New Roman" pitchFamily="18" charset="0"/>
                  </a:defRPr>
                </a:pPr>
                <a:r>
                  <a:rPr lang="en-US">
                    <a:latin typeface="Times New Roman" pitchFamily="18" charset="0"/>
                    <a:cs typeface="Times New Roman" pitchFamily="18" charset="0"/>
                  </a:rPr>
                  <a:t>de croissance en hauter (cm/j)</a:t>
                </a:r>
              </a:p>
            </c:rich>
          </c:tx>
          <c:layout>
            <c:manualLayout>
              <c:xMode val="edge"/>
              <c:yMode val="edge"/>
              <c:x val="4.4764216972879134E-2"/>
              <c:y val="8.3333333333333343E-2"/>
            </c:manualLayout>
          </c:layout>
        </c:title>
        <c:numFmt formatCode="General" sourceLinked="1"/>
        <c:majorTickMark val="none"/>
        <c:tickLblPos val="nextTo"/>
        <c:txPr>
          <a:bodyPr/>
          <a:lstStyle/>
          <a:p>
            <a:pPr>
              <a:defRPr>
                <a:latin typeface="Times New Roman" pitchFamily="18" charset="0"/>
                <a:cs typeface="Times New Roman" pitchFamily="18" charset="0"/>
              </a:defRPr>
            </a:pPr>
            <a:endParaRPr lang="fr-FR"/>
          </a:p>
        </c:txPr>
        <c:crossAx val="60922496"/>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mn-lt"/>
          <a:ea typeface="+mn-ea"/>
          <a:cs typeface="+mn-cs"/>
        </a:defRPr>
      </a:pPr>
      <a:endParaRPr lang="fr-FR"/>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7.1487758945386101E-2"/>
          <c:y val="0.125"/>
          <c:w val="0.89084745762715578"/>
          <c:h val="0.71828566590466458"/>
        </c:manualLayout>
      </c:layout>
      <c:bar3DChart>
        <c:barDir val="col"/>
        <c:grouping val="clustered"/>
        <c:ser>
          <c:idx val="0"/>
          <c:order val="0"/>
          <c:tx>
            <c:strRef>
              <c:f>Feuil3!$B$26</c:f>
              <c:strCache>
                <c:ptCount val="1"/>
                <c:pt idx="0">
                  <c:v>NR1</c:v>
                </c:pt>
              </c:strCache>
            </c:strRef>
          </c:tx>
          <c:dLbls>
            <c:showVal val="1"/>
          </c:dLbls>
          <c:cat>
            <c:strRef>
              <c:f>Feuil3!$C$25:$H$25</c:f>
              <c:strCache>
                <c:ptCount val="6"/>
                <c:pt idx="0">
                  <c:v>P1</c:v>
                </c:pt>
                <c:pt idx="1">
                  <c:v>P2</c:v>
                </c:pt>
                <c:pt idx="2">
                  <c:v>P3</c:v>
                </c:pt>
                <c:pt idx="3">
                  <c:v>P4</c:v>
                </c:pt>
                <c:pt idx="4">
                  <c:v>P5</c:v>
                </c:pt>
                <c:pt idx="5">
                  <c:v>P6</c:v>
                </c:pt>
              </c:strCache>
            </c:strRef>
          </c:cat>
          <c:val>
            <c:numRef>
              <c:f>Feuil3!$C$26:$H$26</c:f>
              <c:numCache>
                <c:formatCode>General</c:formatCode>
                <c:ptCount val="6"/>
                <c:pt idx="0">
                  <c:v>2.4699999999999998</c:v>
                </c:pt>
                <c:pt idx="1">
                  <c:v>3.1</c:v>
                </c:pt>
                <c:pt idx="2">
                  <c:v>2.2000000000000002</c:v>
                </c:pt>
                <c:pt idx="3">
                  <c:v>3.3499999999999988</c:v>
                </c:pt>
                <c:pt idx="4">
                  <c:v>1.9200000000000021</c:v>
                </c:pt>
                <c:pt idx="5">
                  <c:v>1.6300000000000001</c:v>
                </c:pt>
              </c:numCache>
            </c:numRef>
          </c:val>
        </c:ser>
        <c:ser>
          <c:idx val="1"/>
          <c:order val="1"/>
          <c:tx>
            <c:strRef>
              <c:f>Feuil3!$B$27</c:f>
              <c:strCache>
                <c:ptCount val="1"/>
                <c:pt idx="0">
                  <c:v>NR2</c:v>
                </c:pt>
              </c:strCache>
            </c:strRef>
          </c:tx>
          <c:dLbls>
            <c:showVal val="1"/>
          </c:dLbls>
          <c:cat>
            <c:strRef>
              <c:f>Feuil3!$C$25:$H$25</c:f>
              <c:strCache>
                <c:ptCount val="6"/>
                <c:pt idx="0">
                  <c:v>P1</c:v>
                </c:pt>
                <c:pt idx="1">
                  <c:v>P2</c:v>
                </c:pt>
                <c:pt idx="2">
                  <c:v>P3</c:v>
                </c:pt>
                <c:pt idx="3">
                  <c:v>P4</c:v>
                </c:pt>
                <c:pt idx="4">
                  <c:v>P5</c:v>
                </c:pt>
                <c:pt idx="5">
                  <c:v>P6</c:v>
                </c:pt>
              </c:strCache>
            </c:strRef>
          </c:cat>
          <c:val>
            <c:numRef>
              <c:f>Feuil3!$C$27:$H$27</c:f>
              <c:numCache>
                <c:formatCode>General</c:formatCode>
                <c:ptCount val="6"/>
                <c:pt idx="0">
                  <c:v>0.1</c:v>
                </c:pt>
                <c:pt idx="1">
                  <c:v>0.35000000000000031</c:v>
                </c:pt>
                <c:pt idx="2">
                  <c:v>0.15000000000000024</c:v>
                </c:pt>
                <c:pt idx="3">
                  <c:v>0.55000000000000004</c:v>
                </c:pt>
                <c:pt idx="4">
                  <c:v>2.0000000000000011E-2</c:v>
                </c:pt>
                <c:pt idx="5">
                  <c:v>2.0000000000000011E-2</c:v>
                </c:pt>
              </c:numCache>
            </c:numRef>
          </c:val>
        </c:ser>
        <c:ser>
          <c:idx val="2"/>
          <c:order val="2"/>
          <c:tx>
            <c:strRef>
              <c:f>Feuil3!$B$28</c:f>
              <c:strCache>
                <c:ptCount val="1"/>
                <c:pt idx="0">
                  <c:v>NTR</c:v>
                </c:pt>
              </c:strCache>
            </c:strRef>
          </c:tx>
          <c:dLbls>
            <c:showVal val="1"/>
          </c:dLbls>
          <c:cat>
            <c:strRef>
              <c:f>Feuil3!$C$25:$H$25</c:f>
              <c:strCache>
                <c:ptCount val="6"/>
                <c:pt idx="0">
                  <c:v>P1</c:v>
                </c:pt>
                <c:pt idx="1">
                  <c:v>P2</c:v>
                </c:pt>
                <c:pt idx="2">
                  <c:v>P3</c:v>
                </c:pt>
                <c:pt idx="3">
                  <c:v>P4</c:v>
                </c:pt>
                <c:pt idx="4">
                  <c:v>P5</c:v>
                </c:pt>
                <c:pt idx="5">
                  <c:v>P6</c:v>
                </c:pt>
              </c:strCache>
            </c:strRef>
          </c:cat>
          <c:val>
            <c:numRef>
              <c:f>Feuil3!$C$28:$H$28</c:f>
              <c:numCache>
                <c:formatCode>General</c:formatCode>
                <c:ptCount val="6"/>
                <c:pt idx="0">
                  <c:v>2.72</c:v>
                </c:pt>
                <c:pt idx="1">
                  <c:v>3.6</c:v>
                </c:pt>
                <c:pt idx="2">
                  <c:v>2.4</c:v>
                </c:pt>
                <c:pt idx="3">
                  <c:v>3.9299999999999997</c:v>
                </c:pt>
                <c:pt idx="4">
                  <c:v>1.9500000000000361</c:v>
                </c:pt>
                <c:pt idx="5">
                  <c:v>2.42</c:v>
                </c:pt>
              </c:numCache>
            </c:numRef>
          </c:val>
        </c:ser>
        <c:dLbls>
          <c:showVal val="1"/>
        </c:dLbls>
        <c:gapWidth val="75"/>
        <c:shape val="cylinder"/>
        <c:axId val="60988416"/>
        <c:axId val="60994688"/>
        <c:axId val="0"/>
      </c:bar3DChart>
      <c:catAx>
        <c:axId val="60988416"/>
        <c:scaling>
          <c:orientation val="minMax"/>
        </c:scaling>
        <c:axPos val="b"/>
        <c:title>
          <c:tx>
            <c:rich>
              <a:bodyPr/>
              <a:lstStyle/>
              <a:p>
                <a:pPr>
                  <a:defRPr/>
                </a:pPr>
                <a:r>
                  <a:rPr lang="en-US"/>
                  <a:t>Population</a:t>
                </a:r>
              </a:p>
            </c:rich>
          </c:tx>
        </c:title>
        <c:majorTickMark val="none"/>
        <c:tickLblPos val="nextTo"/>
        <c:crossAx val="60994688"/>
        <c:crosses val="autoZero"/>
        <c:auto val="1"/>
        <c:lblAlgn val="ctr"/>
        <c:lblOffset val="100"/>
      </c:catAx>
      <c:valAx>
        <c:axId val="60994688"/>
        <c:scaling>
          <c:orientation val="minMax"/>
        </c:scaling>
        <c:axPos val="l"/>
        <c:numFmt formatCode="General" sourceLinked="1"/>
        <c:majorTickMark val="none"/>
        <c:tickLblPos val="nextTo"/>
        <c:crossAx val="60988416"/>
        <c:crosses val="autoZero"/>
        <c:crossBetween val="between"/>
      </c:valAx>
    </c:plotArea>
    <c:legend>
      <c:legendPos val="b"/>
      <c:layout>
        <c:manualLayout>
          <c:xMode val="edge"/>
          <c:yMode val="edge"/>
          <c:x val="0.17782633280164944"/>
          <c:y val="1.7488781644231296E-3"/>
          <c:w val="0.6236655948553057"/>
          <c:h val="0.13391414782830793"/>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6.7407407407407513E-2"/>
          <c:y val="0.13128383630157819"/>
          <c:w val="0.87126904845854325"/>
          <c:h val="0.6970640128317297"/>
        </c:manualLayout>
      </c:layout>
      <c:bar3DChart>
        <c:barDir val="col"/>
        <c:grouping val="clustered"/>
        <c:ser>
          <c:idx val="0"/>
          <c:order val="0"/>
          <c:tx>
            <c:strRef>
              <c:f>Feuil3!$B$34</c:f>
              <c:strCache>
                <c:ptCount val="1"/>
                <c:pt idx="0">
                  <c:v>NGAP</c:v>
                </c:pt>
              </c:strCache>
            </c:strRef>
          </c:tx>
          <c:dLbls>
            <c:showVal val="1"/>
          </c:dLbls>
          <c:cat>
            <c:strRef>
              <c:f>Feuil3!$C$33:$H$33</c:f>
              <c:strCache>
                <c:ptCount val="6"/>
                <c:pt idx="0">
                  <c:v>P1</c:v>
                </c:pt>
                <c:pt idx="1">
                  <c:v>P2</c:v>
                </c:pt>
                <c:pt idx="2">
                  <c:v>P3</c:v>
                </c:pt>
                <c:pt idx="3">
                  <c:v>P4</c:v>
                </c:pt>
                <c:pt idx="4">
                  <c:v>P5</c:v>
                </c:pt>
                <c:pt idx="5">
                  <c:v>P6</c:v>
                </c:pt>
              </c:strCache>
            </c:strRef>
          </c:cat>
          <c:val>
            <c:numRef>
              <c:f>Feuil3!$C$34:$H$34</c:f>
              <c:numCache>
                <c:formatCode>General</c:formatCode>
                <c:ptCount val="6"/>
                <c:pt idx="0">
                  <c:v>8.3500000000000068</c:v>
                </c:pt>
                <c:pt idx="1">
                  <c:v>8.4</c:v>
                </c:pt>
                <c:pt idx="2">
                  <c:v>7.78</c:v>
                </c:pt>
                <c:pt idx="3">
                  <c:v>6.8199999999999985</c:v>
                </c:pt>
                <c:pt idx="4">
                  <c:v>8.6</c:v>
                </c:pt>
                <c:pt idx="5">
                  <c:v>7.7</c:v>
                </c:pt>
              </c:numCache>
            </c:numRef>
          </c:val>
        </c:ser>
        <c:ser>
          <c:idx val="1"/>
          <c:order val="1"/>
          <c:tx>
            <c:strRef>
              <c:f>Feuil3!$B$35</c:f>
              <c:strCache>
                <c:ptCount val="1"/>
                <c:pt idx="0">
                  <c:v>NGR1</c:v>
                </c:pt>
              </c:strCache>
            </c:strRef>
          </c:tx>
          <c:dLbls>
            <c:dLbl>
              <c:idx val="0"/>
              <c:layout>
                <c:manualLayout>
                  <c:x val="2.4875621890547265E-2"/>
                  <c:y val="-4.830917874396135E-3"/>
                </c:manualLayout>
              </c:layout>
              <c:showVal val="1"/>
            </c:dLbl>
            <c:dLbl>
              <c:idx val="1"/>
              <c:layout>
                <c:manualLayout>
                  <c:x val="1.9900497512439285E-2"/>
                  <c:y val="0"/>
                </c:manualLayout>
              </c:layout>
              <c:showVal val="1"/>
            </c:dLbl>
            <c:dLbl>
              <c:idx val="2"/>
              <c:layout>
                <c:manualLayout>
                  <c:x val="2.1897666017554412E-2"/>
                  <c:y val="-4.2918454935628536E-3"/>
                </c:manualLayout>
              </c:layout>
              <c:showVal val="1"/>
            </c:dLbl>
            <c:dLbl>
              <c:idx val="3"/>
              <c:layout>
                <c:manualLayout>
                  <c:x val="2.736318407960199E-2"/>
                  <c:y val="0"/>
                </c:manualLayout>
              </c:layout>
              <c:showVal val="1"/>
            </c:dLbl>
            <c:dLbl>
              <c:idx val="4"/>
              <c:layout>
                <c:manualLayout>
                  <c:x val="1.4925373134328269E-2"/>
                  <c:y val="0"/>
                </c:manualLayout>
              </c:layout>
              <c:showVal val="1"/>
            </c:dLbl>
            <c:dLbl>
              <c:idx val="5"/>
              <c:layout>
                <c:manualLayout>
                  <c:x val="1.7118693496646246E-2"/>
                  <c:y val="-4.2921834341522833E-3"/>
                </c:manualLayout>
              </c:layout>
              <c:showVal val="1"/>
            </c:dLbl>
            <c:showVal val="1"/>
          </c:dLbls>
          <c:cat>
            <c:strRef>
              <c:f>Feuil3!$C$33:$H$33</c:f>
              <c:strCache>
                <c:ptCount val="6"/>
                <c:pt idx="0">
                  <c:v>P1</c:v>
                </c:pt>
                <c:pt idx="1">
                  <c:v>P2</c:v>
                </c:pt>
                <c:pt idx="2">
                  <c:v>P3</c:v>
                </c:pt>
                <c:pt idx="3">
                  <c:v>P4</c:v>
                </c:pt>
                <c:pt idx="4">
                  <c:v>P5</c:v>
                </c:pt>
                <c:pt idx="5">
                  <c:v>P6</c:v>
                </c:pt>
              </c:strCache>
            </c:strRef>
          </c:cat>
          <c:val>
            <c:numRef>
              <c:f>Feuil3!$C$35:$H$35</c:f>
              <c:numCache>
                <c:formatCode>General</c:formatCode>
                <c:ptCount val="6"/>
                <c:pt idx="0">
                  <c:v>5.95</c:v>
                </c:pt>
                <c:pt idx="1">
                  <c:v>7.07</c:v>
                </c:pt>
                <c:pt idx="2">
                  <c:v>5.92</c:v>
                </c:pt>
                <c:pt idx="3">
                  <c:v>7.8</c:v>
                </c:pt>
                <c:pt idx="4">
                  <c:v>6.92</c:v>
                </c:pt>
                <c:pt idx="5">
                  <c:v>4.6899999999999995</c:v>
                </c:pt>
              </c:numCache>
            </c:numRef>
          </c:val>
        </c:ser>
        <c:ser>
          <c:idx val="2"/>
          <c:order val="2"/>
          <c:tx>
            <c:strRef>
              <c:f>Feuil3!$B$36</c:f>
              <c:strCache>
                <c:ptCount val="1"/>
                <c:pt idx="0">
                  <c:v>NGR2</c:v>
                </c:pt>
              </c:strCache>
            </c:strRef>
          </c:tx>
          <c:dLbls>
            <c:showVal val="1"/>
          </c:dLbls>
          <c:cat>
            <c:strRef>
              <c:f>Feuil3!$C$33:$H$33</c:f>
              <c:strCache>
                <c:ptCount val="6"/>
                <c:pt idx="0">
                  <c:v>P1</c:v>
                </c:pt>
                <c:pt idx="1">
                  <c:v>P2</c:v>
                </c:pt>
                <c:pt idx="2">
                  <c:v>P3</c:v>
                </c:pt>
                <c:pt idx="3">
                  <c:v>P4</c:v>
                </c:pt>
                <c:pt idx="4">
                  <c:v>P5</c:v>
                </c:pt>
                <c:pt idx="5">
                  <c:v>P6</c:v>
                </c:pt>
              </c:strCache>
            </c:strRef>
          </c:cat>
          <c:val>
            <c:numRef>
              <c:f>Feuil3!$C$36:$H$36</c:f>
              <c:numCache>
                <c:formatCode>General</c:formatCode>
                <c:ptCount val="6"/>
                <c:pt idx="0">
                  <c:v>0.1</c:v>
                </c:pt>
                <c:pt idx="1">
                  <c:v>0.70000000000000062</c:v>
                </c:pt>
                <c:pt idx="2">
                  <c:v>0.05</c:v>
                </c:pt>
                <c:pt idx="3">
                  <c:v>0.2</c:v>
                </c:pt>
                <c:pt idx="4">
                  <c:v>0.05</c:v>
                </c:pt>
                <c:pt idx="5">
                  <c:v>0.05</c:v>
                </c:pt>
              </c:numCache>
            </c:numRef>
          </c:val>
        </c:ser>
        <c:ser>
          <c:idx val="3"/>
          <c:order val="3"/>
          <c:tx>
            <c:strRef>
              <c:f>Feuil3!$B$37</c:f>
              <c:strCache>
                <c:ptCount val="1"/>
                <c:pt idx="0">
                  <c:v>NTG</c:v>
                </c:pt>
              </c:strCache>
            </c:strRef>
          </c:tx>
          <c:dLbls>
            <c:showVal val="1"/>
          </c:dLbls>
          <c:cat>
            <c:strRef>
              <c:f>Feuil3!$C$33:$H$33</c:f>
              <c:strCache>
                <c:ptCount val="6"/>
                <c:pt idx="0">
                  <c:v>P1</c:v>
                </c:pt>
                <c:pt idx="1">
                  <c:v>P2</c:v>
                </c:pt>
                <c:pt idx="2">
                  <c:v>P3</c:v>
                </c:pt>
                <c:pt idx="3">
                  <c:v>P4</c:v>
                </c:pt>
                <c:pt idx="4">
                  <c:v>P5</c:v>
                </c:pt>
                <c:pt idx="5">
                  <c:v>P6</c:v>
                </c:pt>
              </c:strCache>
            </c:strRef>
          </c:cat>
          <c:val>
            <c:numRef>
              <c:f>Feuil3!$C$37:$H$37</c:f>
              <c:numCache>
                <c:formatCode>General</c:formatCode>
                <c:ptCount val="6"/>
                <c:pt idx="0">
                  <c:v>14.4</c:v>
                </c:pt>
                <c:pt idx="1">
                  <c:v>16.149999999999999</c:v>
                </c:pt>
                <c:pt idx="2">
                  <c:v>13.850000000000026</c:v>
                </c:pt>
                <c:pt idx="3">
                  <c:v>14.82</c:v>
                </c:pt>
                <c:pt idx="4">
                  <c:v>16.47</c:v>
                </c:pt>
                <c:pt idx="5">
                  <c:v>12.75</c:v>
                </c:pt>
              </c:numCache>
            </c:numRef>
          </c:val>
        </c:ser>
        <c:dLbls>
          <c:showVal val="1"/>
        </c:dLbls>
        <c:gapWidth val="75"/>
        <c:shape val="cylinder"/>
        <c:axId val="61203584"/>
        <c:axId val="61205504"/>
        <c:axId val="0"/>
      </c:bar3DChart>
      <c:catAx>
        <c:axId val="61203584"/>
        <c:scaling>
          <c:orientation val="minMax"/>
        </c:scaling>
        <c:axPos val="b"/>
        <c:title>
          <c:tx>
            <c:rich>
              <a:bodyPr/>
              <a:lstStyle/>
              <a:p>
                <a:pPr>
                  <a:defRPr/>
                </a:pPr>
                <a:r>
                  <a:rPr lang="en-US"/>
                  <a:t>Population</a:t>
                </a:r>
              </a:p>
            </c:rich>
          </c:tx>
        </c:title>
        <c:majorTickMark val="none"/>
        <c:tickLblPos val="nextTo"/>
        <c:crossAx val="61205504"/>
        <c:crosses val="autoZero"/>
        <c:auto val="1"/>
        <c:lblAlgn val="ctr"/>
        <c:lblOffset val="100"/>
      </c:catAx>
      <c:valAx>
        <c:axId val="61205504"/>
        <c:scaling>
          <c:orientation val="minMax"/>
        </c:scaling>
        <c:axPos val="l"/>
        <c:numFmt formatCode="General" sourceLinked="1"/>
        <c:majorTickMark val="none"/>
        <c:tickLblPos val="nextTo"/>
        <c:crossAx val="61203584"/>
        <c:crosses val="autoZero"/>
        <c:crossBetween val="between"/>
      </c:valAx>
    </c:plotArea>
    <c:legend>
      <c:legendPos val="b"/>
      <c:layout>
        <c:manualLayout>
          <c:xMode val="edge"/>
          <c:yMode val="edge"/>
          <c:x val="0.26059323229757569"/>
          <c:y val="1.4771383190835081E-3"/>
          <c:w val="0.58886913329382262"/>
          <c:h val="0.20099455915650041"/>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Feuil3!$B$41</c:f>
              <c:strCache>
                <c:ptCount val="1"/>
                <c:pt idx="0">
                  <c:v>NMG</c:v>
                </c:pt>
              </c:strCache>
            </c:strRef>
          </c:tx>
          <c:dLbls>
            <c:showVal val="1"/>
          </c:dLbls>
          <c:cat>
            <c:strRef>
              <c:f>Feuil3!$C$40:$H$40</c:f>
              <c:strCache>
                <c:ptCount val="6"/>
                <c:pt idx="0">
                  <c:v>P1</c:v>
                </c:pt>
                <c:pt idx="1">
                  <c:v>P2</c:v>
                </c:pt>
                <c:pt idx="2">
                  <c:v>P3</c:v>
                </c:pt>
                <c:pt idx="3">
                  <c:v>P4</c:v>
                </c:pt>
                <c:pt idx="4">
                  <c:v>P5</c:v>
                </c:pt>
                <c:pt idx="5">
                  <c:v>P6</c:v>
                </c:pt>
              </c:strCache>
            </c:strRef>
          </c:cat>
          <c:val>
            <c:numRef>
              <c:f>Feuil3!$C$41:$H$41</c:f>
              <c:numCache>
                <c:formatCode>General</c:formatCode>
                <c:ptCount val="6"/>
                <c:pt idx="0">
                  <c:v>5.3599999999999985</c:v>
                </c:pt>
                <c:pt idx="1">
                  <c:v>4.3</c:v>
                </c:pt>
                <c:pt idx="2">
                  <c:v>3.75</c:v>
                </c:pt>
                <c:pt idx="3">
                  <c:v>4.13</c:v>
                </c:pt>
                <c:pt idx="4">
                  <c:v>4.1399999999999997</c:v>
                </c:pt>
                <c:pt idx="5">
                  <c:v>4.8099999999999996</c:v>
                </c:pt>
              </c:numCache>
            </c:numRef>
          </c:val>
        </c:ser>
        <c:dLbls>
          <c:showVal val="1"/>
        </c:dLbls>
        <c:gapWidth val="75"/>
        <c:shape val="cylinder"/>
        <c:axId val="61119488"/>
        <c:axId val="61129856"/>
        <c:axId val="0"/>
      </c:bar3DChart>
      <c:catAx>
        <c:axId val="61119488"/>
        <c:scaling>
          <c:orientation val="minMax"/>
        </c:scaling>
        <c:axPos val="b"/>
        <c:title>
          <c:tx>
            <c:rich>
              <a:bodyPr/>
              <a:lstStyle/>
              <a:p>
                <a:pPr>
                  <a:defRPr/>
                </a:pPr>
                <a:r>
                  <a:rPr lang="en-US"/>
                  <a:t>Population</a:t>
                </a:r>
              </a:p>
            </c:rich>
          </c:tx>
          <c:layout>
            <c:manualLayout>
              <c:xMode val="edge"/>
              <c:yMode val="edge"/>
              <c:x val="0.37960979877515338"/>
              <c:y val="0.8743153980752405"/>
            </c:manualLayout>
          </c:layout>
        </c:title>
        <c:majorTickMark val="none"/>
        <c:tickLblPos val="nextTo"/>
        <c:crossAx val="61129856"/>
        <c:crosses val="autoZero"/>
        <c:auto val="1"/>
        <c:lblAlgn val="ctr"/>
        <c:lblOffset val="100"/>
      </c:catAx>
      <c:valAx>
        <c:axId val="61129856"/>
        <c:scaling>
          <c:orientation val="minMax"/>
        </c:scaling>
        <c:axPos val="l"/>
        <c:title>
          <c:tx>
            <c:rich>
              <a:bodyPr rot="-5400000" vert="horz"/>
              <a:lstStyle/>
              <a:p>
                <a:pPr>
                  <a:defRPr/>
                </a:pPr>
                <a:r>
                  <a:rPr lang="en-US"/>
                  <a:t>Poids moyen de gousses par plant en (g)</a:t>
                </a:r>
              </a:p>
            </c:rich>
          </c:tx>
        </c:title>
        <c:numFmt formatCode="General" sourceLinked="1"/>
        <c:majorTickMark val="none"/>
        <c:tickLblPos val="nextTo"/>
        <c:crossAx val="61119488"/>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8.4199274501672847E-2"/>
          <c:y val="9.2604476999524246E-2"/>
          <c:w val="0.84084013636226562"/>
          <c:h val="0.6970640128317297"/>
        </c:manualLayout>
      </c:layout>
      <c:bar3DChart>
        <c:barDir val="col"/>
        <c:grouping val="clustered"/>
        <c:ser>
          <c:idx val="0"/>
          <c:order val="0"/>
          <c:tx>
            <c:strRef>
              <c:f>Feuil3!$B$46</c:f>
              <c:strCache>
                <c:ptCount val="1"/>
                <c:pt idx="0">
                  <c:v>PG</c:v>
                </c:pt>
              </c:strCache>
            </c:strRef>
          </c:tx>
          <c:dLbls>
            <c:showVal val="1"/>
          </c:dLbls>
          <c:cat>
            <c:strRef>
              <c:f>Feuil3!$C$45:$H$45</c:f>
              <c:strCache>
                <c:ptCount val="6"/>
                <c:pt idx="0">
                  <c:v>P1</c:v>
                </c:pt>
                <c:pt idx="1">
                  <c:v>P2</c:v>
                </c:pt>
                <c:pt idx="2">
                  <c:v>P3</c:v>
                </c:pt>
                <c:pt idx="3">
                  <c:v>P4</c:v>
                </c:pt>
                <c:pt idx="4">
                  <c:v>P5</c:v>
                </c:pt>
                <c:pt idx="5">
                  <c:v>P6</c:v>
                </c:pt>
              </c:strCache>
            </c:strRef>
          </c:cat>
          <c:val>
            <c:numRef>
              <c:f>Feuil3!$C$46:$H$46</c:f>
              <c:numCache>
                <c:formatCode>General</c:formatCode>
                <c:ptCount val="6"/>
                <c:pt idx="0">
                  <c:v>0.36000000000000032</c:v>
                </c:pt>
                <c:pt idx="1">
                  <c:v>0.42000000000000032</c:v>
                </c:pt>
                <c:pt idx="2">
                  <c:v>0.36000000000000032</c:v>
                </c:pt>
                <c:pt idx="3">
                  <c:v>0.37000000000000038</c:v>
                </c:pt>
                <c:pt idx="4">
                  <c:v>0.33000000000001151</c:v>
                </c:pt>
                <c:pt idx="5">
                  <c:v>0.46</c:v>
                </c:pt>
              </c:numCache>
            </c:numRef>
          </c:val>
        </c:ser>
        <c:ser>
          <c:idx val="1"/>
          <c:order val="1"/>
          <c:tx>
            <c:strRef>
              <c:f>Feuil3!$B$47</c:f>
              <c:strCache>
                <c:ptCount val="1"/>
                <c:pt idx="0">
                  <c:v>PGRSG</c:v>
                </c:pt>
              </c:strCache>
            </c:strRef>
          </c:tx>
          <c:dLbls>
            <c:dLbl>
              <c:idx val="0"/>
              <c:layout>
                <c:manualLayout>
                  <c:x val="2.7777777777780528E-2"/>
                  <c:y val="0"/>
                </c:manualLayout>
              </c:layout>
              <c:showVal val="1"/>
            </c:dLbl>
            <c:dLbl>
              <c:idx val="1"/>
              <c:layout>
                <c:manualLayout>
                  <c:x val="1.6666666666666701E-2"/>
                  <c:y val="0"/>
                </c:manualLayout>
              </c:layout>
              <c:showVal val="1"/>
            </c:dLbl>
            <c:dLbl>
              <c:idx val="2"/>
              <c:layout>
                <c:manualLayout>
                  <c:x val="2.5000000000000001E-2"/>
                  <c:y val="-1.3888888888889629E-2"/>
                </c:manualLayout>
              </c:layout>
              <c:showVal val="1"/>
            </c:dLbl>
            <c:dLbl>
              <c:idx val="3"/>
              <c:layout>
                <c:manualLayout>
                  <c:x val="1.6666666666666701E-2"/>
                  <c:y val="0"/>
                </c:manualLayout>
              </c:layout>
              <c:showVal val="1"/>
            </c:dLbl>
            <c:dLbl>
              <c:idx val="4"/>
              <c:layout>
                <c:manualLayout>
                  <c:x val="3.333333333333334E-2"/>
                  <c:y val="-1.3888888888889629E-2"/>
                </c:manualLayout>
              </c:layout>
              <c:showVal val="1"/>
            </c:dLbl>
            <c:dLbl>
              <c:idx val="5"/>
              <c:layout>
                <c:manualLayout>
                  <c:x val="1.6666666666666701E-2"/>
                  <c:y val="0"/>
                </c:manualLayout>
              </c:layout>
              <c:showVal val="1"/>
            </c:dLbl>
            <c:showVal val="1"/>
          </c:dLbls>
          <c:cat>
            <c:strRef>
              <c:f>Feuil3!$C$45:$H$45</c:f>
              <c:strCache>
                <c:ptCount val="6"/>
                <c:pt idx="0">
                  <c:v>P1</c:v>
                </c:pt>
                <c:pt idx="1">
                  <c:v>P2</c:v>
                </c:pt>
                <c:pt idx="2">
                  <c:v>P3</c:v>
                </c:pt>
                <c:pt idx="3">
                  <c:v>P4</c:v>
                </c:pt>
                <c:pt idx="4">
                  <c:v>P5</c:v>
                </c:pt>
                <c:pt idx="5">
                  <c:v>P6</c:v>
                </c:pt>
              </c:strCache>
            </c:strRef>
          </c:cat>
          <c:val>
            <c:numRef>
              <c:f>Feuil3!$C$47:$H$47</c:f>
              <c:numCache>
                <c:formatCode>General</c:formatCode>
                <c:ptCount val="6"/>
                <c:pt idx="0">
                  <c:v>0.21000000000000021</c:v>
                </c:pt>
                <c:pt idx="1">
                  <c:v>0.27</c:v>
                </c:pt>
                <c:pt idx="2">
                  <c:v>0.23</c:v>
                </c:pt>
                <c:pt idx="3">
                  <c:v>0.23</c:v>
                </c:pt>
                <c:pt idx="4">
                  <c:v>0.17</c:v>
                </c:pt>
                <c:pt idx="5">
                  <c:v>0.30000000000000032</c:v>
                </c:pt>
              </c:numCache>
            </c:numRef>
          </c:val>
        </c:ser>
        <c:dLbls>
          <c:showVal val="1"/>
        </c:dLbls>
        <c:gapWidth val="75"/>
        <c:shape val="cylinder"/>
        <c:axId val="61188352"/>
        <c:axId val="61215104"/>
        <c:axId val="0"/>
      </c:bar3DChart>
      <c:catAx>
        <c:axId val="61188352"/>
        <c:scaling>
          <c:orientation val="minMax"/>
        </c:scaling>
        <c:axPos val="b"/>
        <c:title>
          <c:tx>
            <c:rich>
              <a:bodyPr/>
              <a:lstStyle/>
              <a:p>
                <a:pPr>
                  <a:defRPr/>
                </a:pPr>
                <a:r>
                  <a:rPr lang="en-US"/>
                  <a:t>Population</a:t>
                </a:r>
              </a:p>
            </c:rich>
          </c:tx>
        </c:title>
        <c:majorTickMark val="none"/>
        <c:tickLblPos val="nextTo"/>
        <c:crossAx val="61215104"/>
        <c:crosses val="autoZero"/>
        <c:auto val="1"/>
        <c:lblAlgn val="ctr"/>
        <c:lblOffset val="100"/>
      </c:catAx>
      <c:valAx>
        <c:axId val="61215104"/>
        <c:scaling>
          <c:orientation val="minMax"/>
        </c:scaling>
        <c:axPos val="l"/>
        <c:numFmt formatCode="General" sourceLinked="1"/>
        <c:majorTickMark val="none"/>
        <c:tickLblPos val="nextTo"/>
        <c:crossAx val="61188352"/>
        <c:crosses val="autoZero"/>
        <c:crossBetween val="between"/>
      </c:valAx>
    </c:plotArea>
    <c:legend>
      <c:legendPos val="b"/>
      <c:layout>
        <c:manualLayout>
          <c:xMode val="edge"/>
          <c:yMode val="edge"/>
          <c:x val="0.28389490339440143"/>
          <c:y val="5.4761503004552414E-3"/>
          <c:w val="0.41505147334136488"/>
          <c:h val="0.15315655482927484"/>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Feuil3!$A$52</c:f>
              <c:strCache>
                <c:ptCount val="1"/>
                <c:pt idx="0">
                  <c:v>LG</c:v>
                </c:pt>
              </c:strCache>
            </c:strRef>
          </c:tx>
          <c:dLbls>
            <c:showVal val="1"/>
          </c:dLbls>
          <c:cat>
            <c:strRef>
              <c:f>Feuil3!$B$51:$G$51</c:f>
              <c:strCache>
                <c:ptCount val="6"/>
                <c:pt idx="0">
                  <c:v>P1</c:v>
                </c:pt>
                <c:pt idx="1">
                  <c:v>P2</c:v>
                </c:pt>
                <c:pt idx="2">
                  <c:v>P3</c:v>
                </c:pt>
                <c:pt idx="3">
                  <c:v>P4</c:v>
                </c:pt>
                <c:pt idx="4">
                  <c:v>P5</c:v>
                </c:pt>
                <c:pt idx="5">
                  <c:v>P6</c:v>
                </c:pt>
              </c:strCache>
            </c:strRef>
          </c:cat>
          <c:val>
            <c:numRef>
              <c:f>Feuil3!$B$52:$G$52</c:f>
              <c:numCache>
                <c:formatCode>General</c:formatCode>
                <c:ptCount val="6"/>
                <c:pt idx="0">
                  <c:v>9.5</c:v>
                </c:pt>
                <c:pt idx="1">
                  <c:v>10.42</c:v>
                </c:pt>
                <c:pt idx="2">
                  <c:v>9.08</c:v>
                </c:pt>
                <c:pt idx="3">
                  <c:v>9.59</c:v>
                </c:pt>
                <c:pt idx="4">
                  <c:v>9.44</c:v>
                </c:pt>
                <c:pt idx="5">
                  <c:v>10.850000000000026</c:v>
                </c:pt>
              </c:numCache>
            </c:numRef>
          </c:val>
        </c:ser>
        <c:dLbls>
          <c:showVal val="1"/>
        </c:dLbls>
        <c:gapWidth val="75"/>
        <c:shape val="cylinder"/>
        <c:axId val="61243776"/>
        <c:axId val="61245696"/>
        <c:axId val="0"/>
      </c:bar3DChart>
      <c:catAx>
        <c:axId val="61243776"/>
        <c:scaling>
          <c:orientation val="minMax"/>
        </c:scaling>
        <c:axPos val="b"/>
        <c:title>
          <c:tx>
            <c:rich>
              <a:bodyPr/>
              <a:lstStyle/>
              <a:p>
                <a:pPr>
                  <a:defRPr/>
                </a:pPr>
                <a:r>
                  <a:rPr lang="en-US"/>
                  <a:t>Population</a:t>
                </a:r>
              </a:p>
            </c:rich>
          </c:tx>
        </c:title>
        <c:majorTickMark val="none"/>
        <c:tickLblPos val="nextTo"/>
        <c:crossAx val="61245696"/>
        <c:crosses val="autoZero"/>
        <c:auto val="1"/>
        <c:lblAlgn val="ctr"/>
        <c:lblOffset val="100"/>
      </c:catAx>
      <c:valAx>
        <c:axId val="61245696"/>
        <c:scaling>
          <c:orientation val="minMax"/>
        </c:scaling>
        <c:axPos val="l"/>
        <c:title>
          <c:tx>
            <c:rich>
              <a:bodyPr rot="-5400000" vert="horz"/>
              <a:lstStyle/>
              <a:p>
                <a:pPr>
                  <a:defRPr/>
                </a:pPr>
                <a:r>
                  <a:rPr lang="en-US"/>
                  <a:t>Longueur moyenne de la gousse en (cm)</a:t>
                </a:r>
              </a:p>
            </c:rich>
          </c:tx>
          <c:layout>
            <c:manualLayout>
              <c:xMode val="edge"/>
              <c:yMode val="edge"/>
              <c:x val="3.9450798158426982E-2"/>
              <c:y val="9.8418972332015825E-2"/>
            </c:manualLayout>
          </c:layout>
        </c:title>
        <c:numFmt formatCode="General" sourceLinked="1"/>
        <c:majorTickMark val="none"/>
        <c:tickLblPos val="nextTo"/>
        <c:crossAx val="61243776"/>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2419693301049479"/>
          <c:y val="7.2968528992062784E-2"/>
          <c:w val="0.84029055690072663"/>
          <c:h val="0.58892184166926087"/>
        </c:manualLayout>
      </c:layout>
      <c:bar3DChart>
        <c:barDir val="col"/>
        <c:grouping val="clustered"/>
        <c:ser>
          <c:idx val="0"/>
          <c:order val="0"/>
          <c:tx>
            <c:strRef>
              <c:f>Feuil3!$A$56</c:f>
              <c:strCache>
                <c:ptCount val="1"/>
                <c:pt idx="0">
                  <c:v>DG</c:v>
                </c:pt>
              </c:strCache>
            </c:strRef>
          </c:tx>
          <c:dLbls>
            <c:showVal val="1"/>
          </c:dLbls>
          <c:cat>
            <c:strRef>
              <c:f>Feuil3!$B$55:$G$55</c:f>
              <c:strCache>
                <c:ptCount val="6"/>
                <c:pt idx="0">
                  <c:v>P1</c:v>
                </c:pt>
                <c:pt idx="1">
                  <c:v>P2</c:v>
                </c:pt>
                <c:pt idx="2">
                  <c:v>P3</c:v>
                </c:pt>
                <c:pt idx="3">
                  <c:v>P4</c:v>
                </c:pt>
                <c:pt idx="4">
                  <c:v>P5</c:v>
                </c:pt>
                <c:pt idx="5">
                  <c:v>P6</c:v>
                </c:pt>
              </c:strCache>
            </c:strRef>
          </c:cat>
          <c:val>
            <c:numRef>
              <c:f>Feuil3!$B$56:$G$56</c:f>
              <c:numCache>
                <c:formatCode>General</c:formatCode>
                <c:ptCount val="6"/>
                <c:pt idx="0">
                  <c:v>3.96</c:v>
                </c:pt>
                <c:pt idx="1">
                  <c:v>4.0599999999999996</c:v>
                </c:pt>
                <c:pt idx="2">
                  <c:v>3.92</c:v>
                </c:pt>
                <c:pt idx="3">
                  <c:v>4.05</c:v>
                </c:pt>
                <c:pt idx="4">
                  <c:v>4.03</c:v>
                </c:pt>
                <c:pt idx="5">
                  <c:v>4.13</c:v>
                </c:pt>
              </c:numCache>
            </c:numRef>
          </c:val>
        </c:ser>
        <c:dLbls>
          <c:showVal val="1"/>
        </c:dLbls>
        <c:gapWidth val="75"/>
        <c:shape val="cylinder"/>
        <c:axId val="61331712"/>
        <c:axId val="61333888"/>
        <c:axId val="0"/>
      </c:bar3DChart>
      <c:catAx>
        <c:axId val="61331712"/>
        <c:scaling>
          <c:orientation val="minMax"/>
        </c:scaling>
        <c:axPos val="b"/>
        <c:title>
          <c:tx>
            <c:rich>
              <a:bodyPr/>
              <a:lstStyle/>
              <a:p>
                <a:pPr>
                  <a:defRPr/>
                </a:pPr>
                <a:r>
                  <a:rPr lang="en-US"/>
                  <a:t>Population</a:t>
                </a:r>
              </a:p>
            </c:rich>
          </c:tx>
        </c:title>
        <c:majorTickMark val="none"/>
        <c:tickLblPos val="nextTo"/>
        <c:crossAx val="61333888"/>
        <c:crosses val="autoZero"/>
        <c:auto val="1"/>
        <c:lblAlgn val="ctr"/>
        <c:lblOffset val="100"/>
      </c:catAx>
      <c:valAx>
        <c:axId val="61333888"/>
        <c:scaling>
          <c:orientation val="minMax"/>
        </c:scaling>
        <c:axPos val="l"/>
        <c:title>
          <c:tx>
            <c:rich>
              <a:bodyPr rot="-5400000" vert="horz"/>
              <a:lstStyle/>
              <a:p>
                <a:pPr>
                  <a:defRPr/>
                </a:pPr>
                <a:r>
                  <a:rPr lang="en-US"/>
                  <a:t>Diamètre moyen de la gousse en (mm)</a:t>
                </a:r>
              </a:p>
            </c:rich>
          </c:tx>
          <c:layout>
            <c:manualLayout>
              <c:xMode val="edge"/>
              <c:yMode val="edge"/>
              <c:x val="9.5072861655005024E-3"/>
              <c:y val="0.10613604217028252"/>
            </c:manualLayout>
          </c:layout>
        </c:title>
        <c:numFmt formatCode="General" sourceLinked="1"/>
        <c:majorTickMark val="none"/>
        <c:tickLblPos val="nextTo"/>
        <c:crossAx val="61331712"/>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8.0472222222222223E-2"/>
          <c:y val="0.16203703703704544"/>
          <c:w val="0.86952777777777768"/>
          <c:h val="0.60215660542432192"/>
        </c:manualLayout>
      </c:layout>
      <c:bar3DChart>
        <c:barDir val="col"/>
        <c:grouping val="clustered"/>
        <c:ser>
          <c:idx val="0"/>
          <c:order val="0"/>
          <c:tx>
            <c:strRef>
              <c:f>Feuil3!$A$62</c:f>
              <c:strCache>
                <c:ptCount val="1"/>
                <c:pt idx="0">
                  <c:v>NTGR</c:v>
                </c:pt>
              </c:strCache>
            </c:strRef>
          </c:tx>
          <c:dLbls>
            <c:showVal val="1"/>
          </c:dLbls>
          <c:cat>
            <c:strRef>
              <c:f>Feuil3!$B$61:$G$61</c:f>
              <c:strCache>
                <c:ptCount val="6"/>
                <c:pt idx="0">
                  <c:v>P1</c:v>
                </c:pt>
                <c:pt idx="1">
                  <c:v>P2</c:v>
                </c:pt>
                <c:pt idx="2">
                  <c:v>P3</c:v>
                </c:pt>
                <c:pt idx="3">
                  <c:v>P4</c:v>
                </c:pt>
                <c:pt idx="4">
                  <c:v>P5</c:v>
                </c:pt>
                <c:pt idx="5">
                  <c:v>P6</c:v>
                </c:pt>
              </c:strCache>
            </c:strRef>
          </c:cat>
          <c:val>
            <c:numRef>
              <c:f>Feuil3!$B$62:$G$62</c:f>
              <c:numCache>
                <c:formatCode>General</c:formatCode>
                <c:ptCount val="6"/>
                <c:pt idx="0">
                  <c:v>14.9</c:v>
                </c:pt>
                <c:pt idx="1">
                  <c:v>16.899999999999999</c:v>
                </c:pt>
                <c:pt idx="2">
                  <c:v>14.43</c:v>
                </c:pt>
                <c:pt idx="3">
                  <c:v>14.3</c:v>
                </c:pt>
                <c:pt idx="4">
                  <c:v>13.68</c:v>
                </c:pt>
                <c:pt idx="5">
                  <c:v>15.229999999999999</c:v>
                </c:pt>
              </c:numCache>
            </c:numRef>
          </c:val>
        </c:ser>
        <c:ser>
          <c:idx val="1"/>
          <c:order val="1"/>
          <c:tx>
            <c:strRef>
              <c:f>Feuil3!$A$63</c:f>
              <c:strCache>
                <c:ptCount val="1"/>
                <c:pt idx="0">
                  <c:v>NGRS</c:v>
                </c:pt>
              </c:strCache>
            </c:strRef>
          </c:tx>
          <c:dLbls>
            <c:dLbl>
              <c:idx val="0"/>
              <c:layout>
                <c:manualLayout>
                  <c:x val="2.7777777777781669E-2"/>
                  <c:y val="0"/>
                </c:manualLayout>
              </c:layout>
              <c:showVal val="1"/>
            </c:dLbl>
            <c:dLbl>
              <c:idx val="1"/>
              <c:layout>
                <c:manualLayout>
                  <c:x val="2.2222222222222251E-2"/>
                  <c:y val="1.3888888888889969E-2"/>
                </c:manualLayout>
              </c:layout>
              <c:showVal val="1"/>
            </c:dLbl>
            <c:dLbl>
              <c:idx val="2"/>
              <c:layout>
                <c:manualLayout>
                  <c:x val="2.2222003499562552E-2"/>
                  <c:y val="1.3888888888889969E-2"/>
                </c:manualLayout>
              </c:layout>
              <c:showVal val="1"/>
            </c:dLbl>
            <c:dLbl>
              <c:idx val="3"/>
              <c:layout>
                <c:manualLayout>
                  <c:x val="1.6666666666666701E-2"/>
                  <c:y val="1.3888888888889969E-2"/>
                </c:manualLayout>
              </c:layout>
              <c:showVal val="1"/>
            </c:dLbl>
            <c:dLbl>
              <c:idx val="4"/>
              <c:layout>
                <c:manualLayout>
                  <c:x val="2.2222222222222251E-2"/>
                  <c:y val="0"/>
                </c:manualLayout>
              </c:layout>
              <c:showVal val="1"/>
            </c:dLbl>
            <c:dLbl>
              <c:idx val="5"/>
              <c:layout>
                <c:manualLayout>
                  <c:x val="2.2222222222222251E-2"/>
                  <c:y val="9.2592592592603898E-3"/>
                </c:manualLayout>
              </c:layout>
              <c:showVal val="1"/>
            </c:dLbl>
            <c:showVal val="1"/>
          </c:dLbls>
          <c:cat>
            <c:strRef>
              <c:f>Feuil3!$B$61:$G$61</c:f>
              <c:strCache>
                <c:ptCount val="6"/>
                <c:pt idx="0">
                  <c:v>P1</c:v>
                </c:pt>
                <c:pt idx="1">
                  <c:v>P2</c:v>
                </c:pt>
                <c:pt idx="2">
                  <c:v>P3</c:v>
                </c:pt>
                <c:pt idx="3">
                  <c:v>P4</c:v>
                </c:pt>
                <c:pt idx="4">
                  <c:v>P5</c:v>
                </c:pt>
                <c:pt idx="5">
                  <c:v>P6</c:v>
                </c:pt>
              </c:strCache>
            </c:strRef>
          </c:cat>
          <c:val>
            <c:numRef>
              <c:f>Feuil3!$B$63:$G$63</c:f>
              <c:numCache>
                <c:formatCode>General</c:formatCode>
                <c:ptCount val="6"/>
                <c:pt idx="0">
                  <c:v>12.850000000000026</c:v>
                </c:pt>
                <c:pt idx="1">
                  <c:v>15.57</c:v>
                </c:pt>
                <c:pt idx="2">
                  <c:v>12.8</c:v>
                </c:pt>
                <c:pt idx="3">
                  <c:v>11.9</c:v>
                </c:pt>
                <c:pt idx="4">
                  <c:v>9.58</c:v>
                </c:pt>
                <c:pt idx="5">
                  <c:v>14.08</c:v>
                </c:pt>
              </c:numCache>
            </c:numRef>
          </c:val>
        </c:ser>
        <c:ser>
          <c:idx val="2"/>
          <c:order val="2"/>
          <c:tx>
            <c:strRef>
              <c:f>Feuil3!$A$64</c:f>
              <c:strCache>
                <c:ptCount val="1"/>
                <c:pt idx="0">
                  <c:v>NGRAE</c:v>
                </c:pt>
              </c:strCache>
            </c:strRef>
          </c:tx>
          <c:dLbls>
            <c:dLbl>
              <c:idx val="0"/>
              <c:layout>
                <c:manualLayout>
                  <c:x val="1.3888888888889969E-2"/>
                  <c:y val="0"/>
                </c:manualLayout>
              </c:layout>
              <c:showVal val="1"/>
            </c:dLbl>
            <c:dLbl>
              <c:idx val="1"/>
              <c:layout>
                <c:manualLayout>
                  <c:x val="2.5000000000000001E-2"/>
                  <c:y val="-1.3888888888889969E-2"/>
                </c:manualLayout>
              </c:layout>
              <c:showVal val="1"/>
            </c:dLbl>
            <c:dLbl>
              <c:idx val="2"/>
              <c:layout>
                <c:manualLayout>
                  <c:x val="1.3888888888889969E-2"/>
                  <c:y val="0"/>
                </c:manualLayout>
              </c:layout>
              <c:showVal val="1"/>
            </c:dLbl>
            <c:dLbl>
              <c:idx val="3"/>
              <c:layout>
                <c:manualLayout>
                  <c:x val="1.9444444444444445E-2"/>
                  <c:y val="0"/>
                </c:manualLayout>
              </c:layout>
              <c:showVal val="1"/>
            </c:dLbl>
            <c:dLbl>
              <c:idx val="4"/>
              <c:layout>
                <c:manualLayout>
                  <c:x val="1.6666666666666701E-2"/>
                  <c:y val="0"/>
                </c:manualLayout>
              </c:layout>
              <c:showVal val="1"/>
            </c:dLbl>
            <c:dLbl>
              <c:idx val="5"/>
              <c:layout>
                <c:manualLayout>
                  <c:x val="2.5000000000000001E-2"/>
                  <c:y val="0"/>
                </c:manualLayout>
              </c:layout>
              <c:showVal val="1"/>
            </c:dLbl>
            <c:showVal val="1"/>
          </c:dLbls>
          <c:cat>
            <c:strRef>
              <c:f>Feuil3!$B$61:$G$61</c:f>
              <c:strCache>
                <c:ptCount val="6"/>
                <c:pt idx="0">
                  <c:v>P1</c:v>
                </c:pt>
                <c:pt idx="1">
                  <c:v>P2</c:v>
                </c:pt>
                <c:pt idx="2">
                  <c:v>P3</c:v>
                </c:pt>
                <c:pt idx="3">
                  <c:v>P4</c:v>
                </c:pt>
                <c:pt idx="4">
                  <c:v>P5</c:v>
                </c:pt>
                <c:pt idx="5">
                  <c:v>P6</c:v>
                </c:pt>
              </c:strCache>
            </c:strRef>
          </c:cat>
          <c:val>
            <c:numRef>
              <c:f>Feuil3!$B$64:$G$64</c:f>
              <c:numCache>
                <c:formatCode>General</c:formatCode>
                <c:ptCount val="6"/>
                <c:pt idx="0">
                  <c:v>2.0499999999999998</c:v>
                </c:pt>
                <c:pt idx="1">
                  <c:v>1.33</c:v>
                </c:pt>
                <c:pt idx="2">
                  <c:v>1.6300000000000001</c:v>
                </c:pt>
                <c:pt idx="3">
                  <c:v>2.4</c:v>
                </c:pt>
                <c:pt idx="4">
                  <c:v>4.0999999999999996</c:v>
                </c:pt>
                <c:pt idx="5">
                  <c:v>1.1299999999999204</c:v>
                </c:pt>
              </c:numCache>
            </c:numRef>
          </c:val>
        </c:ser>
        <c:dLbls>
          <c:showVal val="1"/>
        </c:dLbls>
        <c:gapWidth val="75"/>
        <c:shape val="cylinder"/>
        <c:axId val="61385344"/>
        <c:axId val="61403904"/>
        <c:axId val="0"/>
      </c:bar3DChart>
      <c:catAx>
        <c:axId val="61385344"/>
        <c:scaling>
          <c:orientation val="minMax"/>
        </c:scaling>
        <c:axPos val="b"/>
        <c:title>
          <c:tx>
            <c:rich>
              <a:bodyPr/>
              <a:lstStyle/>
              <a:p>
                <a:pPr>
                  <a:defRPr/>
                </a:pPr>
                <a:r>
                  <a:rPr lang="en-US"/>
                  <a:t>Population</a:t>
                </a:r>
              </a:p>
            </c:rich>
          </c:tx>
        </c:title>
        <c:majorTickMark val="none"/>
        <c:tickLblPos val="nextTo"/>
        <c:crossAx val="61403904"/>
        <c:crosses val="autoZero"/>
        <c:auto val="1"/>
        <c:lblAlgn val="ctr"/>
        <c:lblOffset val="100"/>
      </c:catAx>
      <c:valAx>
        <c:axId val="61403904"/>
        <c:scaling>
          <c:orientation val="minMax"/>
        </c:scaling>
        <c:axPos val="l"/>
        <c:numFmt formatCode="General" sourceLinked="1"/>
        <c:majorTickMark val="none"/>
        <c:tickLblPos val="nextTo"/>
        <c:crossAx val="61385344"/>
        <c:crosses val="autoZero"/>
        <c:crossBetween val="between"/>
      </c:valAx>
    </c:plotArea>
    <c:legend>
      <c:legendPos val="b"/>
      <c:layout>
        <c:manualLayout>
          <c:xMode val="edge"/>
          <c:yMode val="edge"/>
          <c:x val="0.18905708661417694"/>
          <c:y val="2.7943642461362828E-2"/>
          <c:w val="0.64133027121609865"/>
          <c:h val="0.17576006124234494"/>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Feuil8!$K$19</c:f>
              <c:strCache>
                <c:ptCount val="1"/>
                <c:pt idx="0">
                  <c:v>P1000G</c:v>
                </c:pt>
              </c:strCache>
            </c:strRef>
          </c:tx>
          <c:dLbls>
            <c:dLbl>
              <c:idx val="0"/>
              <c:layout>
                <c:manualLayout>
                  <c:x val="0"/>
                  <c:y val="-3.2374100719426875E-2"/>
                </c:manualLayout>
              </c:layout>
              <c:showVal val="1"/>
            </c:dLbl>
            <c:dLbl>
              <c:idx val="1"/>
              <c:layout>
                <c:manualLayout>
                  <c:x val="2.3894862604539602E-3"/>
                  <c:y val="-2.8776978417268007E-2"/>
                </c:manualLayout>
              </c:layout>
              <c:showVal val="1"/>
            </c:dLbl>
            <c:dLbl>
              <c:idx val="2"/>
              <c:layout>
                <c:manualLayout>
                  <c:x val="0"/>
                  <c:y val="-3.5971223021582746E-2"/>
                </c:manualLayout>
              </c:layout>
              <c:showVal val="1"/>
            </c:dLbl>
            <c:dLbl>
              <c:idx val="3"/>
              <c:layout>
                <c:manualLayout>
                  <c:x val="0"/>
                  <c:y val="-3.2374100719426875E-2"/>
                </c:manualLayout>
              </c:layout>
              <c:showVal val="1"/>
            </c:dLbl>
            <c:dLbl>
              <c:idx val="4"/>
              <c:layout>
                <c:manualLayout>
                  <c:x val="8.7613484098218694E-17"/>
                  <c:y val="-3.2374100719426896E-2"/>
                </c:manualLayout>
              </c:layout>
              <c:showVal val="1"/>
            </c:dLbl>
            <c:dLbl>
              <c:idx val="5"/>
              <c:layout>
                <c:manualLayout>
                  <c:x val="4.7789725209080114E-3"/>
                  <c:y val="-1.7985611510791366E-2"/>
                </c:manualLayout>
              </c:layout>
              <c:showVal val="1"/>
            </c:dLbl>
            <c:showVal val="1"/>
          </c:dLbls>
          <c:cat>
            <c:strRef>
              <c:f>Feuil8!$L$18:$Q$18</c:f>
              <c:strCache>
                <c:ptCount val="6"/>
                <c:pt idx="0">
                  <c:v>P1</c:v>
                </c:pt>
                <c:pt idx="1">
                  <c:v>P2</c:v>
                </c:pt>
                <c:pt idx="2">
                  <c:v>P3</c:v>
                </c:pt>
                <c:pt idx="3">
                  <c:v>P4</c:v>
                </c:pt>
                <c:pt idx="4">
                  <c:v>P5</c:v>
                </c:pt>
                <c:pt idx="5">
                  <c:v>P6</c:v>
                </c:pt>
              </c:strCache>
            </c:strRef>
          </c:cat>
          <c:val>
            <c:numRef>
              <c:f>Feuil8!$L$19:$Q$19</c:f>
              <c:numCache>
                <c:formatCode>General</c:formatCode>
                <c:ptCount val="6"/>
                <c:pt idx="0">
                  <c:v>17.979999999999986</c:v>
                </c:pt>
                <c:pt idx="1">
                  <c:v>17.079999999999988</c:v>
                </c:pt>
                <c:pt idx="2">
                  <c:v>16.399999999999999</c:v>
                </c:pt>
                <c:pt idx="3">
                  <c:v>18.939999999999987</c:v>
                </c:pt>
                <c:pt idx="4">
                  <c:v>16.77</c:v>
                </c:pt>
                <c:pt idx="5">
                  <c:v>22.32</c:v>
                </c:pt>
              </c:numCache>
            </c:numRef>
          </c:val>
        </c:ser>
        <c:dLbls>
          <c:showVal val="1"/>
        </c:dLbls>
        <c:gapWidth val="75"/>
        <c:shape val="cylinder"/>
        <c:axId val="61358848"/>
        <c:axId val="61360768"/>
        <c:axId val="0"/>
      </c:bar3DChart>
      <c:catAx>
        <c:axId val="61358848"/>
        <c:scaling>
          <c:orientation val="minMax"/>
        </c:scaling>
        <c:axPos val="b"/>
        <c:title>
          <c:tx>
            <c:rich>
              <a:bodyPr/>
              <a:lstStyle/>
              <a:p>
                <a:pPr>
                  <a:defRPr/>
                </a:pPr>
                <a:r>
                  <a:rPr lang="en-US"/>
                  <a:t>Population</a:t>
                </a:r>
              </a:p>
            </c:rich>
          </c:tx>
        </c:title>
        <c:majorTickMark val="none"/>
        <c:tickLblPos val="nextTo"/>
        <c:crossAx val="61360768"/>
        <c:crosses val="autoZero"/>
        <c:auto val="1"/>
        <c:lblAlgn val="ctr"/>
        <c:lblOffset val="100"/>
      </c:catAx>
      <c:valAx>
        <c:axId val="61360768"/>
        <c:scaling>
          <c:orientation val="minMax"/>
        </c:scaling>
        <c:axPos val="l"/>
        <c:title>
          <c:tx>
            <c:rich>
              <a:bodyPr rot="-5400000" vert="horz"/>
              <a:lstStyle/>
              <a:p>
                <a:pPr>
                  <a:defRPr/>
                </a:pPr>
                <a:r>
                  <a:rPr lang="en-US"/>
                  <a:t>Poids moyen de 1000 graines en (g) </a:t>
                </a:r>
              </a:p>
            </c:rich>
          </c:tx>
          <c:layout>
            <c:manualLayout>
              <c:xMode val="edge"/>
              <c:yMode val="edge"/>
              <c:x val="5.0723888888888902E-2"/>
              <c:y val="0.13811006825209346"/>
            </c:manualLayout>
          </c:layout>
        </c:title>
        <c:numFmt formatCode="General" sourceLinked="1"/>
        <c:majorTickMark val="none"/>
        <c:tickLblPos val="nextTo"/>
        <c:crossAx val="61358848"/>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Feuil7!$X$49</c:f>
              <c:strCache>
                <c:ptCount val="1"/>
                <c:pt idx="0">
                  <c:v>Rdt</c:v>
                </c:pt>
              </c:strCache>
            </c:strRef>
          </c:tx>
          <c:dLbls>
            <c:showVal val="1"/>
          </c:dLbls>
          <c:cat>
            <c:strRef>
              <c:f>Feuil7!$Y$48:$AD$48</c:f>
              <c:strCache>
                <c:ptCount val="6"/>
                <c:pt idx="0">
                  <c:v>P1</c:v>
                </c:pt>
                <c:pt idx="1">
                  <c:v>P2</c:v>
                </c:pt>
                <c:pt idx="2">
                  <c:v>P3</c:v>
                </c:pt>
                <c:pt idx="3">
                  <c:v>P4</c:v>
                </c:pt>
                <c:pt idx="4">
                  <c:v>P5</c:v>
                </c:pt>
                <c:pt idx="5">
                  <c:v>P6</c:v>
                </c:pt>
              </c:strCache>
            </c:strRef>
          </c:cat>
          <c:val>
            <c:numRef>
              <c:f>Feuil7!$Y$49:$AD$49</c:f>
              <c:numCache>
                <c:formatCode>General</c:formatCode>
                <c:ptCount val="6"/>
                <c:pt idx="0">
                  <c:v>1.1599999999999411</c:v>
                </c:pt>
                <c:pt idx="1">
                  <c:v>0.96000000000000063</c:v>
                </c:pt>
                <c:pt idx="2">
                  <c:v>0.93</c:v>
                </c:pt>
                <c:pt idx="3">
                  <c:v>0.9</c:v>
                </c:pt>
                <c:pt idx="4">
                  <c:v>1.3</c:v>
                </c:pt>
                <c:pt idx="5">
                  <c:v>1.05</c:v>
                </c:pt>
              </c:numCache>
            </c:numRef>
          </c:val>
        </c:ser>
        <c:dLbls>
          <c:showVal val="1"/>
        </c:dLbls>
        <c:gapWidth val="75"/>
        <c:shape val="cylinder"/>
        <c:axId val="61508224"/>
        <c:axId val="61514496"/>
        <c:axId val="0"/>
      </c:bar3DChart>
      <c:catAx>
        <c:axId val="61508224"/>
        <c:scaling>
          <c:orientation val="minMax"/>
        </c:scaling>
        <c:axPos val="b"/>
        <c:title>
          <c:tx>
            <c:rich>
              <a:bodyPr/>
              <a:lstStyle/>
              <a:p>
                <a:pPr>
                  <a:defRPr/>
                </a:pPr>
                <a:r>
                  <a:rPr lang="en-US"/>
                  <a:t>Population</a:t>
                </a:r>
              </a:p>
            </c:rich>
          </c:tx>
        </c:title>
        <c:majorTickMark val="none"/>
        <c:tickLblPos val="nextTo"/>
        <c:crossAx val="61514496"/>
        <c:crosses val="autoZero"/>
        <c:auto val="1"/>
        <c:lblAlgn val="ctr"/>
        <c:lblOffset val="100"/>
      </c:catAx>
      <c:valAx>
        <c:axId val="61514496"/>
        <c:scaling>
          <c:orientation val="minMax"/>
        </c:scaling>
        <c:axPos val="l"/>
        <c:title>
          <c:tx>
            <c:rich>
              <a:bodyPr rot="-5400000" vert="horz"/>
              <a:lstStyle/>
              <a:p>
                <a:pPr>
                  <a:defRPr/>
                </a:pPr>
                <a:r>
                  <a:rPr lang="en-US"/>
                  <a:t>Rendement</a:t>
                </a:r>
                <a:r>
                  <a:rPr lang="en-US" baseline="0"/>
                  <a:t> moyen</a:t>
                </a:r>
                <a:r>
                  <a:rPr lang="en-US"/>
                  <a:t> en graines estimé par parcelle en (kg) </a:t>
                </a:r>
              </a:p>
              <a:p>
                <a:pPr>
                  <a:defRPr/>
                </a:pPr>
                <a:r>
                  <a:rPr lang="en-US"/>
                  <a:t> </a:t>
                </a:r>
              </a:p>
            </c:rich>
          </c:tx>
          <c:layout>
            <c:manualLayout>
              <c:xMode val="edge"/>
              <c:yMode val="edge"/>
              <c:x val="4.1993438320209971E-2"/>
              <c:y val="0.14011009040537512"/>
            </c:manualLayout>
          </c:layout>
        </c:title>
        <c:numFmt formatCode="General" sourceLinked="1"/>
        <c:majorTickMark val="none"/>
        <c:tickLblPos val="nextTo"/>
        <c:crossAx val="61508224"/>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Feuil1!$A$15</c:f>
              <c:strCache>
                <c:ptCount val="1"/>
                <c:pt idx="0">
                  <c:v>Coriandre</c:v>
                </c:pt>
              </c:strCache>
            </c:strRef>
          </c:tx>
          <c:cat>
            <c:strRef>
              <c:f>Feuil1!$B$14:$Q$14</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Feuil1!$B$15:$Q$15</c:f>
              <c:numCache>
                <c:formatCode>_-* #,##0\ _F_-;\-* #,##0\ _F_-;_-* "-"??\ _F_-;_-@_-</c:formatCode>
                <c:ptCount val="16"/>
                <c:pt idx="0">
                  <c:v>46</c:v>
                </c:pt>
                <c:pt idx="1">
                  <c:v>45</c:v>
                </c:pt>
                <c:pt idx="2">
                  <c:v>40</c:v>
                </c:pt>
                <c:pt idx="3">
                  <c:v>44</c:v>
                </c:pt>
                <c:pt idx="4">
                  <c:v>50</c:v>
                </c:pt>
                <c:pt idx="5">
                  <c:v>76</c:v>
                </c:pt>
                <c:pt idx="6">
                  <c:v>13</c:v>
                </c:pt>
                <c:pt idx="7">
                  <c:v>11</c:v>
                </c:pt>
                <c:pt idx="8">
                  <c:v>71</c:v>
                </c:pt>
                <c:pt idx="9">
                  <c:v>54</c:v>
                </c:pt>
                <c:pt idx="10">
                  <c:v>53</c:v>
                </c:pt>
                <c:pt idx="11">
                  <c:v>49</c:v>
                </c:pt>
                <c:pt idx="12">
                  <c:v>36</c:v>
                </c:pt>
                <c:pt idx="13">
                  <c:v>11</c:v>
                </c:pt>
                <c:pt idx="14">
                  <c:v>13</c:v>
                </c:pt>
                <c:pt idx="15" formatCode="General">
                  <c:v>20</c:v>
                </c:pt>
              </c:numCache>
            </c:numRef>
          </c:val>
        </c:ser>
        <c:ser>
          <c:idx val="1"/>
          <c:order val="1"/>
          <c:tx>
            <c:strRef>
              <c:f>Feuil1!$A$16</c:f>
              <c:strCache>
                <c:ptCount val="1"/>
                <c:pt idx="0">
                  <c:v>Anis</c:v>
                </c:pt>
              </c:strCache>
            </c:strRef>
          </c:tx>
          <c:cat>
            <c:strRef>
              <c:f>Feuil1!$B$14:$Q$14</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Feuil1!$B$16:$Q$16</c:f>
              <c:numCache>
                <c:formatCode>_-* #,##0\ _F_-;\-* #,##0\ _F_-;_-* "-"??\ _F_-;_-@_-</c:formatCode>
                <c:ptCount val="16"/>
                <c:pt idx="0">
                  <c:v>9</c:v>
                </c:pt>
                <c:pt idx="1">
                  <c:v>21</c:v>
                </c:pt>
                <c:pt idx="2">
                  <c:v>20</c:v>
                </c:pt>
                <c:pt idx="3">
                  <c:v>20</c:v>
                </c:pt>
                <c:pt idx="4">
                  <c:v>17</c:v>
                </c:pt>
                <c:pt idx="5">
                  <c:v>19</c:v>
                </c:pt>
                <c:pt idx="6">
                  <c:v>19</c:v>
                </c:pt>
                <c:pt idx="7">
                  <c:v>23</c:v>
                </c:pt>
                <c:pt idx="8">
                  <c:v>15</c:v>
                </c:pt>
                <c:pt idx="9">
                  <c:v>28</c:v>
                </c:pt>
                <c:pt idx="10">
                  <c:v>37</c:v>
                </c:pt>
                <c:pt idx="11">
                  <c:v>29</c:v>
                </c:pt>
                <c:pt idx="12">
                  <c:v>32</c:v>
                </c:pt>
                <c:pt idx="13">
                  <c:v>28</c:v>
                </c:pt>
                <c:pt idx="14">
                  <c:v>35</c:v>
                </c:pt>
                <c:pt idx="15" formatCode="General">
                  <c:v>38</c:v>
                </c:pt>
              </c:numCache>
            </c:numRef>
          </c:val>
        </c:ser>
        <c:ser>
          <c:idx val="2"/>
          <c:order val="2"/>
          <c:tx>
            <c:strRef>
              <c:f>Feuil1!$A$17</c:f>
              <c:strCache>
                <c:ptCount val="1"/>
                <c:pt idx="0">
                  <c:v>Cumun vert</c:v>
                </c:pt>
              </c:strCache>
            </c:strRef>
          </c:tx>
          <c:cat>
            <c:strRef>
              <c:f>Feuil1!$B$14:$Q$14</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Feuil1!$B$17:$Q$17</c:f>
              <c:numCache>
                <c:formatCode>_-* #,##0\ _F_-;\-* #,##0\ _F_-;_-* "-"??\ _F_-;_-@_-</c:formatCode>
                <c:ptCount val="16"/>
                <c:pt idx="0">
                  <c:v>4</c:v>
                </c:pt>
                <c:pt idx="1">
                  <c:v>3</c:v>
                </c:pt>
                <c:pt idx="2">
                  <c:v>3</c:v>
                </c:pt>
                <c:pt idx="3">
                  <c:v>8</c:v>
                </c:pt>
                <c:pt idx="4">
                  <c:v>2</c:v>
                </c:pt>
                <c:pt idx="5">
                  <c:v>2</c:v>
                </c:pt>
                <c:pt idx="6">
                  <c:v>2</c:v>
                </c:pt>
                <c:pt idx="7">
                  <c:v>0</c:v>
                </c:pt>
                <c:pt idx="8">
                  <c:v>4</c:v>
                </c:pt>
                <c:pt idx="9">
                  <c:v>4</c:v>
                </c:pt>
                <c:pt idx="10">
                  <c:v>0</c:v>
                </c:pt>
                <c:pt idx="11">
                  <c:v>0</c:v>
                </c:pt>
                <c:pt idx="12">
                  <c:v>0</c:v>
                </c:pt>
                <c:pt idx="13">
                  <c:v>0</c:v>
                </c:pt>
                <c:pt idx="14">
                  <c:v>0</c:v>
                </c:pt>
                <c:pt idx="15" formatCode="General">
                  <c:v>0</c:v>
                </c:pt>
              </c:numCache>
            </c:numRef>
          </c:val>
        </c:ser>
        <c:ser>
          <c:idx val="3"/>
          <c:order val="3"/>
          <c:tx>
            <c:strRef>
              <c:f>Feuil1!$A$18</c:f>
              <c:strCache>
                <c:ptCount val="1"/>
                <c:pt idx="0">
                  <c:v>Fenugrec</c:v>
                </c:pt>
              </c:strCache>
            </c:strRef>
          </c:tx>
          <c:cat>
            <c:strRef>
              <c:f>Feuil1!$B$14:$Q$14</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Feuil1!$B$18:$Q$18</c:f>
              <c:numCache>
                <c:formatCode>_-* #,##0\ _F_-;\-* #,##0\ _F_-;_-* "-"??\ _F_-;_-@_-</c:formatCode>
                <c:ptCount val="16"/>
                <c:pt idx="0">
                  <c:v>13</c:v>
                </c:pt>
                <c:pt idx="1">
                  <c:v>12</c:v>
                </c:pt>
                <c:pt idx="2">
                  <c:v>14</c:v>
                </c:pt>
                <c:pt idx="3">
                  <c:v>11</c:v>
                </c:pt>
                <c:pt idx="4">
                  <c:v>7</c:v>
                </c:pt>
                <c:pt idx="5">
                  <c:v>6</c:v>
                </c:pt>
                <c:pt idx="6">
                  <c:v>7</c:v>
                </c:pt>
                <c:pt idx="7">
                  <c:v>4</c:v>
                </c:pt>
                <c:pt idx="8">
                  <c:v>6</c:v>
                </c:pt>
                <c:pt idx="9">
                  <c:v>5</c:v>
                </c:pt>
                <c:pt idx="10">
                  <c:v>7</c:v>
                </c:pt>
                <c:pt idx="11">
                  <c:v>9</c:v>
                </c:pt>
                <c:pt idx="12">
                  <c:v>8</c:v>
                </c:pt>
                <c:pt idx="13">
                  <c:v>4</c:v>
                </c:pt>
                <c:pt idx="14">
                  <c:v>5</c:v>
                </c:pt>
                <c:pt idx="15" formatCode="General">
                  <c:v>6</c:v>
                </c:pt>
              </c:numCache>
            </c:numRef>
          </c:val>
        </c:ser>
        <c:ser>
          <c:idx val="4"/>
          <c:order val="4"/>
          <c:tx>
            <c:strRef>
              <c:f>Feuil1!$A$19</c:f>
              <c:strCache>
                <c:ptCount val="1"/>
                <c:pt idx="0">
                  <c:v>Carvi</c:v>
                </c:pt>
              </c:strCache>
            </c:strRef>
          </c:tx>
          <c:cat>
            <c:strRef>
              <c:f>Feuil1!$B$14:$Q$14</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Feuil1!$B$19:$Q$19</c:f>
              <c:numCache>
                <c:formatCode>_-* #,##0\ _F_-;\-* #,##0\ _F_-;_-* "-"??\ _F_-;_-@_-</c:formatCode>
                <c:ptCount val="16"/>
                <c:pt idx="0">
                  <c:v>2</c:v>
                </c:pt>
                <c:pt idx="1">
                  <c:v>1</c:v>
                </c:pt>
                <c:pt idx="2">
                  <c:v>2</c:v>
                </c:pt>
                <c:pt idx="3">
                  <c:v>6</c:v>
                </c:pt>
                <c:pt idx="4">
                  <c:v>0</c:v>
                </c:pt>
                <c:pt idx="5">
                  <c:v>0</c:v>
                </c:pt>
                <c:pt idx="6">
                  <c:v>2</c:v>
                </c:pt>
                <c:pt idx="7">
                  <c:v>0</c:v>
                </c:pt>
                <c:pt idx="8">
                  <c:v>4</c:v>
                </c:pt>
                <c:pt idx="9">
                  <c:v>3</c:v>
                </c:pt>
                <c:pt idx="10">
                  <c:v>3</c:v>
                </c:pt>
                <c:pt idx="11">
                  <c:v>4</c:v>
                </c:pt>
                <c:pt idx="12">
                  <c:v>2</c:v>
                </c:pt>
                <c:pt idx="13">
                  <c:v>0</c:v>
                </c:pt>
                <c:pt idx="14">
                  <c:v>0</c:v>
                </c:pt>
                <c:pt idx="15" formatCode="General">
                  <c:v>0</c:v>
                </c:pt>
              </c:numCache>
            </c:numRef>
          </c:val>
        </c:ser>
        <c:ser>
          <c:idx val="5"/>
          <c:order val="5"/>
          <c:tx>
            <c:strRef>
              <c:f>Feuil1!$A$20</c:f>
              <c:strCache>
                <c:ptCount val="1"/>
                <c:pt idx="0">
                  <c:v>Cumun </c:v>
                </c:pt>
              </c:strCache>
            </c:strRef>
          </c:tx>
          <c:cat>
            <c:strRef>
              <c:f>Feuil1!$B$14:$Q$14</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Feuil1!$B$20:$Q$20</c:f>
              <c:numCache>
                <c:formatCode>_-* #,##0\ _F_-;\-* #,##0\ _F_-;_-* "-"??\ _F_-;_-@_-</c:formatCode>
                <c:ptCount val="16"/>
                <c:pt idx="0">
                  <c:v>11</c:v>
                </c:pt>
                <c:pt idx="1">
                  <c:v>7</c:v>
                </c:pt>
                <c:pt idx="2">
                  <c:v>12</c:v>
                </c:pt>
                <c:pt idx="3">
                  <c:v>15</c:v>
                </c:pt>
                <c:pt idx="4">
                  <c:v>13</c:v>
                </c:pt>
                <c:pt idx="5">
                  <c:v>2</c:v>
                </c:pt>
                <c:pt idx="6">
                  <c:v>3</c:v>
                </c:pt>
                <c:pt idx="7">
                  <c:v>5</c:v>
                </c:pt>
                <c:pt idx="8">
                  <c:v>11</c:v>
                </c:pt>
                <c:pt idx="9">
                  <c:v>10</c:v>
                </c:pt>
                <c:pt idx="10">
                  <c:v>11</c:v>
                </c:pt>
                <c:pt idx="11">
                  <c:v>3</c:v>
                </c:pt>
                <c:pt idx="12">
                  <c:v>6</c:v>
                </c:pt>
                <c:pt idx="13">
                  <c:v>3</c:v>
                </c:pt>
                <c:pt idx="14">
                  <c:v>3</c:v>
                </c:pt>
                <c:pt idx="15" formatCode="General">
                  <c:v>6</c:v>
                </c:pt>
              </c:numCache>
            </c:numRef>
          </c:val>
        </c:ser>
        <c:shape val="cylinder"/>
        <c:axId val="202977664"/>
        <c:axId val="202979584"/>
        <c:axId val="0"/>
      </c:bar3DChart>
      <c:catAx>
        <c:axId val="202977664"/>
        <c:scaling>
          <c:orientation val="minMax"/>
        </c:scaling>
        <c:axPos val="b"/>
        <c:title>
          <c:tx>
            <c:rich>
              <a:bodyPr/>
              <a:lstStyle/>
              <a:p>
                <a:pPr>
                  <a:defRPr/>
                </a:pPr>
                <a:r>
                  <a:rPr lang="en-US"/>
                  <a:t>Campagnes</a:t>
                </a:r>
              </a:p>
            </c:rich>
          </c:tx>
        </c:title>
        <c:tickLblPos val="nextTo"/>
        <c:crossAx val="202979584"/>
        <c:crosses val="autoZero"/>
        <c:auto val="1"/>
        <c:lblAlgn val="ctr"/>
        <c:lblOffset val="100"/>
      </c:catAx>
      <c:valAx>
        <c:axId val="202979584"/>
        <c:scaling>
          <c:orientation val="minMax"/>
        </c:scaling>
        <c:axPos val="l"/>
        <c:title>
          <c:tx>
            <c:rich>
              <a:bodyPr rot="-5400000" vert="horz"/>
              <a:lstStyle/>
              <a:p>
                <a:pPr>
                  <a:defRPr/>
                </a:pPr>
                <a:r>
                  <a:rPr lang="en-US"/>
                  <a:t>Superficie (ha)</a:t>
                </a:r>
              </a:p>
            </c:rich>
          </c:tx>
        </c:title>
        <c:numFmt formatCode="_-* #,##0\ _F_-;\-* #,##0\ _F_-;_-* &quot;-&quot;??\ _F_-;_-@_-" sourceLinked="1"/>
        <c:tickLblPos val="nextTo"/>
        <c:crossAx val="202977664"/>
        <c:crosses val="autoZero"/>
        <c:crossBetween val="between"/>
      </c:valAx>
    </c:plotArea>
    <c:legend>
      <c:legendPos val="r"/>
      <c:layout>
        <c:manualLayout>
          <c:xMode val="edge"/>
          <c:yMode val="edge"/>
          <c:x val="0.81628518566326747"/>
          <c:y val="8.3364144699304005E-2"/>
          <c:w val="0.15967117646306228"/>
          <c:h val="0.85339474075174548"/>
        </c:manualLayout>
      </c:layout>
    </c:legend>
    <c:plotVisOnly val="1"/>
  </c:chart>
  <c:spPr>
    <a:solidFill>
      <a:schemeClr val="lt1"/>
    </a:solidFill>
    <a:ln w="25400" cap="flat" cmpd="sng" algn="ctr">
      <a:solidFill>
        <a:schemeClr val="accent1"/>
      </a:solidFill>
      <a:prstDash val="solid"/>
    </a:ln>
    <a:effectLst/>
  </c:spPr>
  <c:txPr>
    <a:bodyPr/>
    <a:lstStyle/>
    <a:p>
      <a:pPr>
        <a:defRPr b="1">
          <a:solidFill>
            <a:schemeClr val="dk1"/>
          </a:solidFill>
          <a:latin typeface="Times New Roman" pitchFamily="18" charset="0"/>
          <a:ea typeface="+mn-ea"/>
          <a:cs typeface="Times New Roman" pitchFamily="18" charset="0"/>
        </a:defRPr>
      </a:pPr>
      <a:endParaRPr lang="fr-F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Feuil8!$B$55</c:f>
              <c:strCache>
                <c:ptCount val="1"/>
                <c:pt idx="0">
                  <c:v>vgj</c:v>
                </c:pt>
              </c:strCache>
            </c:strRef>
          </c:tx>
          <c:dLbls>
            <c:showVal val="1"/>
          </c:dLbls>
          <c:cat>
            <c:strRef>
              <c:f>Feuil8!$C$54:$F$54</c:f>
              <c:strCache>
                <c:ptCount val="4"/>
                <c:pt idx="0">
                  <c:v>P'1</c:v>
                </c:pt>
                <c:pt idx="1">
                  <c:v>P'2</c:v>
                </c:pt>
                <c:pt idx="2">
                  <c:v>P'3</c:v>
                </c:pt>
                <c:pt idx="3">
                  <c:v>P'4</c:v>
                </c:pt>
              </c:strCache>
            </c:strRef>
          </c:cat>
          <c:val>
            <c:numRef>
              <c:f>Feuil8!$C$55:$F$55</c:f>
              <c:numCache>
                <c:formatCode>General</c:formatCode>
                <c:ptCount val="4"/>
                <c:pt idx="0">
                  <c:v>8.81</c:v>
                </c:pt>
                <c:pt idx="1">
                  <c:v>5.8599999999999985</c:v>
                </c:pt>
                <c:pt idx="2">
                  <c:v>18.14</c:v>
                </c:pt>
                <c:pt idx="3">
                  <c:v>4.5999999999999996</c:v>
                </c:pt>
              </c:numCache>
            </c:numRef>
          </c:val>
        </c:ser>
        <c:dLbls>
          <c:showVal val="1"/>
        </c:dLbls>
        <c:gapWidth val="75"/>
        <c:shape val="cylinder"/>
        <c:axId val="61534976"/>
        <c:axId val="61536896"/>
        <c:axId val="0"/>
      </c:bar3DChart>
      <c:catAx>
        <c:axId val="61534976"/>
        <c:scaling>
          <c:orientation val="minMax"/>
        </c:scaling>
        <c:axPos val="b"/>
        <c:title>
          <c:tx>
            <c:rich>
              <a:bodyPr/>
              <a:lstStyle/>
              <a:p>
                <a:pPr>
                  <a:defRPr/>
                </a:pPr>
                <a:r>
                  <a:rPr lang="en-US"/>
                  <a:t>Population</a:t>
                </a:r>
              </a:p>
            </c:rich>
          </c:tx>
        </c:title>
        <c:majorTickMark val="none"/>
        <c:tickLblPos val="nextTo"/>
        <c:crossAx val="61536896"/>
        <c:crosses val="autoZero"/>
        <c:auto val="1"/>
        <c:lblAlgn val="ctr"/>
        <c:lblOffset val="100"/>
      </c:catAx>
      <c:valAx>
        <c:axId val="61536896"/>
        <c:scaling>
          <c:orientation val="minMax"/>
        </c:scaling>
        <c:axPos val="l"/>
        <c:title>
          <c:tx>
            <c:rich>
              <a:bodyPr rot="-5400000" vert="horz"/>
              <a:lstStyle/>
              <a:p>
                <a:pPr>
                  <a:defRPr/>
                </a:pPr>
                <a:r>
                  <a:rPr lang="en-US"/>
                  <a:t>Vitesse moyenne de germination journalière (NG/J)</a:t>
                </a:r>
              </a:p>
            </c:rich>
          </c:tx>
          <c:layout>
            <c:manualLayout>
              <c:xMode val="edge"/>
              <c:yMode val="edge"/>
              <c:x val="6.1155074365704276E-2"/>
              <c:y val="0.15740740740742487"/>
            </c:manualLayout>
          </c:layout>
        </c:title>
        <c:numFmt formatCode="General" sourceLinked="1"/>
        <c:majorTickMark val="none"/>
        <c:tickLblPos val="nextTo"/>
        <c:crossAx val="61534976"/>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bar3DChart>
        <c:barDir val="col"/>
        <c:grouping val="clustered"/>
        <c:ser>
          <c:idx val="0"/>
          <c:order val="0"/>
          <c:dLbls>
            <c:showVal val="1"/>
          </c:dLbls>
          <c:cat>
            <c:strRef>
              <c:f>Feuil8!$H$10:$K$10</c:f>
              <c:strCache>
                <c:ptCount val="4"/>
                <c:pt idx="0">
                  <c:v>P'1</c:v>
                </c:pt>
                <c:pt idx="1">
                  <c:v>P'2</c:v>
                </c:pt>
                <c:pt idx="2">
                  <c:v>P'3</c:v>
                </c:pt>
                <c:pt idx="3">
                  <c:v>P'4</c:v>
                </c:pt>
              </c:strCache>
            </c:strRef>
          </c:cat>
          <c:val>
            <c:numRef>
              <c:f>Feuil8!$H$11:$K$11</c:f>
              <c:numCache>
                <c:formatCode>General</c:formatCode>
                <c:ptCount val="4"/>
                <c:pt idx="0">
                  <c:v>78.669999999999987</c:v>
                </c:pt>
                <c:pt idx="1">
                  <c:v>53.33</c:v>
                </c:pt>
                <c:pt idx="2">
                  <c:v>92</c:v>
                </c:pt>
                <c:pt idx="3">
                  <c:v>46</c:v>
                </c:pt>
              </c:numCache>
            </c:numRef>
          </c:val>
        </c:ser>
        <c:dLbls>
          <c:showVal val="1"/>
        </c:dLbls>
        <c:gapWidth val="75"/>
        <c:shape val="cylinder"/>
        <c:axId val="61581952"/>
        <c:axId val="61588224"/>
        <c:axId val="0"/>
      </c:bar3DChart>
      <c:catAx>
        <c:axId val="61581952"/>
        <c:scaling>
          <c:orientation val="minMax"/>
        </c:scaling>
        <c:axPos val="b"/>
        <c:title>
          <c:tx>
            <c:rich>
              <a:bodyPr/>
              <a:lstStyle/>
              <a:p>
                <a:pPr>
                  <a:defRPr/>
                </a:pPr>
                <a:r>
                  <a:rPr lang="en-US"/>
                  <a:t>Population</a:t>
                </a:r>
              </a:p>
            </c:rich>
          </c:tx>
        </c:title>
        <c:majorTickMark val="none"/>
        <c:tickLblPos val="nextTo"/>
        <c:crossAx val="61588224"/>
        <c:crosses val="autoZero"/>
        <c:auto val="1"/>
        <c:lblAlgn val="ctr"/>
        <c:lblOffset val="100"/>
      </c:catAx>
      <c:valAx>
        <c:axId val="61588224"/>
        <c:scaling>
          <c:orientation val="minMax"/>
        </c:scaling>
        <c:axPos val="l"/>
        <c:title>
          <c:tx>
            <c:rich>
              <a:bodyPr rot="-5400000" vert="horz"/>
              <a:lstStyle/>
              <a:p>
                <a:pPr>
                  <a:defRPr/>
                </a:pPr>
                <a:r>
                  <a:rPr lang="en-US"/>
                  <a:t>Capacité  moyenne de germination</a:t>
                </a:r>
              </a:p>
            </c:rich>
          </c:tx>
        </c:title>
        <c:numFmt formatCode="General" sourceLinked="1"/>
        <c:majorTickMark val="none"/>
        <c:tickLblPos val="nextTo"/>
        <c:crossAx val="61581952"/>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0.15759759259260475"/>
          <c:y val="7.0105725579068676E-2"/>
          <c:w val="0.82829129629632481"/>
          <c:h val="0.62115735425453056"/>
        </c:manualLayout>
      </c:layout>
      <c:bar3DChart>
        <c:barDir val="col"/>
        <c:grouping val="clustered"/>
        <c:ser>
          <c:idx val="0"/>
          <c:order val="0"/>
          <c:dLbls>
            <c:showVal val="1"/>
          </c:dLbls>
          <c:cat>
            <c:strRef>
              <c:f>Feuil8!$G$34:$J$34</c:f>
              <c:strCache>
                <c:ptCount val="4"/>
                <c:pt idx="0">
                  <c:v>P'1</c:v>
                </c:pt>
                <c:pt idx="1">
                  <c:v>P'2</c:v>
                </c:pt>
                <c:pt idx="2">
                  <c:v>P'3</c:v>
                </c:pt>
                <c:pt idx="3">
                  <c:v>P'4</c:v>
                </c:pt>
              </c:strCache>
            </c:strRef>
          </c:cat>
          <c:val>
            <c:numRef>
              <c:f>Feuil8!$G$35:$J$35</c:f>
              <c:numCache>
                <c:formatCode>General</c:formatCode>
                <c:ptCount val="4"/>
                <c:pt idx="0">
                  <c:v>234.58</c:v>
                </c:pt>
                <c:pt idx="1">
                  <c:v>125.89999999999999</c:v>
                </c:pt>
                <c:pt idx="2">
                  <c:v>536.29000000000053</c:v>
                </c:pt>
                <c:pt idx="3">
                  <c:v>84.36999999999999</c:v>
                </c:pt>
              </c:numCache>
            </c:numRef>
          </c:val>
        </c:ser>
        <c:dLbls>
          <c:showVal val="1"/>
        </c:dLbls>
        <c:gapWidth val="75"/>
        <c:shape val="cylinder"/>
        <c:axId val="61690624"/>
        <c:axId val="61692544"/>
        <c:axId val="0"/>
      </c:bar3DChart>
      <c:catAx>
        <c:axId val="61690624"/>
        <c:scaling>
          <c:orientation val="minMax"/>
        </c:scaling>
        <c:axPos val="b"/>
        <c:title>
          <c:tx>
            <c:rich>
              <a:bodyPr/>
              <a:lstStyle/>
              <a:p>
                <a:pPr>
                  <a:defRPr/>
                </a:pPr>
                <a:r>
                  <a:rPr lang="en-US"/>
                  <a:t>Population</a:t>
                </a:r>
              </a:p>
            </c:rich>
          </c:tx>
        </c:title>
        <c:majorTickMark val="none"/>
        <c:tickLblPos val="nextTo"/>
        <c:crossAx val="61692544"/>
        <c:crosses val="autoZero"/>
        <c:auto val="1"/>
        <c:lblAlgn val="ctr"/>
        <c:lblOffset val="100"/>
      </c:catAx>
      <c:valAx>
        <c:axId val="61692544"/>
        <c:scaling>
          <c:orientation val="minMax"/>
        </c:scaling>
        <c:axPos val="l"/>
        <c:title>
          <c:tx>
            <c:rich>
              <a:bodyPr rot="-5400000" vert="horz"/>
              <a:lstStyle/>
              <a:p>
                <a:pPr>
                  <a:defRPr/>
                </a:pPr>
                <a:r>
                  <a:rPr lang="en-US"/>
                  <a:t>Valeur germinative moyenne</a:t>
                </a:r>
              </a:p>
            </c:rich>
          </c:tx>
          <c:layout>
            <c:manualLayout>
              <c:xMode val="edge"/>
              <c:yMode val="edge"/>
              <c:x val="5.8804629629629734E-2"/>
              <c:y val="0.1297651289165685"/>
            </c:manualLayout>
          </c:layout>
        </c:title>
        <c:numFmt formatCode="General" sourceLinked="1"/>
        <c:majorTickMark val="none"/>
        <c:tickLblPos val="nextTo"/>
        <c:crossAx val="61690624"/>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0.19136969696969697"/>
          <c:y val="0.10185185185185186"/>
          <c:w val="0.80863030303030303"/>
          <c:h val="0.65305555555556993"/>
        </c:manualLayout>
      </c:layout>
      <c:bar3DChart>
        <c:barDir val="col"/>
        <c:grouping val="clustered"/>
        <c:ser>
          <c:idx val="0"/>
          <c:order val="0"/>
          <c:tx>
            <c:strRef>
              <c:f>Feuil4!$C$6</c:f>
              <c:strCache>
                <c:ptCount val="1"/>
                <c:pt idx="0">
                  <c:v>L</c:v>
                </c:pt>
              </c:strCache>
            </c:strRef>
          </c:tx>
          <c:dLbls>
            <c:showVal val="1"/>
          </c:dLbls>
          <c:cat>
            <c:strRef>
              <c:f>Feuil4!$D$5:$G$5</c:f>
              <c:strCache>
                <c:ptCount val="4"/>
                <c:pt idx="0">
                  <c:v>P'1</c:v>
                </c:pt>
                <c:pt idx="1">
                  <c:v>P'2</c:v>
                </c:pt>
                <c:pt idx="2">
                  <c:v>P'3</c:v>
                </c:pt>
                <c:pt idx="3">
                  <c:v>P'4</c:v>
                </c:pt>
              </c:strCache>
            </c:strRef>
          </c:cat>
          <c:val>
            <c:numRef>
              <c:f>Feuil4!$D$6:$G$6</c:f>
              <c:numCache>
                <c:formatCode>General</c:formatCode>
                <c:ptCount val="4"/>
                <c:pt idx="0">
                  <c:v>13.75</c:v>
                </c:pt>
                <c:pt idx="1">
                  <c:v>11.75</c:v>
                </c:pt>
                <c:pt idx="2">
                  <c:v>12.25</c:v>
                </c:pt>
                <c:pt idx="3">
                  <c:v>17</c:v>
                </c:pt>
              </c:numCache>
            </c:numRef>
          </c:val>
        </c:ser>
        <c:ser>
          <c:idx val="1"/>
          <c:order val="1"/>
          <c:tx>
            <c:strRef>
              <c:f>Feuil4!$C$7</c:f>
              <c:strCache>
                <c:ptCount val="1"/>
                <c:pt idx="0">
                  <c:v>PL</c:v>
                </c:pt>
              </c:strCache>
            </c:strRef>
          </c:tx>
          <c:dLbls>
            <c:dLbl>
              <c:idx val="0"/>
              <c:layout>
                <c:manualLayout>
                  <c:x val="1.1759259259259261E-2"/>
                  <c:y val="-2.7995928025335116E-2"/>
                </c:manualLayout>
              </c:layout>
              <c:showVal val="1"/>
            </c:dLbl>
            <c:dLbl>
              <c:idx val="2"/>
              <c:layout>
                <c:manualLayout>
                  <c:x val="2.3518518518518519E-3"/>
                  <c:y val="-2.7995928025335116E-2"/>
                </c:manualLayout>
              </c:layout>
              <c:showVal val="1"/>
            </c:dLbl>
            <c:showVal val="1"/>
          </c:dLbls>
          <c:cat>
            <c:strRef>
              <c:f>Feuil4!$D$5:$G$5</c:f>
              <c:strCache>
                <c:ptCount val="4"/>
                <c:pt idx="0">
                  <c:v>P'1</c:v>
                </c:pt>
                <c:pt idx="1">
                  <c:v>P'2</c:v>
                </c:pt>
                <c:pt idx="2">
                  <c:v>P'3</c:v>
                </c:pt>
                <c:pt idx="3">
                  <c:v>P'4</c:v>
                </c:pt>
              </c:strCache>
            </c:strRef>
          </c:cat>
          <c:val>
            <c:numRef>
              <c:f>Feuil4!$D$7:$G$7</c:f>
              <c:numCache>
                <c:formatCode>General</c:formatCode>
                <c:ptCount val="4"/>
                <c:pt idx="0">
                  <c:v>14.75</c:v>
                </c:pt>
                <c:pt idx="2">
                  <c:v>14.25</c:v>
                </c:pt>
                <c:pt idx="3">
                  <c:v>22.5</c:v>
                </c:pt>
              </c:numCache>
            </c:numRef>
          </c:val>
        </c:ser>
        <c:dLbls>
          <c:showVal val="1"/>
        </c:dLbls>
        <c:gapWidth val="75"/>
        <c:shape val="cylinder"/>
        <c:axId val="61640704"/>
        <c:axId val="61642624"/>
        <c:axId val="0"/>
      </c:bar3DChart>
      <c:catAx>
        <c:axId val="61640704"/>
        <c:scaling>
          <c:orientation val="minMax"/>
        </c:scaling>
        <c:axPos val="b"/>
        <c:title>
          <c:tx>
            <c:rich>
              <a:bodyPr/>
              <a:lstStyle/>
              <a:p>
                <a:pPr>
                  <a:defRPr/>
                </a:pPr>
                <a:r>
                  <a:rPr lang="en-US"/>
                  <a:t>Population</a:t>
                </a:r>
              </a:p>
            </c:rich>
          </c:tx>
        </c:title>
        <c:majorTickMark val="none"/>
        <c:tickLblPos val="nextTo"/>
        <c:crossAx val="61642624"/>
        <c:crosses val="autoZero"/>
        <c:auto val="1"/>
        <c:lblAlgn val="ctr"/>
        <c:lblOffset val="100"/>
      </c:catAx>
      <c:valAx>
        <c:axId val="61642624"/>
        <c:scaling>
          <c:orientation val="minMax"/>
        </c:scaling>
        <c:axPos val="l"/>
        <c:title>
          <c:tx>
            <c:rich>
              <a:bodyPr rot="-5400000" vert="horz"/>
              <a:lstStyle/>
              <a:p>
                <a:pPr>
                  <a:defRPr/>
                </a:pPr>
                <a:r>
                  <a:rPr lang="en-US"/>
                  <a:t>Nombre de jours</a:t>
                </a:r>
              </a:p>
            </c:rich>
          </c:tx>
          <c:layout>
            <c:manualLayout>
              <c:xMode val="edge"/>
              <c:yMode val="edge"/>
              <c:x val="7.0104330708661414E-2"/>
              <c:y val="0.24939997083698268"/>
            </c:manualLayout>
          </c:layout>
        </c:title>
        <c:numFmt formatCode="General" sourceLinked="1"/>
        <c:majorTickMark val="none"/>
        <c:tickLblPos val="nextTo"/>
        <c:crossAx val="61640704"/>
        <c:crosses val="autoZero"/>
        <c:crossBetween val="between"/>
      </c:valAx>
    </c:plotArea>
    <c:legend>
      <c:legendPos val="b"/>
      <c:layout>
        <c:manualLayout>
          <c:xMode val="edge"/>
          <c:yMode val="edge"/>
          <c:x val="0.29560586068465866"/>
          <c:y val="1.4238195473090576E-2"/>
          <c:w val="0.42580219433506061"/>
          <c:h val="0.21729788726904403"/>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Feuil4!$B$21</c:f>
              <c:strCache>
                <c:ptCount val="1"/>
                <c:pt idx="0">
                  <c:v>PL</c:v>
                </c:pt>
              </c:strCache>
            </c:strRef>
          </c:tx>
          <c:dLbls>
            <c:showVal val="1"/>
          </c:dLbls>
          <c:cat>
            <c:strRef>
              <c:f>Feuil4!$C$20:$F$20</c:f>
              <c:strCache>
                <c:ptCount val="4"/>
                <c:pt idx="0">
                  <c:v>P'1</c:v>
                </c:pt>
                <c:pt idx="1">
                  <c:v>P'2</c:v>
                </c:pt>
                <c:pt idx="2">
                  <c:v>P'3</c:v>
                </c:pt>
                <c:pt idx="3">
                  <c:v>P'4</c:v>
                </c:pt>
              </c:strCache>
            </c:strRef>
          </c:cat>
          <c:val>
            <c:numRef>
              <c:f>Feuil4!$C$21:$F$21</c:f>
              <c:numCache>
                <c:formatCode>General</c:formatCode>
                <c:ptCount val="4"/>
                <c:pt idx="0">
                  <c:v>85.940000000000026</c:v>
                </c:pt>
                <c:pt idx="1">
                  <c:v>72.400000000000006</c:v>
                </c:pt>
                <c:pt idx="2">
                  <c:v>81.25</c:v>
                </c:pt>
                <c:pt idx="3">
                  <c:v>80.209999999999994</c:v>
                </c:pt>
              </c:numCache>
            </c:numRef>
          </c:val>
        </c:ser>
        <c:dLbls>
          <c:showVal val="1"/>
        </c:dLbls>
        <c:gapWidth val="75"/>
        <c:shape val="cylinder"/>
        <c:axId val="61667584"/>
        <c:axId val="61743488"/>
        <c:axId val="0"/>
      </c:bar3DChart>
      <c:catAx>
        <c:axId val="61667584"/>
        <c:scaling>
          <c:orientation val="minMax"/>
        </c:scaling>
        <c:axPos val="b"/>
        <c:title>
          <c:tx>
            <c:rich>
              <a:bodyPr/>
              <a:lstStyle/>
              <a:p>
                <a:pPr>
                  <a:defRPr/>
                </a:pPr>
                <a:r>
                  <a:rPr lang="en-US"/>
                  <a:t>Population</a:t>
                </a:r>
              </a:p>
            </c:rich>
          </c:tx>
        </c:title>
        <c:majorTickMark val="none"/>
        <c:tickLblPos val="nextTo"/>
        <c:crossAx val="61743488"/>
        <c:crosses val="autoZero"/>
        <c:auto val="1"/>
        <c:lblAlgn val="ctr"/>
        <c:lblOffset val="100"/>
      </c:catAx>
      <c:valAx>
        <c:axId val="61743488"/>
        <c:scaling>
          <c:orientation val="minMax"/>
        </c:scaling>
        <c:axPos val="l"/>
        <c:title>
          <c:tx>
            <c:rich>
              <a:bodyPr rot="-5400000" vert="horz"/>
              <a:lstStyle/>
              <a:p>
                <a:pPr>
                  <a:defRPr/>
                </a:pPr>
                <a:r>
                  <a:rPr lang="en-US"/>
                  <a:t>Pourcentage  moyen de levée</a:t>
                </a:r>
              </a:p>
            </c:rich>
          </c:tx>
          <c:layout>
            <c:manualLayout>
              <c:xMode val="edge"/>
              <c:yMode val="edge"/>
              <c:x val="6.2386111111114549E-2"/>
              <c:y val="0.15286197649107044"/>
            </c:manualLayout>
          </c:layout>
        </c:title>
        <c:numFmt formatCode="General" sourceLinked="1"/>
        <c:majorTickMark val="none"/>
        <c:tickLblPos val="nextTo"/>
        <c:crossAx val="61667584"/>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7.7694444444444524E-2"/>
          <c:y val="0.14814814814814894"/>
          <c:w val="0.88619444444444462"/>
          <c:h val="0.6970640128317297"/>
        </c:manualLayout>
      </c:layout>
      <c:bar3DChart>
        <c:barDir val="col"/>
        <c:grouping val="clustered"/>
        <c:ser>
          <c:idx val="0"/>
          <c:order val="0"/>
          <c:tx>
            <c:strRef>
              <c:f>Feuil4!$A$23</c:f>
              <c:strCache>
                <c:ptCount val="1"/>
                <c:pt idx="0">
                  <c:v>R</c:v>
                </c:pt>
              </c:strCache>
            </c:strRef>
          </c:tx>
          <c:dLbls>
            <c:showVal val="1"/>
          </c:dLbls>
          <c:cat>
            <c:strRef>
              <c:f>Feuil4!$B$22:$E$22</c:f>
              <c:strCache>
                <c:ptCount val="4"/>
                <c:pt idx="0">
                  <c:v>P'1</c:v>
                </c:pt>
                <c:pt idx="1">
                  <c:v>P'2</c:v>
                </c:pt>
                <c:pt idx="2">
                  <c:v>P'3</c:v>
                </c:pt>
                <c:pt idx="3">
                  <c:v>P'4</c:v>
                </c:pt>
              </c:strCache>
            </c:strRef>
          </c:cat>
          <c:val>
            <c:numRef>
              <c:f>Feuil4!$B$23:$E$23</c:f>
              <c:numCache>
                <c:formatCode>General</c:formatCode>
                <c:ptCount val="4"/>
                <c:pt idx="0">
                  <c:v>32.25</c:v>
                </c:pt>
                <c:pt idx="1">
                  <c:v>30</c:v>
                </c:pt>
                <c:pt idx="2">
                  <c:v>35.25</c:v>
                </c:pt>
                <c:pt idx="3">
                  <c:v>37</c:v>
                </c:pt>
              </c:numCache>
            </c:numRef>
          </c:val>
        </c:ser>
        <c:ser>
          <c:idx val="1"/>
          <c:order val="1"/>
          <c:tx>
            <c:strRef>
              <c:f>Feuil4!$A$24</c:f>
              <c:strCache>
                <c:ptCount val="1"/>
                <c:pt idx="0">
                  <c:v>FB</c:v>
                </c:pt>
              </c:strCache>
            </c:strRef>
          </c:tx>
          <c:dLbls>
            <c:showVal val="1"/>
          </c:dLbls>
          <c:cat>
            <c:strRef>
              <c:f>Feuil4!$B$22:$E$22</c:f>
              <c:strCache>
                <c:ptCount val="4"/>
                <c:pt idx="0">
                  <c:v>P'1</c:v>
                </c:pt>
                <c:pt idx="1">
                  <c:v>P'2</c:v>
                </c:pt>
                <c:pt idx="2">
                  <c:v>P'3</c:v>
                </c:pt>
                <c:pt idx="3">
                  <c:v>P'4</c:v>
                </c:pt>
              </c:strCache>
            </c:strRef>
          </c:cat>
          <c:val>
            <c:numRef>
              <c:f>Feuil4!$B$24:$E$24</c:f>
              <c:numCache>
                <c:formatCode>General</c:formatCode>
                <c:ptCount val="4"/>
                <c:pt idx="0">
                  <c:v>59.5</c:v>
                </c:pt>
                <c:pt idx="1">
                  <c:v>59</c:v>
                </c:pt>
                <c:pt idx="2">
                  <c:v>58.5</c:v>
                </c:pt>
                <c:pt idx="3">
                  <c:v>58.5</c:v>
                </c:pt>
              </c:numCache>
            </c:numRef>
          </c:val>
        </c:ser>
        <c:dLbls>
          <c:showVal val="1"/>
        </c:dLbls>
        <c:gapWidth val="75"/>
        <c:shape val="cylinder"/>
        <c:axId val="61781504"/>
        <c:axId val="61783424"/>
        <c:axId val="0"/>
      </c:bar3DChart>
      <c:catAx>
        <c:axId val="61781504"/>
        <c:scaling>
          <c:orientation val="minMax"/>
        </c:scaling>
        <c:axPos val="b"/>
        <c:title>
          <c:tx>
            <c:rich>
              <a:bodyPr/>
              <a:lstStyle/>
              <a:p>
                <a:pPr>
                  <a:defRPr/>
                </a:pPr>
                <a:r>
                  <a:rPr lang="en-US"/>
                  <a:t>Population</a:t>
                </a:r>
              </a:p>
            </c:rich>
          </c:tx>
          <c:layout>
            <c:manualLayout>
              <c:xMode val="edge"/>
              <c:yMode val="edge"/>
              <c:x val="0.41883420822397238"/>
              <c:y val="0.90636665208515599"/>
            </c:manualLayout>
          </c:layout>
        </c:title>
        <c:majorTickMark val="none"/>
        <c:tickLblPos val="nextTo"/>
        <c:crossAx val="61783424"/>
        <c:crosses val="autoZero"/>
        <c:auto val="1"/>
        <c:lblAlgn val="ctr"/>
        <c:lblOffset val="100"/>
      </c:catAx>
      <c:valAx>
        <c:axId val="61783424"/>
        <c:scaling>
          <c:orientation val="minMax"/>
        </c:scaling>
        <c:axPos val="l"/>
        <c:title>
          <c:tx>
            <c:rich>
              <a:bodyPr rot="-5400000" vert="horz"/>
              <a:lstStyle/>
              <a:p>
                <a:pPr>
                  <a:defRPr/>
                </a:pPr>
                <a:r>
                  <a:rPr lang="en-US"/>
                  <a:t>Nombre</a:t>
                </a:r>
                <a:r>
                  <a:rPr lang="en-US" baseline="0"/>
                  <a:t> </a:t>
                </a:r>
                <a:r>
                  <a:rPr lang="en-US"/>
                  <a:t>moyen  de jours</a:t>
                </a:r>
              </a:p>
            </c:rich>
          </c:tx>
          <c:layout>
            <c:manualLayout>
              <c:xMode val="edge"/>
              <c:yMode val="edge"/>
              <c:x val="1.8404444444444445E-2"/>
              <c:y val="0.17161118216920024"/>
            </c:manualLayout>
          </c:layout>
        </c:title>
        <c:numFmt formatCode="General" sourceLinked="1"/>
        <c:majorTickMark val="none"/>
        <c:tickLblPos val="nextTo"/>
        <c:crossAx val="61781504"/>
        <c:crosses val="autoZero"/>
        <c:crossBetween val="between"/>
      </c:valAx>
    </c:plotArea>
    <c:legend>
      <c:legendPos val="b"/>
      <c:layout>
        <c:manualLayout>
          <c:xMode val="edge"/>
          <c:yMode val="edge"/>
          <c:x val="0.39083070866142638"/>
          <c:y val="4.6462160979877529E-2"/>
          <c:w val="0.24056080489938791"/>
          <c:h val="7.8537839020122513E-2"/>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0.10269444444444679"/>
          <c:y val="0.11574074074074329"/>
          <c:w val="0.87230555555560063"/>
          <c:h val="0.6970640128317297"/>
        </c:manualLayout>
      </c:layout>
      <c:bar3DChart>
        <c:barDir val="col"/>
        <c:grouping val="clustered"/>
        <c:ser>
          <c:idx val="0"/>
          <c:order val="0"/>
          <c:tx>
            <c:strRef>
              <c:f>Feuil4!$A$28</c:f>
              <c:strCache>
                <c:ptCount val="1"/>
                <c:pt idx="0">
                  <c:v>BF</c:v>
                </c:pt>
              </c:strCache>
            </c:strRef>
          </c:tx>
          <c:dLbls>
            <c:showVal val="1"/>
          </c:dLbls>
          <c:cat>
            <c:strRef>
              <c:f>Feuil4!$B$27:$E$27</c:f>
              <c:strCache>
                <c:ptCount val="4"/>
                <c:pt idx="0">
                  <c:v>P'1</c:v>
                </c:pt>
                <c:pt idx="1">
                  <c:v>P'2</c:v>
                </c:pt>
                <c:pt idx="2">
                  <c:v>P'3</c:v>
                </c:pt>
                <c:pt idx="3">
                  <c:v>P'4</c:v>
                </c:pt>
              </c:strCache>
            </c:strRef>
          </c:cat>
          <c:val>
            <c:numRef>
              <c:f>Feuil4!$B$28:$E$28</c:f>
              <c:numCache>
                <c:formatCode>General</c:formatCode>
                <c:ptCount val="4"/>
                <c:pt idx="0">
                  <c:v>77.5</c:v>
                </c:pt>
                <c:pt idx="1">
                  <c:v>76.5</c:v>
                </c:pt>
                <c:pt idx="2">
                  <c:v>76</c:v>
                </c:pt>
                <c:pt idx="3">
                  <c:v>77.5</c:v>
                </c:pt>
              </c:numCache>
            </c:numRef>
          </c:val>
        </c:ser>
        <c:ser>
          <c:idx val="1"/>
          <c:order val="1"/>
          <c:tx>
            <c:strRef>
              <c:f>Feuil4!$A$29</c:f>
              <c:strCache>
                <c:ptCount val="1"/>
                <c:pt idx="0">
                  <c:v>DF</c:v>
                </c:pt>
              </c:strCache>
            </c:strRef>
          </c:tx>
          <c:dLbls>
            <c:showVal val="1"/>
          </c:dLbls>
          <c:cat>
            <c:strRef>
              <c:f>Feuil4!$B$27:$E$27</c:f>
              <c:strCache>
                <c:ptCount val="4"/>
                <c:pt idx="0">
                  <c:v>P'1</c:v>
                </c:pt>
                <c:pt idx="1">
                  <c:v>P'2</c:v>
                </c:pt>
                <c:pt idx="2">
                  <c:v>P'3</c:v>
                </c:pt>
                <c:pt idx="3">
                  <c:v>P'4</c:v>
                </c:pt>
              </c:strCache>
            </c:strRef>
          </c:cat>
          <c:val>
            <c:numRef>
              <c:f>Feuil4!$B$29:$E$29</c:f>
              <c:numCache>
                <c:formatCode>General</c:formatCode>
                <c:ptCount val="4"/>
                <c:pt idx="0">
                  <c:v>90</c:v>
                </c:pt>
                <c:pt idx="1">
                  <c:v>94</c:v>
                </c:pt>
                <c:pt idx="2">
                  <c:v>90</c:v>
                </c:pt>
                <c:pt idx="3">
                  <c:v>94</c:v>
                </c:pt>
              </c:numCache>
            </c:numRef>
          </c:val>
        </c:ser>
        <c:ser>
          <c:idx val="2"/>
          <c:order val="2"/>
          <c:tx>
            <c:strRef>
              <c:f>Feuil4!$A$30</c:f>
              <c:strCache>
                <c:ptCount val="1"/>
                <c:pt idx="0">
                  <c:v>PF</c:v>
                </c:pt>
              </c:strCache>
            </c:strRef>
          </c:tx>
          <c:dLbls>
            <c:showVal val="1"/>
          </c:dLbls>
          <c:cat>
            <c:strRef>
              <c:f>Feuil4!$B$27:$E$27</c:f>
              <c:strCache>
                <c:ptCount val="4"/>
                <c:pt idx="0">
                  <c:v>P'1</c:v>
                </c:pt>
                <c:pt idx="1">
                  <c:v>P'2</c:v>
                </c:pt>
                <c:pt idx="2">
                  <c:v>P'3</c:v>
                </c:pt>
                <c:pt idx="3">
                  <c:v>P'4</c:v>
                </c:pt>
              </c:strCache>
            </c:strRef>
          </c:cat>
          <c:val>
            <c:numRef>
              <c:f>Feuil4!$B$30:$E$30</c:f>
              <c:numCache>
                <c:formatCode>General</c:formatCode>
                <c:ptCount val="4"/>
                <c:pt idx="0">
                  <c:v>101</c:v>
                </c:pt>
                <c:pt idx="1">
                  <c:v>101</c:v>
                </c:pt>
                <c:pt idx="2">
                  <c:v>98</c:v>
                </c:pt>
                <c:pt idx="3">
                  <c:v>101</c:v>
                </c:pt>
              </c:numCache>
            </c:numRef>
          </c:val>
        </c:ser>
        <c:ser>
          <c:idx val="3"/>
          <c:order val="3"/>
          <c:tx>
            <c:strRef>
              <c:f>Feuil4!$A$31</c:f>
              <c:strCache>
                <c:ptCount val="1"/>
                <c:pt idx="0">
                  <c:v>FF</c:v>
                </c:pt>
              </c:strCache>
            </c:strRef>
          </c:tx>
          <c:dLbls>
            <c:showVal val="1"/>
          </c:dLbls>
          <c:cat>
            <c:strRef>
              <c:f>Feuil4!$B$27:$E$27</c:f>
              <c:strCache>
                <c:ptCount val="4"/>
                <c:pt idx="0">
                  <c:v>P'1</c:v>
                </c:pt>
                <c:pt idx="1">
                  <c:v>P'2</c:v>
                </c:pt>
                <c:pt idx="2">
                  <c:v>P'3</c:v>
                </c:pt>
                <c:pt idx="3">
                  <c:v>P'4</c:v>
                </c:pt>
              </c:strCache>
            </c:strRef>
          </c:cat>
          <c:val>
            <c:numRef>
              <c:f>Feuil4!$B$31:$E$31</c:f>
              <c:numCache>
                <c:formatCode>General</c:formatCode>
                <c:ptCount val="4"/>
                <c:pt idx="0">
                  <c:v>146</c:v>
                </c:pt>
                <c:pt idx="1">
                  <c:v>146.5</c:v>
                </c:pt>
                <c:pt idx="2">
                  <c:v>146</c:v>
                </c:pt>
                <c:pt idx="3">
                  <c:v>146.75</c:v>
                </c:pt>
              </c:numCache>
            </c:numRef>
          </c:val>
        </c:ser>
        <c:dLbls>
          <c:showVal val="1"/>
        </c:dLbls>
        <c:gapWidth val="75"/>
        <c:shape val="cylinder"/>
        <c:axId val="61816192"/>
        <c:axId val="61838848"/>
        <c:axId val="0"/>
      </c:bar3DChart>
      <c:catAx>
        <c:axId val="61816192"/>
        <c:scaling>
          <c:orientation val="minMax"/>
        </c:scaling>
        <c:axPos val="b"/>
        <c:title>
          <c:tx>
            <c:rich>
              <a:bodyPr/>
              <a:lstStyle/>
              <a:p>
                <a:pPr>
                  <a:defRPr/>
                </a:pPr>
                <a:r>
                  <a:rPr lang="en-US"/>
                  <a:t>Population</a:t>
                </a:r>
              </a:p>
            </c:rich>
          </c:tx>
          <c:layout>
            <c:manualLayout>
              <c:xMode val="edge"/>
              <c:yMode val="edge"/>
              <c:x val="0.43966325428547692"/>
              <c:y val="0.91493670886072465"/>
            </c:manualLayout>
          </c:layout>
        </c:title>
        <c:majorTickMark val="none"/>
        <c:tickLblPos val="nextTo"/>
        <c:crossAx val="61838848"/>
        <c:crosses val="autoZero"/>
        <c:auto val="1"/>
        <c:lblAlgn val="ctr"/>
        <c:lblOffset val="100"/>
      </c:catAx>
      <c:valAx>
        <c:axId val="61838848"/>
        <c:scaling>
          <c:orientation val="minMax"/>
        </c:scaling>
        <c:axPos val="l"/>
        <c:title>
          <c:tx>
            <c:rich>
              <a:bodyPr rot="-5400000" vert="horz"/>
              <a:lstStyle/>
              <a:p>
                <a:pPr>
                  <a:defRPr/>
                </a:pPr>
                <a:r>
                  <a:rPr lang="en-US"/>
                  <a:t>Nombre moyen de jours</a:t>
                </a:r>
              </a:p>
            </c:rich>
          </c:tx>
          <c:layout>
            <c:manualLayout>
              <c:xMode val="edge"/>
              <c:yMode val="edge"/>
              <c:x val="2.0680943399475012E-2"/>
              <c:y val="0.13961816578483249"/>
            </c:manualLayout>
          </c:layout>
        </c:title>
        <c:numFmt formatCode="General" sourceLinked="1"/>
        <c:majorTickMark val="none"/>
        <c:tickLblPos val="nextTo"/>
        <c:crossAx val="61816192"/>
        <c:crosses val="autoZero"/>
        <c:crossBetween val="between"/>
      </c:valAx>
    </c:plotArea>
    <c:legend>
      <c:legendPos val="b"/>
      <c:layout>
        <c:manualLayout>
          <c:xMode val="edge"/>
          <c:yMode val="edge"/>
          <c:x val="0.21738966685437044"/>
          <c:y val="4.5888567726502983E-4"/>
          <c:w val="0.50984405074365702"/>
          <c:h val="7.8537839020122513E-2"/>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8.3250000000000227E-2"/>
          <c:y val="8.7962962962963548E-2"/>
          <c:w val="0.88619444444444462"/>
          <c:h val="0.6970640128317297"/>
        </c:manualLayout>
      </c:layout>
      <c:bar3DChart>
        <c:barDir val="col"/>
        <c:grouping val="clustered"/>
        <c:ser>
          <c:idx val="0"/>
          <c:order val="0"/>
          <c:tx>
            <c:strRef>
              <c:f>Feuil4!$A$58</c:f>
              <c:strCache>
                <c:ptCount val="1"/>
                <c:pt idx="0">
                  <c:v>ETF</c:v>
                </c:pt>
              </c:strCache>
            </c:strRef>
          </c:tx>
          <c:dLbls>
            <c:showVal val="1"/>
          </c:dLbls>
          <c:cat>
            <c:strRef>
              <c:f>Feuil4!$B$57:$E$57</c:f>
              <c:strCache>
                <c:ptCount val="4"/>
                <c:pt idx="0">
                  <c:v>P'1</c:v>
                </c:pt>
                <c:pt idx="1">
                  <c:v>P'2</c:v>
                </c:pt>
                <c:pt idx="2">
                  <c:v>P'3</c:v>
                </c:pt>
                <c:pt idx="3">
                  <c:v>P'4</c:v>
                </c:pt>
              </c:strCache>
            </c:strRef>
          </c:cat>
          <c:val>
            <c:numRef>
              <c:f>Feuil4!$B$58:$E$58</c:f>
              <c:numCache>
                <c:formatCode>General</c:formatCode>
                <c:ptCount val="4"/>
                <c:pt idx="0">
                  <c:v>52</c:v>
                </c:pt>
                <c:pt idx="1">
                  <c:v>52.5</c:v>
                </c:pt>
                <c:pt idx="2">
                  <c:v>56</c:v>
                </c:pt>
                <c:pt idx="3">
                  <c:v>52.75</c:v>
                </c:pt>
              </c:numCache>
            </c:numRef>
          </c:val>
        </c:ser>
        <c:dLbls>
          <c:showVal val="1"/>
        </c:dLbls>
        <c:gapWidth val="75"/>
        <c:shape val="cylinder"/>
        <c:axId val="69080960"/>
        <c:axId val="69083136"/>
        <c:axId val="0"/>
      </c:bar3DChart>
      <c:catAx>
        <c:axId val="69080960"/>
        <c:scaling>
          <c:orientation val="minMax"/>
        </c:scaling>
        <c:axPos val="b"/>
        <c:title>
          <c:tx>
            <c:rich>
              <a:bodyPr/>
              <a:lstStyle/>
              <a:p>
                <a:pPr>
                  <a:defRPr/>
                </a:pPr>
                <a:r>
                  <a:rPr lang="en-US"/>
                  <a:t>Population</a:t>
                </a:r>
              </a:p>
            </c:rich>
          </c:tx>
        </c:title>
        <c:majorTickMark val="none"/>
        <c:tickLblPos val="nextTo"/>
        <c:crossAx val="69083136"/>
        <c:crosses val="autoZero"/>
        <c:auto val="1"/>
        <c:lblAlgn val="ctr"/>
        <c:lblOffset val="100"/>
      </c:catAx>
      <c:valAx>
        <c:axId val="69083136"/>
        <c:scaling>
          <c:orientation val="minMax"/>
        </c:scaling>
        <c:axPos val="l"/>
        <c:title>
          <c:tx>
            <c:rich>
              <a:bodyPr rot="-5400000" vert="horz"/>
              <a:lstStyle/>
              <a:p>
                <a:pPr>
                  <a:defRPr/>
                </a:pPr>
                <a:r>
                  <a:rPr lang="en-US"/>
                  <a:t>Nombre moyen de jours</a:t>
                </a:r>
              </a:p>
            </c:rich>
          </c:tx>
          <c:layout>
            <c:manualLayout>
              <c:xMode val="edge"/>
              <c:yMode val="edge"/>
              <c:x val="1.588301488137164E-2"/>
              <c:y val="0.15490476190476191"/>
            </c:manualLayout>
          </c:layout>
        </c:title>
        <c:numFmt formatCode="General" sourceLinked="1"/>
        <c:majorTickMark val="none"/>
        <c:tickLblPos val="nextTo"/>
        <c:crossAx val="69080960"/>
        <c:crosses val="autoZero"/>
        <c:crossBetween val="between"/>
      </c:valAx>
    </c:plotArea>
    <c:legend>
      <c:legendPos val="b"/>
      <c:layout>
        <c:manualLayout>
          <c:xMode val="edge"/>
          <c:yMode val="edge"/>
          <c:x val="0.31864234273896808"/>
          <c:y val="4.2298764955874934E-3"/>
          <c:w val="0.22884487377223153"/>
          <c:h val="0.25132108486439197"/>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2819830713422894"/>
          <c:y val="6.3297872340425526E-2"/>
          <c:w val="0.84519951632414636"/>
          <c:h val="0.60177081588205761"/>
        </c:manualLayout>
      </c:layout>
      <c:bar3DChart>
        <c:barDir val="col"/>
        <c:grouping val="clustered"/>
        <c:ser>
          <c:idx val="0"/>
          <c:order val="0"/>
          <c:tx>
            <c:strRef>
              <c:f>Feuil4!$A$35</c:f>
              <c:strCache>
                <c:ptCount val="1"/>
                <c:pt idx="0">
                  <c:v>M</c:v>
                </c:pt>
              </c:strCache>
            </c:strRef>
          </c:tx>
          <c:dLbls>
            <c:showVal val="1"/>
          </c:dLbls>
          <c:cat>
            <c:strRef>
              <c:f>Feuil4!$B$34:$E$34</c:f>
              <c:strCache>
                <c:ptCount val="4"/>
                <c:pt idx="0">
                  <c:v>P'1</c:v>
                </c:pt>
                <c:pt idx="1">
                  <c:v>P'2</c:v>
                </c:pt>
                <c:pt idx="2">
                  <c:v>P'3</c:v>
                </c:pt>
                <c:pt idx="3">
                  <c:v>P'4</c:v>
                </c:pt>
              </c:strCache>
            </c:strRef>
          </c:cat>
          <c:val>
            <c:numRef>
              <c:f>Feuil4!$B$35:$E$35</c:f>
              <c:numCache>
                <c:formatCode>General</c:formatCode>
                <c:ptCount val="4"/>
                <c:pt idx="0">
                  <c:v>155.25</c:v>
                </c:pt>
                <c:pt idx="1">
                  <c:v>155.5</c:v>
                </c:pt>
                <c:pt idx="2">
                  <c:v>152</c:v>
                </c:pt>
                <c:pt idx="3">
                  <c:v>156.5</c:v>
                </c:pt>
              </c:numCache>
            </c:numRef>
          </c:val>
        </c:ser>
        <c:dLbls>
          <c:showVal val="1"/>
        </c:dLbls>
        <c:gapWidth val="75"/>
        <c:shape val="cylinder"/>
        <c:axId val="70996352"/>
        <c:axId val="70998272"/>
        <c:axId val="0"/>
      </c:bar3DChart>
      <c:catAx>
        <c:axId val="70996352"/>
        <c:scaling>
          <c:orientation val="minMax"/>
        </c:scaling>
        <c:axPos val="b"/>
        <c:title>
          <c:tx>
            <c:rich>
              <a:bodyPr/>
              <a:lstStyle/>
              <a:p>
                <a:pPr>
                  <a:defRPr/>
                </a:pPr>
                <a:r>
                  <a:rPr lang="en-US"/>
                  <a:t>Population</a:t>
                </a:r>
              </a:p>
            </c:rich>
          </c:tx>
          <c:layout>
            <c:manualLayout>
              <c:xMode val="edge"/>
              <c:yMode val="edge"/>
              <c:x val="0.38739894700293293"/>
              <c:y val="0.8149922149562"/>
            </c:manualLayout>
          </c:layout>
        </c:title>
        <c:majorTickMark val="none"/>
        <c:tickLblPos val="nextTo"/>
        <c:crossAx val="70998272"/>
        <c:crosses val="autoZero"/>
        <c:auto val="1"/>
        <c:lblAlgn val="ctr"/>
        <c:lblOffset val="100"/>
      </c:catAx>
      <c:valAx>
        <c:axId val="70998272"/>
        <c:scaling>
          <c:orientation val="minMax"/>
        </c:scaling>
        <c:axPos val="l"/>
        <c:title>
          <c:tx>
            <c:rich>
              <a:bodyPr rot="-5400000" vert="horz"/>
              <a:lstStyle/>
              <a:p>
                <a:pPr>
                  <a:defRPr/>
                </a:pPr>
                <a:r>
                  <a:rPr lang="en-US"/>
                  <a:t>Nombre moyen de jours</a:t>
                </a:r>
              </a:p>
            </c:rich>
          </c:tx>
        </c:title>
        <c:numFmt formatCode="General" sourceLinked="1"/>
        <c:majorTickMark val="none"/>
        <c:tickLblPos val="nextTo"/>
        <c:crossAx val="70996352"/>
        <c:crosses val="autoZero"/>
        <c:crossBetween val="between"/>
      </c:valAx>
    </c:plotArea>
    <c:legend>
      <c:legendPos val="b"/>
      <c:layout>
        <c:manualLayout>
          <c:xMode val="edge"/>
          <c:yMode val="edge"/>
          <c:x val="0.49357086614176304"/>
          <c:y val="5.1091790609507172E-2"/>
          <c:w val="6.2858267716535493E-2"/>
          <c:h val="7.8537839020122513E-2"/>
        </c:manualLayout>
      </c:layout>
      <c:txPr>
        <a:bodyPr/>
        <a:lstStyle/>
        <a:p>
          <a:pPr>
            <a:defRPr b="1"/>
          </a:pPr>
          <a:endParaRPr lang="fr-FR"/>
        </a:p>
      </c:txPr>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8.8805555555555568E-2"/>
          <c:y val="0.14351851851851852"/>
          <c:w val="0.88619444444444462"/>
          <c:h val="0.6970640128317297"/>
        </c:manualLayout>
      </c:layout>
      <c:bar3DChart>
        <c:barDir val="col"/>
        <c:grouping val="clustered"/>
        <c:ser>
          <c:idx val="0"/>
          <c:order val="0"/>
          <c:tx>
            <c:strRef>
              <c:f>Feuil4!$A$42</c:f>
              <c:strCache>
                <c:ptCount val="1"/>
                <c:pt idx="0">
                  <c:v>H1</c:v>
                </c:pt>
              </c:strCache>
            </c:strRef>
          </c:tx>
          <c:dLbls>
            <c:showVal val="1"/>
          </c:dLbls>
          <c:cat>
            <c:strRef>
              <c:f>Feuil4!$B$41:$E$41</c:f>
              <c:strCache>
                <c:ptCount val="4"/>
                <c:pt idx="0">
                  <c:v>P'1</c:v>
                </c:pt>
                <c:pt idx="1">
                  <c:v>P'2</c:v>
                </c:pt>
                <c:pt idx="2">
                  <c:v>P'3</c:v>
                </c:pt>
                <c:pt idx="3">
                  <c:v>P'4</c:v>
                </c:pt>
              </c:strCache>
            </c:strRef>
          </c:cat>
          <c:val>
            <c:numRef>
              <c:f>Feuil4!$B$42:$E$42</c:f>
              <c:numCache>
                <c:formatCode>General</c:formatCode>
                <c:ptCount val="4"/>
                <c:pt idx="0">
                  <c:v>8.32</c:v>
                </c:pt>
                <c:pt idx="1">
                  <c:v>6.54</c:v>
                </c:pt>
                <c:pt idx="2">
                  <c:v>12.5</c:v>
                </c:pt>
                <c:pt idx="3">
                  <c:v>9.27</c:v>
                </c:pt>
              </c:numCache>
            </c:numRef>
          </c:val>
        </c:ser>
        <c:ser>
          <c:idx val="1"/>
          <c:order val="1"/>
          <c:tx>
            <c:strRef>
              <c:f>Feuil4!$A$43</c:f>
              <c:strCache>
                <c:ptCount val="1"/>
                <c:pt idx="0">
                  <c:v>H2</c:v>
                </c:pt>
              </c:strCache>
            </c:strRef>
          </c:tx>
          <c:dLbls>
            <c:showVal val="1"/>
          </c:dLbls>
          <c:cat>
            <c:strRef>
              <c:f>Feuil4!$B$41:$E$41</c:f>
              <c:strCache>
                <c:ptCount val="4"/>
                <c:pt idx="0">
                  <c:v>P'1</c:v>
                </c:pt>
                <c:pt idx="1">
                  <c:v>P'2</c:v>
                </c:pt>
                <c:pt idx="2">
                  <c:v>P'3</c:v>
                </c:pt>
                <c:pt idx="3">
                  <c:v>P'4</c:v>
                </c:pt>
              </c:strCache>
            </c:strRef>
          </c:cat>
          <c:val>
            <c:numRef>
              <c:f>Feuil4!$B$43:$E$43</c:f>
              <c:numCache>
                <c:formatCode>General</c:formatCode>
                <c:ptCount val="4"/>
                <c:pt idx="0">
                  <c:v>18.18</c:v>
                </c:pt>
                <c:pt idx="1">
                  <c:v>15.88</c:v>
                </c:pt>
                <c:pt idx="2">
                  <c:v>23.979999999999986</c:v>
                </c:pt>
                <c:pt idx="3">
                  <c:v>19.88</c:v>
                </c:pt>
              </c:numCache>
            </c:numRef>
          </c:val>
        </c:ser>
        <c:ser>
          <c:idx val="2"/>
          <c:order val="2"/>
          <c:tx>
            <c:strRef>
              <c:f>Feuil4!$A$44</c:f>
              <c:strCache>
                <c:ptCount val="1"/>
                <c:pt idx="0">
                  <c:v>H3</c:v>
                </c:pt>
              </c:strCache>
            </c:strRef>
          </c:tx>
          <c:dLbls>
            <c:showVal val="1"/>
          </c:dLbls>
          <c:cat>
            <c:strRef>
              <c:f>Feuil4!$B$41:$E$41</c:f>
              <c:strCache>
                <c:ptCount val="4"/>
                <c:pt idx="0">
                  <c:v>P'1</c:v>
                </c:pt>
                <c:pt idx="1">
                  <c:v>P'2</c:v>
                </c:pt>
                <c:pt idx="2">
                  <c:v>P'3</c:v>
                </c:pt>
                <c:pt idx="3">
                  <c:v>P'4</c:v>
                </c:pt>
              </c:strCache>
            </c:strRef>
          </c:cat>
          <c:val>
            <c:numRef>
              <c:f>Feuil4!$B$44:$E$44</c:f>
              <c:numCache>
                <c:formatCode>General</c:formatCode>
                <c:ptCount val="4"/>
                <c:pt idx="0">
                  <c:v>36.449999999999996</c:v>
                </c:pt>
                <c:pt idx="1">
                  <c:v>35.300000000000004</c:v>
                </c:pt>
                <c:pt idx="2">
                  <c:v>43.120000000000012</c:v>
                </c:pt>
                <c:pt idx="3">
                  <c:v>41.08</c:v>
                </c:pt>
              </c:numCache>
            </c:numRef>
          </c:val>
        </c:ser>
        <c:ser>
          <c:idx val="3"/>
          <c:order val="3"/>
          <c:tx>
            <c:strRef>
              <c:f>Feuil4!$A$45</c:f>
              <c:strCache>
                <c:ptCount val="1"/>
                <c:pt idx="0">
                  <c:v>H4</c:v>
                </c:pt>
              </c:strCache>
            </c:strRef>
          </c:tx>
          <c:dLbls>
            <c:showVal val="1"/>
          </c:dLbls>
          <c:cat>
            <c:strRef>
              <c:f>Feuil4!$B$41:$E$41</c:f>
              <c:strCache>
                <c:ptCount val="4"/>
                <c:pt idx="0">
                  <c:v>P'1</c:v>
                </c:pt>
                <c:pt idx="1">
                  <c:v>P'2</c:v>
                </c:pt>
                <c:pt idx="2">
                  <c:v>P'3</c:v>
                </c:pt>
                <c:pt idx="3">
                  <c:v>P'4</c:v>
                </c:pt>
              </c:strCache>
            </c:strRef>
          </c:cat>
          <c:val>
            <c:numRef>
              <c:f>Feuil4!$B$45:$E$45</c:f>
              <c:numCache>
                <c:formatCode>General</c:formatCode>
                <c:ptCount val="4"/>
                <c:pt idx="0">
                  <c:v>63.3</c:v>
                </c:pt>
                <c:pt idx="1">
                  <c:v>63.93</c:v>
                </c:pt>
                <c:pt idx="2">
                  <c:v>62.8</c:v>
                </c:pt>
                <c:pt idx="3">
                  <c:v>65.55</c:v>
                </c:pt>
              </c:numCache>
            </c:numRef>
          </c:val>
        </c:ser>
        <c:ser>
          <c:idx val="4"/>
          <c:order val="4"/>
          <c:tx>
            <c:strRef>
              <c:f>Feuil4!$A$46</c:f>
              <c:strCache>
                <c:ptCount val="1"/>
                <c:pt idx="0">
                  <c:v>H5</c:v>
                </c:pt>
              </c:strCache>
            </c:strRef>
          </c:tx>
          <c:dLbls>
            <c:dLbl>
              <c:idx val="0"/>
              <c:tx>
                <c:rich>
                  <a:bodyPr/>
                  <a:lstStyle/>
                  <a:p>
                    <a:r>
                      <a:rPr lang="en-US"/>
                      <a:t>78,27</a:t>
                    </a:r>
                  </a:p>
                </c:rich>
              </c:tx>
              <c:showVal val="1"/>
            </c:dLbl>
            <c:dLbl>
              <c:idx val="2"/>
              <c:tx>
                <c:rich>
                  <a:bodyPr/>
                  <a:lstStyle/>
                  <a:p>
                    <a:r>
                      <a:rPr lang="en-US"/>
                      <a:t>74,72</a:t>
                    </a:r>
                  </a:p>
                </c:rich>
              </c:tx>
              <c:showVal val="1"/>
            </c:dLbl>
            <c:showVal val="1"/>
          </c:dLbls>
          <c:cat>
            <c:strRef>
              <c:f>Feuil4!$B$41:$E$41</c:f>
              <c:strCache>
                <c:ptCount val="4"/>
                <c:pt idx="0">
                  <c:v>P'1</c:v>
                </c:pt>
                <c:pt idx="1">
                  <c:v>P'2</c:v>
                </c:pt>
                <c:pt idx="2">
                  <c:v>P'3</c:v>
                </c:pt>
                <c:pt idx="3">
                  <c:v>P'4</c:v>
                </c:pt>
              </c:strCache>
            </c:strRef>
          </c:cat>
          <c:val>
            <c:numRef>
              <c:f>Feuil4!$B$46:$E$46</c:f>
              <c:numCache>
                <c:formatCode>General</c:formatCode>
                <c:ptCount val="4"/>
                <c:pt idx="0">
                  <c:v>78.274999999999991</c:v>
                </c:pt>
                <c:pt idx="1">
                  <c:v>75.8</c:v>
                </c:pt>
                <c:pt idx="2">
                  <c:v>74.724999999999994</c:v>
                </c:pt>
                <c:pt idx="3">
                  <c:v>78.149999999999991</c:v>
                </c:pt>
              </c:numCache>
            </c:numRef>
          </c:val>
        </c:ser>
        <c:dLbls>
          <c:showVal val="1"/>
        </c:dLbls>
        <c:gapWidth val="75"/>
        <c:shape val="cylinder"/>
        <c:axId val="71040384"/>
        <c:axId val="69154304"/>
        <c:axId val="0"/>
      </c:bar3DChart>
      <c:catAx>
        <c:axId val="71040384"/>
        <c:scaling>
          <c:orientation val="minMax"/>
        </c:scaling>
        <c:axPos val="b"/>
        <c:title>
          <c:tx>
            <c:rich>
              <a:bodyPr/>
              <a:lstStyle/>
              <a:p>
                <a:pPr>
                  <a:defRPr/>
                </a:pPr>
                <a:r>
                  <a:rPr lang="en-US"/>
                  <a:t>Population</a:t>
                </a:r>
              </a:p>
            </c:rich>
          </c:tx>
        </c:title>
        <c:majorTickMark val="none"/>
        <c:tickLblPos val="nextTo"/>
        <c:crossAx val="69154304"/>
        <c:crosses val="autoZero"/>
        <c:auto val="1"/>
        <c:lblAlgn val="ctr"/>
        <c:lblOffset val="100"/>
      </c:catAx>
      <c:valAx>
        <c:axId val="69154304"/>
        <c:scaling>
          <c:orientation val="minMax"/>
        </c:scaling>
        <c:axPos val="l"/>
        <c:title>
          <c:tx>
            <c:rich>
              <a:bodyPr rot="-5400000" vert="horz"/>
              <a:lstStyle/>
              <a:p>
                <a:pPr>
                  <a:defRPr/>
                </a:pPr>
                <a:r>
                  <a:rPr lang="en-US"/>
                  <a:t>La huateur moyenne</a:t>
                </a:r>
                <a:r>
                  <a:rPr lang="en-US" baseline="0"/>
                  <a:t> </a:t>
                </a:r>
                <a:r>
                  <a:rPr lang="en-US"/>
                  <a:t> en cm</a:t>
                </a:r>
              </a:p>
            </c:rich>
          </c:tx>
          <c:layout>
            <c:manualLayout>
              <c:xMode val="edge"/>
              <c:yMode val="edge"/>
              <c:x val="1.011208665025597E-2"/>
              <c:y val="0.10072890795627623"/>
            </c:manualLayout>
          </c:layout>
        </c:title>
        <c:numFmt formatCode="General" sourceLinked="1"/>
        <c:majorTickMark val="none"/>
        <c:tickLblPos val="nextTo"/>
        <c:crossAx val="71040384"/>
        <c:crosses val="autoZero"/>
        <c:crossBetween val="between"/>
      </c:valAx>
    </c:plotArea>
    <c:legend>
      <c:legendPos val="b"/>
      <c:layout>
        <c:manualLayout>
          <c:xMode val="edge"/>
          <c:yMode val="edge"/>
          <c:x val="0.31510433070867438"/>
          <c:y val="4.1832531350250134E-2"/>
          <c:w val="0.36979133858267715"/>
          <c:h val="7.8537839020122513E-2"/>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Feuil1!$A$6</c:f>
              <c:strCache>
                <c:ptCount val="1"/>
                <c:pt idx="0">
                  <c:v>Coriandre</c:v>
                </c:pt>
              </c:strCache>
            </c:strRef>
          </c:tx>
          <c:cat>
            <c:strRef>
              <c:f>Feuil1!$B$5:$Q$5</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Feuil1!$B$6:$Q$6</c:f>
              <c:numCache>
                <c:formatCode>_-* #,##0\ _F_-;\-* #,##0\ _F_-;_-* "-"??\ _F_-;_-@_-</c:formatCode>
                <c:ptCount val="16"/>
                <c:pt idx="0">
                  <c:v>574</c:v>
                </c:pt>
                <c:pt idx="1">
                  <c:v>546</c:v>
                </c:pt>
                <c:pt idx="2">
                  <c:v>458</c:v>
                </c:pt>
                <c:pt idx="3">
                  <c:v>706</c:v>
                </c:pt>
                <c:pt idx="4">
                  <c:v>675</c:v>
                </c:pt>
                <c:pt idx="5">
                  <c:v>720</c:v>
                </c:pt>
                <c:pt idx="6">
                  <c:v>215</c:v>
                </c:pt>
                <c:pt idx="7">
                  <c:v>215</c:v>
                </c:pt>
                <c:pt idx="8">
                  <c:v>815</c:v>
                </c:pt>
                <c:pt idx="9">
                  <c:v>774</c:v>
                </c:pt>
                <c:pt idx="10">
                  <c:v>915</c:v>
                </c:pt>
                <c:pt idx="11">
                  <c:v>366</c:v>
                </c:pt>
                <c:pt idx="12">
                  <c:v>366</c:v>
                </c:pt>
                <c:pt idx="13">
                  <c:v>147</c:v>
                </c:pt>
                <c:pt idx="14">
                  <c:v>164</c:v>
                </c:pt>
                <c:pt idx="15" formatCode="General">
                  <c:v>262</c:v>
                </c:pt>
              </c:numCache>
            </c:numRef>
          </c:val>
        </c:ser>
        <c:ser>
          <c:idx val="1"/>
          <c:order val="1"/>
          <c:tx>
            <c:strRef>
              <c:f>Feuil1!$A$7</c:f>
              <c:strCache>
                <c:ptCount val="1"/>
                <c:pt idx="0">
                  <c:v>Anis</c:v>
                </c:pt>
              </c:strCache>
            </c:strRef>
          </c:tx>
          <c:cat>
            <c:strRef>
              <c:f>Feuil1!$B$5:$Q$5</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Feuil1!$B$7:$Q$7</c:f>
              <c:numCache>
                <c:formatCode>_-* #,##0\ _F_-;\-* #,##0\ _F_-;_-* "-"??\ _F_-;_-@_-</c:formatCode>
                <c:ptCount val="16"/>
                <c:pt idx="0">
                  <c:v>68</c:v>
                </c:pt>
                <c:pt idx="1">
                  <c:v>206</c:v>
                </c:pt>
                <c:pt idx="2">
                  <c:v>184</c:v>
                </c:pt>
                <c:pt idx="3">
                  <c:v>231</c:v>
                </c:pt>
                <c:pt idx="4">
                  <c:v>181</c:v>
                </c:pt>
                <c:pt idx="5">
                  <c:v>152</c:v>
                </c:pt>
                <c:pt idx="6">
                  <c:v>148</c:v>
                </c:pt>
                <c:pt idx="7">
                  <c:v>165</c:v>
                </c:pt>
                <c:pt idx="8">
                  <c:v>183</c:v>
                </c:pt>
                <c:pt idx="9">
                  <c:v>290</c:v>
                </c:pt>
                <c:pt idx="10">
                  <c:v>297</c:v>
                </c:pt>
                <c:pt idx="11">
                  <c:v>169</c:v>
                </c:pt>
                <c:pt idx="12">
                  <c:v>244</c:v>
                </c:pt>
                <c:pt idx="13">
                  <c:v>196</c:v>
                </c:pt>
                <c:pt idx="14">
                  <c:v>220</c:v>
                </c:pt>
                <c:pt idx="15" formatCode="General">
                  <c:v>255</c:v>
                </c:pt>
              </c:numCache>
            </c:numRef>
          </c:val>
        </c:ser>
        <c:ser>
          <c:idx val="2"/>
          <c:order val="2"/>
          <c:tx>
            <c:strRef>
              <c:f>Feuil1!$A$8</c:f>
              <c:strCache>
                <c:ptCount val="1"/>
                <c:pt idx="0">
                  <c:v>Cumun vert</c:v>
                </c:pt>
              </c:strCache>
            </c:strRef>
          </c:tx>
          <c:cat>
            <c:strRef>
              <c:f>Feuil1!$B$5:$Q$5</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Feuil1!$B$8:$Q$8</c:f>
              <c:numCache>
                <c:formatCode>_-* #,##0\ _F_-;\-* #,##0\ _F_-;_-* "-"??\ _F_-;_-@_-</c:formatCode>
                <c:ptCount val="16"/>
                <c:pt idx="0">
                  <c:v>22</c:v>
                </c:pt>
                <c:pt idx="1">
                  <c:v>20</c:v>
                </c:pt>
                <c:pt idx="2">
                  <c:v>24</c:v>
                </c:pt>
                <c:pt idx="3">
                  <c:v>48</c:v>
                </c:pt>
                <c:pt idx="4">
                  <c:v>24</c:v>
                </c:pt>
                <c:pt idx="5">
                  <c:v>20</c:v>
                </c:pt>
                <c:pt idx="6">
                  <c:v>20</c:v>
                </c:pt>
                <c:pt idx="7">
                  <c:v>0</c:v>
                </c:pt>
                <c:pt idx="8">
                  <c:v>20</c:v>
                </c:pt>
                <c:pt idx="9">
                  <c:v>20</c:v>
                </c:pt>
                <c:pt idx="10">
                  <c:v>0</c:v>
                </c:pt>
                <c:pt idx="11">
                  <c:v>0</c:v>
                </c:pt>
                <c:pt idx="12">
                  <c:v>0</c:v>
                </c:pt>
                <c:pt idx="13">
                  <c:v>0</c:v>
                </c:pt>
                <c:pt idx="14">
                  <c:v>0</c:v>
                </c:pt>
                <c:pt idx="15" formatCode="General">
                  <c:v>0</c:v>
                </c:pt>
              </c:numCache>
            </c:numRef>
          </c:val>
        </c:ser>
        <c:ser>
          <c:idx val="3"/>
          <c:order val="3"/>
          <c:tx>
            <c:strRef>
              <c:f>Feuil1!$A$9</c:f>
              <c:strCache>
                <c:ptCount val="1"/>
                <c:pt idx="0">
                  <c:v>Fenugrec</c:v>
                </c:pt>
              </c:strCache>
            </c:strRef>
          </c:tx>
          <c:cat>
            <c:strRef>
              <c:f>Feuil1!$B$5:$Q$5</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Feuil1!$B$9:$Q$9</c:f>
              <c:numCache>
                <c:formatCode>_-* #,##0\ _F_-;\-* #,##0\ _F_-;_-* "-"??\ _F_-;_-@_-</c:formatCode>
                <c:ptCount val="16"/>
                <c:pt idx="0">
                  <c:v>210</c:v>
                </c:pt>
                <c:pt idx="1">
                  <c:v>204</c:v>
                </c:pt>
                <c:pt idx="2">
                  <c:v>242</c:v>
                </c:pt>
                <c:pt idx="3">
                  <c:v>220</c:v>
                </c:pt>
                <c:pt idx="4">
                  <c:v>240</c:v>
                </c:pt>
                <c:pt idx="5">
                  <c:v>120</c:v>
                </c:pt>
                <c:pt idx="6">
                  <c:v>128</c:v>
                </c:pt>
                <c:pt idx="7">
                  <c:v>120</c:v>
                </c:pt>
                <c:pt idx="8">
                  <c:v>183</c:v>
                </c:pt>
                <c:pt idx="9">
                  <c:v>100</c:v>
                </c:pt>
                <c:pt idx="10">
                  <c:v>142</c:v>
                </c:pt>
                <c:pt idx="11">
                  <c:v>54</c:v>
                </c:pt>
                <c:pt idx="12">
                  <c:v>144</c:v>
                </c:pt>
                <c:pt idx="13">
                  <c:v>60</c:v>
                </c:pt>
                <c:pt idx="14">
                  <c:v>75</c:v>
                </c:pt>
                <c:pt idx="15" formatCode="General">
                  <c:v>90</c:v>
                </c:pt>
              </c:numCache>
            </c:numRef>
          </c:val>
        </c:ser>
        <c:ser>
          <c:idx val="4"/>
          <c:order val="4"/>
          <c:tx>
            <c:strRef>
              <c:f>Feuil1!$A$10</c:f>
              <c:strCache>
                <c:ptCount val="1"/>
                <c:pt idx="0">
                  <c:v>Carvi</c:v>
                </c:pt>
              </c:strCache>
            </c:strRef>
          </c:tx>
          <c:cat>
            <c:strRef>
              <c:f>Feuil1!$B$5:$Q$5</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Feuil1!$B$10:$Q$10</c:f>
              <c:numCache>
                <c:formatCode>_-* #,##0\ _F_-;\-* #,##0\ _F_-;_-* "-"??\ _F_-;_-@_-</c:formatCode>
                <c:ptCount val="16"/>
                <c:pt idx="0">
                  <c:v>10</c:v>
                </c:pt>
                <c:pt idx="1">
                  <c:v>8</c:v>
                </c:pt>
                <c:pt idx="2">
                  <c:v>18</c:v>
                </c:pt>
                <c:pt idx="3">
                  <c:v>37</c:v>
                </c:pt>
                <c:pt idx="4">
                  <c:v>0</c:v>
                </c:pt>
                <c:pt idx="5">
                  <c:v>0</c:v>
                </c:pt>
                <c:pt idx="6">
                  <c:v>12</c:v>
                </c:pt>
                <c:pt idx="7">
                  <c:v>0</c:v>
                </c:pt>
                <c:pt idx="8">
                  <c:v>20</c:v>
                </c:pt>
                <c:pt idx="9">
                  <c:v>18</c:v>
                </c:pt>
                <c:pt idx="10">
                  <c:v>13.5</c:v>
                </c:pt>
                <c:pt idx="11">
                  <c:v>24</c:v>
                </c:pt>
                <c:pt idx="12">
                  <c:v>10</c:v>
                </c:pt>
                <c:pt idx="13">
                  <c:v>0</c:v>
                </c:pt>
                <c:pt idx="14">
                  <c:v>0</c:v>
                </c:pt>
                <c:pt idx="15" formatCode="General">
                  <c:v>0</c:v>
                </c:pt>
              </c:numCache>
            </c:numRef>
          </c:val>
        </c:ser>
        <c:ser>
          <c:idx val="5"/>
          <c:order val="5"/>
          <c:tx>
            <c:strRef>
              <c:f>Feuil1!$A$11</c:f>
              <c:strCache>
                <c:ptCount val="1"/>
                <c:pt idx="0">
                  <c:v>Cumun </c:v>
                </c:pt>
              </c:strCache>
            </c:strRef>
          </c:tx>
          <c:cat>
            <c:strRef>
              <c:f>Feuil1!$B$5:$Q$5</c:f>
              <c:strCache>
                <c:ptCount val="16"/>
                <c:pt idx="0">
                  <c:v>1993/1994</c:v>
                </c:pt>
                <c:pt idx="1">
                  <c:v>1994/1995</c:v>
                </c:pt>
                <c:pt idx="2">
                  <c:v>1995/1996</c:v>
                </c:pt>
                <c:pt idx="3">
                  <c:v>1996/1997</c:v>
                </c:pt>
                <c:pt idx="4">
                  <c:v>1997/1998</c:v>
                </c:pt>
                <c:pt idx="5">
                  <c:v>1998/1999</c:v>
                </c:pt>
                <c:pt idx="6">
                  <c:v>1999/2000</c:v>
                </c:pt>
                <c:pt idx="7">
                  <c:v>2000/2001</c:v>
                </c:pt>
                <c:pt idx="8">
                  <c:v>2001/2002</c:v>
                </c:pt>
                <c:pt idx="9">
                  <c:v>2002/2003</c:v>
                </c:pt>
                <c:pt idx="10">
                  <c:v>2003/2004</c:v>
                </c:pt>
                <c:pt idx="11">
                  <c:v>2004/2005</c:v>
                </c:pt>
                <c:pt idx="12">
                  <c:v>2005/2006</c:v>
                </c:pt>
                <c:pt idx="13">
                  <c:v>2006/2007</c:v>
                </c:pt>
                <c:pt idx="14">
                  <c:v>2007/2008</c:v>
                </c:pt>
                <c:pt idx="15">
                  <c:v>2008/2009</c:v>
                </c:pt>
              </c:strCache>
            </c:strRef>
          </c:cat>
          <c:val>
            <c:numRef>
              <c:f>Feuil1!$B$11:$Q$11</c:f>
              <c:numCache>
                <c:formatCode>_-* #,##0\ _F_-;\-* #,##0\ _F_-;_-* "-"??\ _F_-;_-@_-</c:formatCode>
                <c:ptCount val="16"/>
                <c:pt idx="0">
                  <c:v>102</c:v>
                </c:pt>
                <c:pt idx="1">
                  <c:v>70</c:v>
                </c:pt>
                <c:pt idx="2">
                  <c:v>116</c:v>
                </c:pt>
                <c:pt idx="3">
                  <c:v>160</c:v>
                </c:pt>
                <c:pt idx="4">
                  <c:v>156</c:v>
                </c:pt>
                <c:pt idx="5">
                  <c:v>18</c:v>
                </c:pt>
                <c:pt idx="6">
                  <c:v>18</c:v>
                </c:pt>
                <c:pt idx="7">
                  <c:v>60</c:v>
                </c:pt>
                <c:pt idx="8">
                  <c:v>88</c:v>
                </c:pt>
                <c:pt idx="9">
                  <c:v>92</c:v>
                </c:pt>
                <c:pt idx="10">
                  <c:v>679</c:v>
                </c:pt>
                <c:pt idx="11">
                  <c:v>30</c:v>
                </c:pt>
                <c:pt idx="12">
                  <c:v>84</c:v>
                </c:pt>
                <c:pt idx="13">
                  <c:v>30</c:v>
                </c:pt>
                <c:pt idx="14">
                  <c:v>30</c:v>
                </c:pt>
                <c:pt idx="15" formatCode="General">
                  <c:v>60</c:v>
                </c:pt>
              </c:numCache>
            </c:numRef>
          </c:val>
        </c:ser>
        <c:shape val="cylinder"/>
        <c:axId val="203008256"/>
        <c:axId val="203014528"/>
        <c:axId val="0"/>
      </c:bar3DChart>
      <c:catAx>
        <c:axId val="203008256"/>
        <c:scaling>
          <c:orientation val="minMax"/>
        </c:scaling>
        <c:axPos val="b"/>
        <c:title>
          <c:tx>
            <c:rich>
              <a:bodyPr/>
              <a:lstStyle/>
              <a:p>
                <a:pPr>
                  <a:defRPr/>
                </a:pPr>
                <a:r>
                  <a:rPr lang="en-US"/>
                  <a:t>Campagnes</a:t>
                </a:r>
              </a:p>
            </c:rich>
          </c:tx>
        </c:title>
        <c:tickLblPos val="nextTo"/>
        <c:crossAx val="203014528"/>
        <c:crosses val="autoZero"/>
        <c:auto val="1"/>
        <c:lblAlgn val="ctr"/>
        <c:lblOffset val="100"/>
      </c:catAx>
      <c:valAx>
        <c:axId val="203014528"/>
        <c:scaling>
          <c:orientation val="minMax"/>
        </c:scaling>
        <c:axPos val="l"/>
        <c:title>
          <c:tx>
            <c:rich>
              <a:bodyPr rot="-5400000" vert="horz"/>
              <a:lstStyle/>
              <a:p>
                <a:pPr>
                  <a:defRPr/>
                </a:pPr>
                <a:r>
                  <a:rPr lang="fr-FR"/>
                  <a:t>Production (Qx)</a:t>
                </a:r>
              </a:p>
            </c:rich>
          </c:tx>
        </c:title>
        <c:numFmt formatCode="_-* #,##0\ _F_-;\-* #,##0\ _F_-;_-* &quot;-&quot;??\ _F_-;_-@_-" sourceLinked="1"/>
        <c:tickLblPos val="nextTo"/>
        <c:crossAx val="203008256"/>
        <c:crosses val="autoZero"/>
        <c:crossBetween val="between"/>
      </c:valAx>
    </c:plotArea>
    <c:legend>
      <c:legendPos val="r"/>
      <c:layout>
        <c:manualLayout>
          <c:xMode val="edge"/>
          <c:yMode val="edge"/>
          <c:x val="0.78682844972247323"/>
          <c:y val="0.16587926509186371"/>
          <c:w val="0.19926044490340444"/>
          <c:h val="0.59397141094415074"/>
        </c:manualLayout>
      </c:layout>
    </c:legend>
    <c:plotVisOnly val="1"/>
  </c:chart>
  <c:spPr>
    <a:solidFill>
      <a:schemeClr val="lt1"/>
    </a:solidFill>
    <a:ln w="25400" cap="flat" cmpd="sng" algn="ctr">
      <a:solidFill>
        <a:schemeClr val="accent1"/>
      </a:solidFill>
      <a:prstDash val="solid"/>
    </a:ln>
    <a:effectLst/>
  </c:spPr>
  <c:txPr>
    <a:bodyPr/>
    <a:lstStyle/>
    <a:p>
      <a:pPr>
        <a:defRPr b="1">
          <a:solidFill>
            <a:schemeClr val="dk1"/>
          </a:solidFill>
          <a:latin typeface="Times New Roman" pitchFamily="18" charset="0"/>
          <a:ea typeface="+mn-ea"/>
          <a:cs typeface="Times New Roman" pitchFamily="18" charset="0"/>
        </a:defRPr>
      </a:pPr>
      <a:endParaRPr lang="fr-FR"/>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Feuil4!$B$33</c:f>
              <c:strCache>
                <c:ptCount val="1"/>
                <c:pt idx="0">
                  <c:v>vg</c:v>
                </c:pt>
              </c:strCache>
            </c:strRef>
          </c:tx>
          <c:dLbls>
            <c:dLbl>
              <c:idx val="0"/>
              <c:layout>
                <c:manualLayout>
                  <c:x val="-4.4994375703037133E-3"/>
                  <c:y val="-2.9268292682927292E-2"/>
                </c:manualLayout>
              </c:layout>
              <c:showVal val="1"/>
            </c:dLbl>
            <c:dLbl>
              <c:idx val="1"/>
              <c:layout>
                <c:manualLayout>
                  <c:x val="-2.2497187851518692E-3"/>
                  <c:y val="-1.9512195121951223E-2"/>
                </c:manualLayout>
              </c:layout>
              <c:showVal val="1"/>
            </c:dLbl>
            <c:dLbl>
              <c:idx val="2"/>
              <c:layout>
                <c:manualLayout>
                  <c:x val="-4.4994375703036734E-3"/>
                  <c:y val="-4.3902439024392434E-2"/>
                </c:manualLayout>
              </c:layout>
              <c:showVal val="1"/>
            </c:dLbl>
            <c:dLbl>
              <c:idx val="3"/>
              <c:layout>
                <c:manualLayout>
                  <c:x val="4.4994375703037133E-3"/>
                  <c:y val="-4.3902439024392434E-2"/>
                </c:manualLayout>
              </c:layout>
              <c:showVal val="1"/>
            </c:dLbl>
            <c:showVal val="1"/>
          </c:dLbls>
          <c:cat>
            <c:strRef>
              <c:f>Feuil4!$C$32:$F$32</c:f>
              <c:strCache>
                <c:ptCount val="4"/>
                <c:pt idx="0">
                  <c:v>P'1</c:v>
                </c:pt>
                <c:pt idx="1">
                  <c:v>P'2</c:v>
                </c:pt>
                <c:pt idx="2">
                  <c:v>P'3</c:v>
                </c:pt>
                <c:pt idx="3">
                  <c:v>P'4</c:v>
                </c:pt>
              </c:strCache>
            </c:strRef>
          </c:cat>
          <c:val>
            <c:numRef>
              <c:f>Feuil4!$C$33:$F$33</c:f>
              <c:numCache>
                <c:formatCode>General</c:formatCode>
                <c:ptCount val="4"/>
                <c:pt idx="0">
                  <c:v>2.4899999999999998</c:v>
                </c:pt>
                <c:pt idx="1">
                  <c:v>2.4699999999999998</c:v>
                </c:pt>
                <c:pt idx="2">
                  <c:v>2.2200000000000002</c:v>
                </c:pt>
                <c:pt idx="3">
                  <c:v>2.46</c:v>
                </c:pt>
              </c:numCache>
            </c:numRef>
          </c:val>
        </c:ser>
        <c:dLbls>
          <c:showVal val="1"/>
        </c:dLbls>
        <c:gapWidth val="75"/>
        <c:shape val="cylinder"/>
        <c:axId val="69203840"/>
        <c:axId val="73351168"/>
        <c:axId val="0"/>
      </c:bar3DChart>
      <c:catAx>
        <c:axId val="69203840"/>
        <c:scaling>
          <c:orientation val="minMax"/>
        </c:scaling>
        <c:axPos val="b"/>
        <c:title>
          <c:tx>
            <c:rich>
              <a:bodyPr/>
              <a:lstStyle/>
              <a:p>
                <a:pPr>
                  <a:defRPr/>
                </a:pPr>
                <a:r>
                  <a:rPr lang="en-US"/>
                  <a:t>Population</a:t>
                </a:r>
              </a:p>
            </c:rich>
          </c:tx>
        </c:title>
        <c:majorTickMark val="none"/>
        <c:tickLblPos val="nextTo"/>
        <c:crossAx val="73351168"/>
        <c:crosses val="autoZero"/>
        <c:auto val="1"/>
        <c:lblAlgn val="ctr"/>
        <c:lblOffset val="100"/>
      </c:catAx>
      <c:valAx>
        <c:axId val="73351168"/>
        <c:scaling>
          <c:orientation val="minMax"/>
        </c:scaling>
        <c:axPos val="l"/>
        <c:title>
          <c:tx>
            <c:rich>
              <a:bodyPr rot="-5400000" vert="horz"/>
              <a:lstStyle/>
              <a:p>
                <a:pPr>
                  <a:defRPr/>
                </a:pPr>
                <a:r>
                  <a:rPr lang="en-US"/>
                  <a:t>Vitesse</a:t>
                </a:r>
                <a:r>
                  <a:rPr lang="en-US" baseline="0"/>
                  <a:t> moyenne </a:t>
                </a:r>
                <a:r>
                  <a:rPr lang="en-US"/>
                  <a:t>de croissance en hauteur (cm/j)</a:t>
                </a:r>
              </a:p>
            </c:rich>
          </c:tx>
          <c:layout>
            <c:manualLayout>
              <c:xMode val="edge"/>
              <c:yMode val="edge"/>
              <c:x val="4.5904189914998964E-2"/>
              <c:y val="9.7294724736776098E-2"/>
            </c:manualLayout>
          </c:layout>
        </c:title>
        <c:numFmt formatCode="General" sourceLinked="1"/>
        <c:majorTickMark val="none"/>
        <c:tickLblPos val="nextTo"/>
        <c:crossAx val="69203840"/>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Feuil4!$A$54</c:f>
              <c:strCache>
                <c:ptCount val="1"/>
                <c:pt idx="0">
                  <c:v>NBRP</c:v>
                </c:pt>
              </c:strCache>
            </c:strRef>
          </c:tx>
          <c:dLbls>
            <c:showVal val="1"/>
          </c:dLbls>
          <c:cat>
            <c:strRef>
              <c:f>Feuil4!$B$53:$E$53</c:f>
              <c:strCache>
                <c:ptCount val="4"/>
                <c:pt idx="0">
                  <c:v>P'1</c:v>
                </c:pt>
                <c:pt idx="1">
                  <c:v>P'2</c:v>
                </c:pt>
                <c:pt idx="2">
                  <c:v>P'3</c:v>
                </c:pt>
                <c:pt idx="3">
                  <c:v>P'4</c:v>
                </c:pt>
              </c:strCache>
            </c:strRef>
          </c:cat>
          <c:val>
            <c:numRef>
              <c:f>Feuil4!$B$54:$E$54</c:f>
              <c:numCache>
                <c:formatCode>General</c:formatCode>
                <c:ptCount val="4"/>
                <c:pt idx="0">
                  <c:v>16.95</c:v>
                </c:pt>
                <c:pt idx="1">
                  <c:v>17.52</c:v>
                </c:pt>
                <c:pt idx="2">
                  <c:v>19.170000000000005</c:v>
                </c:pt>
                <c:pt idx="3">
                  <c:v>15.47</c:v>
                </c:pt>
              </c:numCache>
            </c:numRef>
          </c:val>
        </c:ser>
        <c:dLbls>
          <c:showVal val="1"/>
        </c:dLbls>
        <c:gapWidth val="75"/>
        <c:shape val="cylinder"/>
        <c:axId val="73358336"/>
        <c:axId val="73389952"/>
        <c:axId val="0"/>
      </c:bar3DChart>
      <c:catAx>
        <c:axId val="73358336"/>
        <c:scaling>
          <c:orientation val="minMax"/>
        </c:scaling>
        <c:axPos val="b"/>
        <c:title>
          <c:tx>
            <c:rich>
              <a:bodyPr/>
              <a:lstStyle/>
              <a:p>
                <a:pPr>
                  <a:defRPr/>
                </a:pPr>
                <a:r>
                  <a:rPr lang="en-US"/>
                  <a:t>Population</a:t>
                </a:r>
              </a:p>
            </c:rich>
          </c:tx>
        </c:title>
        <c:majorTickMark val="none"/>
        <c:tickLblPos val="nextTo"/>
        <c:crossAx val="73389952"/>
        <c:crosses val="autoZero"/>
        <c:auto val="1"/>
        <c:lblAlgn val="ctr"/>
        <c:lblOffset val="100"/>
      </c:catAx>
      <c:valAx>
        <c:axId val="73389952"/>
        <c:scaling>
          <c:orientation val="minMax"/>
        </c:scaling>
        <c:axPos val="l"/>
        <c:title>
          <c:tx>
            <c:rich>
              <a:bodyPr rot="-5400000" vert="horz"/>
              <a:lstStyle/>
              <a:p>
                <a:pPr>
                  <a:defRPr/>
                </a:pPr>
                <a:r>
                  <a:rPr lang="en-US"/>
                  <a:t>Nombre moyen de branches par plant</a:t>
                </a:r>
              </a:p>
            </c:rich>
          </c:tx>
        </c:title>
        <c:numFmt formatCode="General" sourceLinked="1"/>
        <c:majorTickMark val="none"/>
        <c:tickLblPos val="nextTo"/>
        <c:crossAx val="73358336"/>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4595041322314051"/>
          <c:y val="6.6480446927374301E-2"/>
          <c:w val="0.82807556080283351"/>
          <c:h val="0.66083798882681566"/>
        </c:manualLayout>
      </c:layout>
      <c:bar3DChart>
        <c:barDir val="col"/>
        <c:grouping val="clustered"/>
        <c:ser>
          <c:idx val="0"/>
          <c:order val="0"/>
          <c:tx>
            <c:strRef>
              <c:f>Feuil4!$A$59</c:f>
              <c:strCache>
                <c:ptCount val="1"/>
                <c:pt idx="0">
                  <c:v>NMCP</c:v>
                </c:pt>
              </c:strCache>
            </c:strRef>
          </c:tx>
          <c:dLbls>
            <c:showVal val="1"/>
          </c:dLbls>
          <c:cat>
            <c:strRef>
              <c:f>Feuil4!$B$58:$E$58</c:f>
              <c:strCache>
                <c:ptCount val="4"/>
                <c:pt idx="0">
                  <c:v>P'1</c:v>
                </c:pt>
                <c:pt idx="1">
                  <c:v>P'2</c:v>
                </c:pt>
                <c:pt idx="2">
                  <c:v>P'3</c:v>
                </c:pt>
                <c:pt idx="3">
                  <c:v>P'4</c:v>
                </c:pt>
              </c:strCache>
            </c:strRef>
          </c:cat>
          <c:val>
            <c:numRef>
              <c:f>Feuil4!$B$59:$E$59</c:f>
              <c:numCache>
                <c:formatCode>General</c:formatCode>
                <c:ptCount val="4"/>
                <c:pt idx="0">
                  <c:v>45.4</c:v>
                </c:pt>
                <c:pt idx="1">
                  <c:v>51.05</c:v>
                </c:pt>
                <c:pt idx="2">
                  <c:v>83.13</c:v>
                </c:pt>
                <c:pt idx="3">
                  <c:v>46.5</c:v>
                </c:pt>
              </c:numCache>
            </c:numRef>
          </c:val>
        </c:ser>
        <c:dLbls>
          <c:showVal val="1"/>
        </c:dLbls>
        <c:gapWidth val="75"/>
        <c:shape val="cylinder"/>
        <c:axId val="73959296"/>
        <c:axId val="73969664"/>
        <c:axId val="0"/>
      </c:bar3DChart>
      <c:catAx>
        <c:axId val="73959296"/>
        <c:scaling>
          <c:orientation val="minMax"/>
        </c:scaling>
        <c:axPos val="b"/>
        <c:title>
          <c:tx>
            <c:rich>
              <a:bodyPr/>
              <a:lstStyle/>
              <a:p>
                <a:pPr>
                  <a:defRPr/>
                </a:pPr>
                <a:r>
                  <a:rPr lang="en-US"/>
                  <a:t>Population</a:t>
                </a:r>
              </a:p>
            </c:rich>
          </c:tx>
          <c:layout>
            <c:manualLayout>
              <c:xMode val="edge"/>
              <c:yMode val="edge"/>
              <c:x val="0.39741449674166129"/>
              <c:y val="0.86973914573527467"/>
            </c:manualLayout>
          </c:layout>
        </c:title>
        <c:majorTickMark val="none"/>
        <c:tickLblPos val="nextTo"/>
        <c:crossAx val="73969664"/>
        <c:crosses val="autoZero"/>
        <c:auto val="1"/>
        <c:lblAlgn val="ctr"/>
        <c:lblOffset val="100"/>
      </c:catAx>
      <c:valAx>
        <c:axId val="73969664"/>
        <c:scaling>
          <c:orientation val="minMax"/>
        </c:scaling>
        <c:axPos val="l"/>
        <c:title>
          <c:tx>
            <c:rich>
              <a:bodyPr rot="-5400000" vert="horz"/>
              <a:lstStyle/>
              <a:p>
                <a:pPr>
                  <a:defRPr/>
                </a:pPr>
                <a:r>
                  <a:rPr lang="en-US"/>
                  <a:t>Nombre moyen de</a:t>
                </a:r>
                <a:r>
                  <a:rPr lang="en-US" baseline="0"/>
                  <a:t> </a:t>
                </a:r>
                <a:r>
                  <a:rPr lang="en-US"/>
                  <a:t>capitules par plants</a:t>
                </a:r>
              </a:p>
            </c:rich>
          </c:tx>
        </c:title>
        <c:numFmt formatCode="General" sourceLinked="1"/>
        <c:majorTickMark val="none"/>
        <c:tickLblPos val="nextTo"/>
        <c:crossAx val="73959296"/>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Feuil4!$A$81</c:f>
              <c:strCache>
                <c:ptCount val="1"/>
                <c:pt idx="0">
                  <c:v>NMCB</c:v>
                </c:pt>
              </c:strCache>
            </c:strRef>
          </c:tx>
          <c:dLbls>
            <c:dLbl>
              <c:idx val="0"/>
              <c:layout>
                <c:manualLayout>
                  <c:x val="9.5579450418160228E-3"/>
                  <c:y val="-4.687541010498688E-2"/>
                </c:manualLayout>
              </c:layout>
              <c:showVal val="1"/>
            </c:dLbl>
            <c:dLbl>
              <c:idx val="1"/>
              <c:layout>
                <c:manualLayout>
                  <c:x val="0"/>
                  <c:y val="-4.1666666666666664E-2"/>
                </c:manualLayout>
              </c:layout>
              <c:showVal val="1"/>
            </c:dLbl>
            <c:dLbl>
              <c:idx val="2"/>
              <c:layout>
                <c:manualLayout>
                  <c:x val="2.3894862604540092E-3"/>
                  <c:y val="-2.6041666666668052E-2"/>
                </c:manualLayout>
              </c:layout>
              <c:showVal val="1"/>
            </c:dLbl>
            <c:dLbl>
              <c:idx val="3"/>
              <c:layout>
                <c:manualLayout>
                  <c:x val="0"/>
                  <c:y val="-3.6458333333333336E-2"/>
                </c:manualLayout>
              </c:layout>
              <c:showVal val="1"/>
            </c:dLbl>
            <c:showVal val="1"/>
          </c:dLbls>
          <c:cat>
            <c:strRef>
              <c:f>Feuil4!$B$80:$E$80</c:f>
              <c:strCache>
                <c:ptCount val="4"/>
                <c:pt idx="0">
                  <c:v>P'1</c:v>
                </c:pt>
                <c:pt idx="1">
                  <c:v>P'2</c:v>
                </c:pt>
                <c:pt idx="2">
                  <c:v>P'3</c:v>
                </c:pt>
                <c:pt idx="3">
                  <c:v>P'4</c:v>
                </c:pt>
              </c:strCache>
            </c:strRef>
          </c:cat>
          <c:val>
            <c:numRef>
              <c:f>Feuil4!$B$81:$E$81</c:f>
              <c:numCache>
                <c:formatCode>General</c:formatCode>
                <c:ptCount val="4"/>
                <c:pt idx="0">
                  <c:v>2.57</c:v>
                </c:pt>
                <c:pt idx="1">
                  <c:v>2.8099999999999987</c:v>
                </c:pt>
                <c:pt idx="2">
                  <c:v>4.26</c:v>
                </c:pt>
                <c:pt idx="3">
                  <c:v>2.94</c:v>
                </c:pt>
              </c:numCache>
            </c:numRef>
          </c:val>
        </c:ser>
        <c:dLbls>
          <c:showVal val="1"/>
        </c:dLbls>
        <c:gapWidth val="75"/>
        <c:shape val="cylinder"/>
        <c:axId val="73990144"/>
        <c:axId val="73992064"/>
        <c:axId val="0"/>
      </c:bar3DChart>
      <c:catAx>
        <c:axId val="73990144"/>
        <c:scaling>
          <c:orientation val="minMax"/>
        </c:scaling>
        <c:axPos val="b"/>
        <c:title>
          <c:tx>
            <c:rich>
              <a:bodyPr/>
              <a:lstStyle/>
              <a:p>
                <a:pPr>
                  <a:defRPr/>
                </a:pPr>
                <a:r>
                  <a:rPr lang="en-US"/>
                  <a:t>Population</a:t>
                </a:r>
              </a:p>
            </c:rich>
          </c:tx>
        </c:title>
        <c:majorTickMark val="none"/>
        <c:tickLblPos val="nextTo"/>
        <c:crossAx val="73992064"/>
        <c:crosses val="autoZero"/>
        <c:auto val="1"/>
        <c:lblAlgn val="ctr"/>
        <c:lblOffset val="100"/>
      </c:catAx>
      <c:valAx>
        <c:axId val="73992064"/>
        <c:scaling>
          <c:orientation val="minMax"/>
        </c:scaling>
        <c:axPos val="l"/>
        <c:title>
          <c:tx>
            <c:rich>
              <a:bodyPr rot="-5400000" vert="horz"/>
              <a:lstStyle/>
              <a:p>
                <a:pPr>
                  <a:defRPr/>
                </a:pPr>
                <a:r>
                  <a:rPr lang="en-US"/>
                  <a:t>Nombre moyn de</a:t>
                </a:r>
                <a:r>
                  <a:rPr lang="en-US" baseline="0"/>
                  <a:t> </a:t>
                </a:r>
                <a:r>
                  <a:rPr lang="en-US"/>
                  <a:t>capitules par branche</a:t>
                </a:r>
              </a:p>
            </c:rich>
          </c:tx>
        </c:title>
        <c:numFmt formatCode="General" sourceLinked="1"/>
        <c:majorTickMark val="none"/>
        <c:tickLblPos val="nextTo"/>
        <c:crossAx val="73990144"/>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Feuil4!$A$64</c:f>
              <c:strCache>
                <c:ptCount val="1"/>
                <c:pt idx="0">
                  <c:v>PCP</c:v>
                </c:pt>
              </c:strCache>
            </c:strRef>
          </c:tx>
          <c:dLbls>
            <c:dLbl>
              <c:idx val="0"/>
              <c:layout>
                <c:manualLayout>
                  <c:x val="2.3612750885478591E-3"/>
                  <c:y val="-3.6082474226804086E-2"/>
                </c:manualLayout>
              </c:layout>
              <c:showVal val="1"/>
            </c:dLbl>
            <c:dLbl>
              <c:idx val="1"/>
              <c:layout>
                <c:manualLayout>
                  <c:x val="0"/>
                  <c:y val="-2.5773195876288651E-2"/>
                </c:manualLayout>
              </c:layout>
              <c:showVal val="1"/>
            </c:dLbl>
            <c:dLbl>
              <c:idx val="2"/>
              <c:layout>
                <c:manualLayout>
                  <c:x val="2.3612750885477294E-3"/>
                  <c:y val="-4.6391752577319555E-2"/>
                </c:manualLayout>
              </c:layout>
              <c:showVal val="1"/>
            </c:dLbl>
            <c:dLbl>
              <c:idx val="3"/>
              <c:layout>
                <c:manualLayout>
                  <c:x val="-7.0838252656435534E-3"/>
                  <c:y val="-4.1237113402061855E-2"/>
                </c:manualLayout>
              </c:layout>
              <c:showVal val="1"/>
            </c:dLbl>
            <c:showVal val="1"/>
          </c:dLbls>
          <c:cat>
            <c:strRef>
              <c:f>Feuil4!$B$63:$E$63</c:f>
              <c:strCache>
                <c:ptCount val="4"/>
                <c:pt idx="0">
                  <c:v>P'1</c:v>
                </c:pt>
                <c:pt idx="1">
                  <c:v>P'2</c:v>
                </c:pt>
                <c:pt idx="2">
                  <c:v>P'3</c:v>
                </c:pt>
                <c:pt idx="3">
                  <c:v>P'4</c:v>
                </c:pt>
              </c:strCache>
            </c:strRef>
          </c:cat>
          <c:val>
            <c:numRef>
              <c:f>Feuil4!$B$64:$E$64</c:f>
              <c:numCache>
                <c:formatCode>General</c:formatCode>
                <c:ptCount val="4"/>
                <c:pt idx="0">
                  <c:v>133.53</c:v>
                </c:pt>
                <c:pt idx="1">
                  <c:v>155.25</c:v>
                </c:pt>
                <c:pt idx="2">
                  <c:v>156.83000000000001</c:v>
                </c:pt>
                <c:pt idx="3">
                  <c:v>136.44999999999999</c:v>
                </c:pt>
              </c:numCache>
            </c:numRef>
          </c:val>
        </c:ser>
        <c:dLbls>
          <c:showVal val="1"/>
        </c:dLbls>
        <c:gapWidth val="75"/>
        <c:shape val="cylinder"/>
        <c:axId val="74045312"/>
        <c:axId val="74907648"/>
        <c:axId val="0"/>
      </c:bar3DChart>
      <c:catAx>
        <c:axId val="74045312"/>
        <c:scaling>
          <c:orientation val="minMax"/>
        </c:scaling>
        <c:axPos val="b"/>
        <c:title>
          <c:tx>
            <c:rich>
              <a:bodyPr/>
              <a:lstStyle/>
              <a:p>
                <a:pPr>
                  <a:defRPr/>
                </a:pPr>
                <a:r>
                  <a:rPr lang="en-US"/>
                  <a:t>Population</a:t>
                </a:r>
              </a:p>
            </c:rich>
          </c:tx>
          <c:layout>
            <c:manualLayout>
              <c:xMode val="edge"/>
              <c:yMode val="edge"/>
              <c:x val="0.43699058278872188"/>
              <c:y val="0.84504139946424262"/>
            </c:manualLayout>
          </c:layout>
        </c:title>
        <c:majorTickMark val="none"/>
        <c:tickLblPos val="nextTo"/>
        <c:crossAx val="74907648"/>
        <c:crosses val="autoZero"/>
        <c:auto val="1"/>
        <c:lblAlgn val="ctr"/>
        <c:lblOffset val="100"/>
      </c:catAx>
      <c:valAx>
        <c:axId val="74907648"/>
        <c:scaling>
          <c:orientation val="minMax"/>
        </c:scaling>
        <c:axPos val="l"/>
        <c:title>
          <c:tx>
            <c:rich>
              <a:bodyPr rot="-5400000" vert="horz"/>
              <a:lstStyle/>
              <a:p>
                <a:pPr>
                  <a:defRPr/>
                </a:pPr>
                <a:r>
                  <a:rPr lang="en-US"/>
                  <a:t>poids moyen de capitules par plants en (g) </a:t>
                </a:r>
              </a:p>
              <a:p>
                <a:pPr>
                  <a:defRPr/>
                </a:pPr>
                <a:endParaRPr lang="en-US"/>
              </a:p>
            </c:rich>
          </c:tx>
        </c:title>
        <c:numFmt formatCode="General" sourceLinked="1"/>
        <c:majorTickMark val="none"/>
        <c:tickLblPos val="nextTo"/>
        <c:crossAx val="74045312"/>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Feuil4!$A$67</c:f>
              <c:strCache>
                <c:ptCount val="1"/>
                <c:pt idx="0">
                  <c:v>PCP</c:v>
                </c:pt>
              </c:strCache>
            </c:strRef>
          </c:tx>
          <c:dLbls>
            <c:dLbl>
              <c:idx val="0"/>
              <c:layout>
                <c:manualLayout>
                  <c:x val="-2.1905805038335202E-3"/>
                  <c:y val="-3.6630036630036632E-2"/>
                </c:manualLayout>
              </c:layout>
              <c:showVal val="1"/>
            </c:dLbl>
            <c:dLbl>
              <c:idx val="1"/>
              <c:layout>
                <c:manualLayout>
                  <c:x val="2.1905805038335202E-3"/>
                  <c:y val="-3.2967032967032975E-2"/>
                </c:manualLayout>
              </c:layout>
              <c:showVal val="1"/>
            </c:dLbl>
            <c:dLbl>
              <c:idx val="2"/>
              <c:layout>
                <c:manualLayout>
                  <c:x val="2.1905805038335202E-3"/>
                  <c:y val="-2.5641025641027052E-2"/>
                </c:manualLayout>
              </c:layout>
              <c:showVal val="1"/>
            </c:dLbl>
            <c:dLbl>
              <c:idx val="3"/>
              <c:layout>
                <c:manualLayout>
                  <c:x val="0"/>
                  <c:y val="-2.9304029304029304E-2"/>
                </c:manualLayout>
              </c:layout>
              <c:showVal val="1"/>
            </c:dLbl>
            <c:showVal val="1"/>
          </c:dLbls>
          <c:cat>
            <c:strRef>
              <c:f>Feuil4!$B$66:$E$66</c:f>
              <c:strCache>
                <c:ptCount val="4"/>
                <c:pt idx="0">
                  <c:v>P'1</c:v>
                </c:pt>
                <c:pt idx="1">
                  <c:v>P'2</c:v>
                </c:pt>
                <c:pt idx="2">
                  <c:v>P'3</c:v>
                </c:pt>
                <c:pt idx="3">
                  <c:v>P'4</c:v>
                </c:pt>
              </c:strCache>
            </c:strRef>
          </c:cat>
          <c:val>
            <c:numRef>
              <c:f>Feuil4!$B$67:$E$67</c:f>
              <c:numCache>
                <c:formatCode>General</c:formatCode>
                <c:ptCount val="4"/>
                <c:pt idx="0">
                  <c:v>6.8199999999999985</c:v>
                </c:pt>
                <c:pt idx="1">
                  <c:v>7.52</c:v>
                </c:pt>
                <c:pt idx="2">
                  <c:v>7.6</c:v>
                </c:pt>
                <c:pt idx="3">
                  <c:v>7.6</c:v>
                </c:pt>
              </c:numCache>
            </c:numRef>
          </c:val>
        </c:ser>
        <c:dLbls>
          <c:showVal val="1"/>
        </c:dLbls>
        <c:gapWidth val="75"/>
        <c:shape val="cylinder"/>
        <c:axId val="74928128"/>
        <c:axId val="74930048"/>
        <c:axId val="0"/>
      </c:bar3DChart>
      <c:catAx>
        <c:axId val="74928128"/>
        <c:scaling>
          <c:orientation val="minMax"/>
        </c:scaling>
        <c:axPos val="b"/>
        <c:title>
          <c:tx>
            <c:rich>
              <a:bodyPr/>
              <a:lstStyle/>
              <a:p>
                <a:pPr>
                  <a:defRPr/>
                </a:pPr>
                <a:r>
                  <a:rPr lang="en-US"/>
                  <a:t>Population</a:t>
                </a:r>
              </a:p>
            </c:rich>
          </c:tx>
          <c:layout>
            <c:manualLayout>
              <c:xMode val="edge"/>
              <c:yMode val="edge"/>
              <c:x val="0.43060585937163132"/>
              <c:y val="0.8800325920798362"/>
            </c:manualLayout>
          </c:layout>
        </c:title>
        <c:majorTickMark val="none"/>
        <c:tickLblPos val="nextTo"/>
        <c:crossAx val="74930048"/>
        <c:crosses val="autoZero"/>
        <c:auto val="1"/>
        <c:lblAlgn val="ctr"/>
        <c:lblOffset val="100"/>
      </c:catAx>
      <c:valAx>
        <c:axId val="74930048"/>
        <c:scaling>
          <c:orientation val="minMax"/>
        </c:scaling>
        <c:axPos val="l"/>
        <c:title>
          <c:tx>
            <c:rich>
              <a:bodyPr rot="-5400000" vert="horz"/>
              <a:lstStyle/>
              <a:p>
                <a:pPr>
                  <a:defRPr/>
                </a:pPr>
                <a:r>
                  <a:rPr lang="en-US"/>
                  <a:t>Poids moyen de</a:t>
                </a:r>
                <a:endParaRPr lang="en-US" baseline="0"/>
              </a:p>
              <a:p>
                <a:pPr>
                  <a:defRPr/>
                </a:pPr>
                <a:r>
                  <a:rPr lang="en-US" baseline="0"/>
                  <a:t> </a:t>
                </a:r>
                <a:r>
                  <a:rPr lang="en-US"/>
                  <a:t>fleurs</a:t>
                </a:r>
                <a:r>
                  <a:rPr lang="en-US" baseline="0"/>
                  <a:t> </a:t>
                </a:r>
                <a:r>
                  <a:rPr lang="en-US"/>
                  <a:t> par plant en (g)</a:t>
                </a:r>
                <a:r>
                  <a:rPr lang="en-US" baseline="0"/>
                  <a:t> </a:t>
                </a:r>
                <a:r>
                  <a:rPr lang="en-US"/>
                  <a:t> </a:t>
                </a:r>
              </a:p>
              <a:p>
                <a:pPr>
                  <a:defRPr/>
                </a:pPr>
                <a:endParaRPr lang="en-US"/>
              </a:p>
            </c:rich>
          </c:tx>
        </c:title>
        <c:numFmt formatCode="General" sourceLinked="1"/>
        <c:majorTickMark val="none"/>
        <c:tickLblPos val="nextTo"/>
        <c:crossAx val="74928128"/>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6.3705907277285409E-2"/>
          <c:y val="9.2592592592594766E-2"/>
          <c:w val="0.89740528229935379"/>
          <c:h val="0.73683652469577665"/>
        </c:manualLayout>
      </c:layout>
      <c:bar3DChart>
        <c:barDir val="col"/>
        <c:grouping val="clustered"/>
        <c:ser>
          <c:idx val="0"/>
          <c:order val="0"/>
          <c:tx>
            <c:strRef>
              <c:f>Feuil4!$A$75</c:f>
              <c:strCache>
                <c:ptCount val="1"/>
                <c:pt idx="0">
                  <c:v>LC</c:v>
                </c:pt>
              </c:strCache>
            </c:strRef>
          </c:tx>
          <c:dLbls>
            <c:showVal val="1"/>
          </c:dLbls>
          <c:cat>
            <c:strRef>
              <c:f>Feuil4!$B$74:$E$74</c:f>
              <c:strCache>
                <c:ptCount val="4"/>
                <c:pt idx="0">
                  <c:v>P'1</c:v>
                </c:pt>
                <c:pt idx="1">
                  <c:v>P'2</c:v>
                </c:pt>
                <c:pt idx="2">
                  <c:v>P'3</c:v>
                </c:pt>
                <c:pt idx="3">
                  <c:v>P'4</c:v>
                </c:pt>
              </c:strCache>
            </c:strRef>
          </c:cat>
          <c:val>
            <c:numRef>
              <c:f>Feuil4!$B$75:$E$75</c:f>
              <c:numCache>
                <c:formatCode>General</c:formatCode>
                <c:ptCount val="4"/>
                <c:pt idx="0">
                  <c:v>21.979999999999986</c:v>
                </c:pt>
                <c:pt idx="1">
                  <c:v>22.39</c:v>
                </c:pt>
                <c:pt idx="2">
                  <c:v>23.05</c:v>
                </c:pt>
                <c:pt idx="3">
                  <c:v>21.51</c:v>
                </c:pt>
              </c:numCache>
            </c:numRef>
          </c:val>
        </c:ser>
        <c:ser>
          <c:idx val="1"/>
          <c:order val="1"/>
          <c:tx>
            <c:strRef>
              <c:f>Feuil4!$A$76</c:f>
              <c:strCache>
                <c:ptCount val="1"/>
                <c:pt idx="0">
                  <c:v>DC</c:v>
                </c:pt>
              </c:strCache>
            </c:strRef>
          </c:tx>
          <c:dLbls>
            <c:showVal val="1"/>
          </c:dLbls>
          <c:cat>
            <c:strRef>
              <c:f>Feuil4!$B$74:$E$74</c:f>
              <c:strCache>
                <c:ptCount val="4"/>
                <c:pt idx="0">
                  <c:v>P'1</c:v>
                </c:pt>
                <c:pt idx="1">
                  <c:v>P'2</c:v>
                </c:pt>
                <c:pt idx="2">
                  <c:v>P'3</c:v>
                </c:pt>
                <c:pt idx="3">
                  <c:v>P'4</c:v>
                </c:pt>
              </c:strCache>
            </c:strRef>
          </c:cat>
          <c:val>
            <c:numRef>
              <c:f>Feuil4!$B$76:$E$76</c:f>
              <c:numCache>
                <c:formatCode>General</c:formatCode>
                <c:ptCount val="4"/>
                <c:pt idx="0">
                  <c:v>32.480000000000004</c:v>
                </c:pt>
                <c:pt idx="1">
                  <c:v>30.32</c:v>
                </c:pt>
                <c:pt idx="2">
                  <c:v>24.939999999999987</c:v>
                </c:pt>
                <c:pt idx="3">
                  <c:v>30.939999999999987</c:v>
                </c:pt>
              </c:numCache>
            </c:numRef>
          </c:val>
        </c:ser>
        <c:dLbls>
          <c:showVal val="1"/>
        </c:dLbls>
        <c:gapWidth val="75"/>
        <c:shape val="cylinder"/>
        <c:axId val="74947584"/>
        <c:axId val="74953856"/>
        <c:axId val="0"/>
      </c:bar3DChart>
      <c:catAx>
        <c:axId val="74947584"/>
        <c:scaling>
          <c:orientation val="minMax"/>
        </c:scaling>
        <c:axPos val="b"/>
        <c:title>
          <c:tx>
            <c:rich>
              <a:bodyPr/>
              <a:lstStyle/>
              <a:p>
                <a:pPr>
                  <a:defRPr/>
                </a:pPr>
                <a:r>
                  <a:rPr lang="en-US"/>
                  <a:t>Population</a:t>
                </a:r>
              </a:p>
            </c:rich>
          </c:tx>
        </c:title>
        <c:majorTickMark val="none"/>
        <c:tickLblPos val="nextTo"/>
        <c:crossAx val="74953856"/>
        <c:crosses val="autoZero"/>
        <c:auto val="1"/>
        <c:lblAlgn val="ctr"/>
        <c:lblOffset val="100"/>
      </c:catAx>
      <c:valAx>
        <c:axId val="74953856"/>
        <c:scaling>
          <c:orientation val="minMax"/>
        </c:scaling>
        <c:axPos val="l"/>
        <c:numFmt formatCode="General" sourceLinked="1"/>
        <c:majorTickMark val="none"/>
        <c:tickLblPos val="nextTo"/>
        <c:crossAx val="74947584"/>
        <c:crosses val="autoZero"/>
        <c:crossBetween val="between"/>
      </c:valAx>
    </c:plotArea>
    <c:legend>
      <c:legendPos val="b"/>
      <c:layout>
        <c:manualLayout>
          <c:xMode val="edge"/>
          <c:yMode val="edge"/>
          <c:x val="0.31121391076115484"/>
          <c:y val="1.8684383202099763E-2"/>
          <c:w val="0.29423862642169729"/>
          <c:h val="7.8537839020122513E-2"/>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8.8805555555555568E-2"/>
          <c:y val="0.12037037037037036"/>
          <c:w val="0.88619444444444462"/>
          <c:h val="0.6970640128317297"/>
        </c:manualLayout>
      </c:layout>
      <c:bar3DChart>
        <c:barDir val="col"/>
        <c:grouping val="clustered"/>
        <c:ser>
          <c:idx val="0"/>
          <c:order val="0"/>
          <c:tx>
            <c:strRef>
              <c:f>Feuil4!$A$101</c:f>
              <c:strCache>
                <c:ptCount val="1"/>
                <c:pt idx="0">
                  <c:v>NGRSC</c:v>
                </c:pt>
              </c:strCache>
            </c:strRef>
          </c:tx>
          <c:dLbls>
            <c:showVal val="1"/>
          </c:dLbls>
          <c:cat>
            <c:strRef>
              <c:f>Feuil4!$B$100:$E$100</c:f>
              <c:strCache>
                <c:ptCount val="4"/>
                <c:pt idx="0">
                  <c:v>P'1</c:v>
                </c:pt>
                <c:pt idx="1">
                  <c:v>P'2</c:v>
                </c:pt>
                <c:pt idx="2">
                  <c:v>P'3</c:v>
                </c:pt>
                <c:pt idx="3">
                  <c:v>P'4</c:v>
                </c:pt>
              </c:strCache>
            </c:strRef>
          </c:cat>
          <c:val>
            <c:numRef>
              <c:f>Feuil4!$B$101:$E$101</c:f>
              <c:numCache>
                <c:formatCode>General</c:formatCode>
                <c:ptCount val="4"/>
                <c:pt idx="0">
                  <c:v>51.48</c:v>
                </c:pt>
                <c:pt idx="1">
                  <c:v>56.949999999999996</c:v>
                </c:pt>
                <c:pt idx="2">
                  <c:v>33.9</c:v>
                </c:pt>
                <c:pt idx="3">
                  <c:v>37.92</c:v>
                </c:pt>
              </c:numCache>
            </c:numRef>
          </c:val>
        </c:ser>
        <c:ser>
          <c:idx val="1"/>
          <c:order val="1"/>
          <c:tx>
            <c:strRef>
              <c:f>Feuil4!$A$102</c:f>
              <c:strCache>
                <c:ptCount val="1"/>
                <c:pt idx="0">
                  <c:v>NGRIC</c:v>
                </c:pt>
              </c:strCache>
            </c:strRef>
          </c:tx>
          <c:dLbls>
            <c:showVal val="1"/>
          </c:dLbls>
          <c:cat>
            <c:strRef>
              <c:f>Feuil4!$B$100:$E$100</c:f>
              <c:strCache>
                <c:ptCount val="4"/>
                <c:pt idx="0">
                  <c:v>P'1</c:v>
                </c:pt>
                <c:pt idx="1">
                  <c:v>P'2</c:v>
                </c:pt>
                <c:pt idx="2">
                  <c:v>P'3</c:v>
                </c:pt>
                <c:pt idx="3">
                  <c:v>P'4</c:v>
                </c:pt>
              </c:strCache>
            </c:strRef>
          </c:cat>
          <c:val>
            <c:numRef>
              <c:f>Feuil4!$B$102:$E$102</c:f>
              <c:numCache>
                <c:formatCode>General</c:formatCode>
                <c:ptCount val="4"/>
                <c:pt idx="0">
                  <c:v>3.92</c:v>
                </c:pt>
                <c:pt idx="1">
                  <c:v>4.38</c:v>
                </c:pt>
                <c:pt idx="2">
                  <c:v>0.93</c:v>
                </c:pt>
                <c:pt idx="3">
                  <c:v>2.8</c:v>
                </c:pt>
              </c:numCache>
            </c:numRef>
          </c:val>
        </c:ser>
        <c:ser>
          <c:idx val="2"/>
          <c:order val="2"/>
          <c:tx>
            <c:strRef>
              <c:f>Feuil4!$A$103</c:f>
              <c:strCache>
                <c:ptCount val="1"/>
                <c:pt idx="0">
                  <c:v>NGREC</c:v>
                </c:pt>
              </c:strCache>
            </c:strRef>
          </c:tx>
          <c:dLbls>
            <c:showVal val="1"/>
          </c:dLbls>
          <c:cat>
            <c:strRef>
              <c:f>Feuil4!$B$100:$E$100</c:f>
              <c:strCache>
                <c:ptCount val="4"/>
                <c:pt idx="0">
                  <c:v>P'1</c:v>
                </c:pt>
                <c:pt idx="1">
                  <c:v>P'2</c:v>
                </c:pt>
                <c:pt idx="2">
                  <c:v>P'3</c:v>
                </c:pt>
                <c:pt idx="3">
                  <c:v>P'4</c:v>
                </c:pt>
              </c:strCache>
            </c:strRef>
          </c:cat>
          <c:val>
            <c:numRef>
              <c:f>Feuil4!$B$103:$E$103</c:f>
              <c:numCache>
                <c:formatCode>General</c:formatCode>
                <c:ptCount val="4"/>
                <c:pt idx="0">
                  <c:v>15.25</c:v>
                </c:pt>
                <c:pt idx="1">
                  <c:v>14.03</c:v>
                </c:pt>
                <c:pt idx="2">
                  <c:v>7.45</c:v>
                </c:pt>
                <c:pt idx="3">
                  <c:v>15.38</c:v>
                </c:pt>
              </c:numCache>
            </c:numRef>
          </c:val>
        </c:ser>
        <c:ser>
          <c:idx val="3"/>
          <c:order val="3"/>
          <c:tx>
            <c:strRef>
              <c:f>Feuil4!$A$104</c:f>
              <c:strCache>
                <c:ptCount val="1"/>
                <c:pt idx="0">
                  <c:v>NTGRC</c:v>
                </c:pt>
              </c:strCache>
            </c:strRef>
          </c:tx>
          <c:dLbls>
            <c:showVal val="1"/>
          </c:dLbls>
          <c:cat>
            <c:strRef>
              <c:f>Feuil4!$B$100:$E$100</c:f>
              <c:strCache>
                <c:ptCount val="4"/>
                <c:pt idx="0">
                  <c:v>P'1</c:v>
                </c:pt>
                <c:pt idx="1">
                  <c:v>P'2</c:v>
                </c:pt>
                <c:pt idx="2">
                  <c:v>P'3</c:v>
                </c:pt>
                <c:pt idx="3">
                  <c:v>P'4</c:v>
                </c:pt>
              </c:strCache>
            </c:strRef>
          </c:cat>
          <c:val>
            <c:numRef>
              <c:f>Feuil4!$B$104:$E$104</c:f>
              <c:numCache>
                <c:formatCode>General</c:formatCode>
                <c:ptCount val="4"/>
                <c:pt idx="0">
                  <c:v>70.649999999999991</c:v>
                </c:pt>
                <c:pt idx="1">
                  <c:v>75.36999999999999</c:v>
                </c:pt>
                <c:pt idx="2">
                  <c:v>42.28</c:v>
                </c:pt>
                <c:pt idx="3">
                  <c:v>56.1</c:v>
                </c:pt>
              </c:numCache>
            </c:numRef>
          </c:val>
        </c:ser>
        <c:dLbls>
          <c:showVal val="1"/>
        </c:dLbls>
        <c:gapWidth val="75"/>
        <c:shape val="cylinder"/>
        <c:axId val="75035392"/>
        <c:axId val="75037312"/>
        <c:axId val="0"/>
      </c:bar3DChart>
      <c:catAx>
        <c:axId val="75035392"/>
        <c:scaling>
          <c:orientation val="minMax"/>
        </c:scaling>
        <c:axPos val="b"/>
        <c:title>
          <c:tx>
            <c:rich>
              <a:bodyPr/>
              <a:lstStyle/>
              <a:p>
                <a:pPr>
                  <a:defRPr/>
                </a:pPr>
                <a:r>
                  <a:rPr lang="en-US"/>
                  <a:t>Population</a:t>
                </a:r>
              </a:p>
            </c:rich>
          </c:tx>
          <c:layout>
            <c:manualLayout>
              <c:xMode val="edge"/>
              <c:yMode val="edge"/>
              <c:x val="0.37488188976379966"/>
              <c:y val="0.91524752114319063"/>
            </c:manualLayout>
          </c:layout>
        </c:title>
        <c:majorTickMark val="none"/>
        <c:tickLblPos val="nextTo"/>
        <c:crossAx val="75037312"/>
        <c:crosses val="autoZero"/>
        <c:auto val="1"/>
        <c:lblAlgn val="ctr"/>
        <c:lblOffset val="100"/>
      </c:catAx>
      <c:valAx>
        <c:axId val="75037312"/>
        <c:scaling>
          <c:orientation val="minMax"/>
        </c:scaling>
        <c:axPos val="l"/>
        <c:numFmt formatCode="General" sourceLinked="1"/>
        <c:majorTickMark val="none"/>
        <c:tickLblPos val="nextTo"/>
        <c:crossAx val="75035392"/>
        <c:crosses val="autoZero"/>
        <c:crossBetween val="between"/>
      </c:valAx>
    </c:plotArea>
    <c:legend>
      <c:legendPos val="b"/>
      <c:layout>
        <c:manualLayout>
          <c:xMode val="edge"/>
          <c:yMode val="edge"/>
          <c:x val="8.5030938490201727E-2"/>
          <c:y val="1.4716071026092141E-2"/>
          <c:w val="0.80443353355757374"/>
          <c:h val="0.14406941170570781"/>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7.6305555555555557E-2"/>
          <c:y val="0.11574074074074174"/>
          <c:w val="0.87925000000000064"/>
          <c:h val="0.6970640128317297"/>
        </c:manualLayout>
      </c:layout>
      <c:bar3DChart>
        <c:barDir val="col"/>
        <c:grouping val="clustered"/>
        <c:ser>
          <c:idx val="0"/>
          <c:order val="0"/>
          <c:tx>
            <c:strRef>
              <c:f>Feuil4!$A$109</c:f>
              <c:strCache>
                <c:ptCount val="1"/>
                <c:pt idx="0">
                  <c:v>PC</c:v>
                </c:pt>
              </c:strCache>
            </c:strRef>
          </c:tx>
          <c:dLbls>
            <c:showVal val="1"/>
          </c:dLbls>
          <c:cat>
            <c:strRef>
              <c:f>Feuil4!$B$108:$E$108</c:f>
              <c:strCache>
                <c:ptCount val="4"/>
                <c:pt idx="0">
                  <c:v>P'1</c:v>
                </c:pt>
                <c:pt idx="1">
                  <c:v>P'2</c:v>
                </c:pt>
                <c:pt idx="2">
                  <c:v>P'3</c:v>
                </c:pt>
                <c:pt idx="3">
                  <c:v>P'4</c:v>
                </c:pt>
              </c:strCache>
            </c:strRef>
          </c:cat>
          <c:val>
            <c:numRef>
              <c:f>Feuil4!$B$109:$E$109</c:f>
              <c:numCache>
                <c:formatCode>General</c:formatCode>
                <c:ptCount val="4"/>
                <c:pt idx="0">
                  <c:v>4.1099999999999985</c:v>
                </c:pt>
                <c:pt idx="1">
                  <c:v>3.98</c:v>
                </c:pt>
                <c:pt idx="2">
                  <c:v>2.8099999999999987</c:v>
                </c:pt>
                <c:pt idx="3">
                  <c:v>3.7600000000000002</c:v>
                </c:pt>
              </c:numCache>
            </c:numRef>
          </c:val>
        </c:ser>
        <c:ser>
          <c:idx val="1"/>
          <c:order val="1"/>
          <c:tx>
            <c:strRef>
              <c:f>Feuil4!$A$110</c:f>
              <c:strCache>
                <c:ptCount val="1"/>
                <c:pt idx="0">
                  <c:v>PGRSC</c:v>
                </c:pt>
              </c:strCache>
            </c:strRef>
          </c:tx>
          <c:dLbls>
            <c:showVal val="1"/>
          </c:dLbls>
          <c:cat>
            <c:strRef>
              <c:f>Feuil4!$B$108:$E$108</c:f>
              <c:strCache>
                <c:ptCount val="4"/>
                <c:pt idx="0">
                  <c:v>P'1</c:v>
                </c:pt>
                <c:pt idx="1">
                  <c:v>P'2</c:v>
                </c:pt>
                <c:pt idx="2">
                  <c:v>P'3</c:v>
                </c:pt>
                <c:pt idx="3">
                  <c:v>P'4</c:v>
                </c:pt>
              </c:strCache>
            </c:strRef>
          </c:cat>
          <c:val>
            <c:numRef>
              <c:f>Feuil4!$B$110:$E$110</c:f>
              <c:numCache>
                <c:formatCode>General</c:formatCode>
                <c:ptCount val="4"/>
                <c:pt idx="0">
                  <c:v>2.0699999999999998</c:v>
                </c:pt>
                <c:pt idx="1">
                  <c:v>2.12</c:v>
                </c:pt>
                <c:pt idx="2">
                  <c:v>1.58</c:v>
                </c:pt>
                <c:pt idx="3">
                  <c:v>1.58</c:v>
                </c:pt>
              </c:numCache>
            </c:numRef>
          </c:val>
        </c:ser>
        <c:dLbls>
          <c:showVal val="1"/>
        </c:dLbls>
        <c:gapWidth val="75"/>
        <c:shape val="cylinder"/>
        <c:axId val="133255168"/>
        <c:axId val="133257088"/>
        <c:axId val="0"/>
      </c:bar3DChart>
      <c:catAx>
        <c:axId val="133255168"/>
        <c:scaling>
          <c:orientation val="minMax"/>
        </c:scaling>
        <c:axPos val="b"/>
        <c:title>
          <c:tx>
            <c:rich>
              <a:bodyPr/>
              <a:lstStyle/>
              <a:p>
                <a:pPr>
                  <a:defRPr/>
                </a:pPr>
                <a:r>
                  <a:rPr lang="en-US"/>
                  <a:t>Population</a:t>
                </a:r>
              </a:p>
            </c:rich>
          </c:tx>
          <c:layout>
            <c:manualLayout>
              <c:xMode val="edge"/>
              <c:yMode val="edge"/>
              <c:x val="0.38084755030621181"/>
              <c:y val="0.9063597258675995"/>
            </c:manualLayout>
          </c:layout>
        </c:title>
        <c:majorTickMark val="none"/>
        <c:tickLblPos val="nextTo"/>
        <c:crossAx val="133257088"/>
        <c:crosses val="autoZero"/>
        <c:auto val="1"/>
        <c:lblAlgn val="ctr"/>
        <c:lblOffset val="100"/>
      </c:catAx>
      <c:valAx>
        <c:axId val="133257088"/>
        <c:scaling>
          <c:orientation val="minMax"/>
        </c:scaling>
        <c:axPos val="l"/>
        <c:numFmt formatCode="General" sourceLinked="1"/>
        <c:majorTickMark val="none"/>
        <c:tickLblPos val="nextTo"/>
        <c:crossAx val="133255168"/>
        <c:crosses val="autoZero"/>
        <c:crossBetween val="between"/>
      </c:valAx>
    </c:plotArea>
    <c:legend>
      <c:legendPos val="b"/>
      <c:layout>
        <c:manualLayout>
          <c:xMode val="edge"/>
          <c:yMode val="edge"/>
          <c:x val="0.38804177602799972"/>
          <c:y val="4.6462160979877515E-2"/>
          <c:w val="0.41393617652997317"/>
          <c:h val="0.24585758301951385"/>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dLbl>
              <c:idx val="0"/>
              <c:layout>
                <c:manualLayout>
                  <c:x val="4.6674445740956675E-3"/>
                  <c:y val="-3.0188679245282967E-2"/>
                </c:manualLayout>
              </c:layout>
              <c:showVal val="1"/>
            </c:dLbl>
            <c:dLbl>
              <c:idx val="1"/>
              <c:layout>
                <c:manualLayout>
                  <c:x val="2.3337222870478411E-3"/>
                  <c:y val="-3.3962264150943396E-2"/>
                </c:manualLayout>
              </c:layout>
              <c:showVal val="1"/>
            </c:dLbl>
            <c:dLbl>
              <c:idx val="2"/>
              <c:layout>
                <c:manualLayout>
                  <c:x val="2.3337222870478411E-3"/>
                  <c:y val="-3.3962264150943403E-2"/>
                </c:manualLayout>
              </c:layout>
              <c:showVal val="1"/>
            </c:dLbl>
            <c:dLbl>
              <c:idx val="3"/>
              <c:layout>
                <c:manualLayout>
                  <c:x val="1.4002333722287061E-2"/>
                  <c:y val="-3.0188679245282967E-2"/>
                </c:manualLayout>
              </c:layout>
              <c:showVal val="1"/>
            </c:dLbl>
            <c:showVal val="1"/>
          </c:dLbls>
          <c:cat>
            <c:strRef>
              <c:f>Feuil7!$F$18:$I$18</c:f>
              <c:strCache>
                <c:ptCount val="4"/>
                <c:pt idx="0">
                  <c:v>P'1</c:v>
                </c:pt>
                <c:pt idx="1">
                  <c:v>P'2</c:v>
                </c:pt>
                <c:pt idx="2">
                  <c:v>P'3</c:v>
                </c:pt>
                <c:pt idx="3">
                  <c:v>P'4</c:v>
                </c:pt>
              </c:strCache>
            </c:strRef>
          </c:cat>
          <c:val>
            <c:numRef>
              <c:f>Feuil7!$F$19:$I$19</c:f>
              <c:numCache>
                <c:formatCode>General</c:formatCode>
                <c:ptCount val="4"/>
                <c:pt idx="0">
                  <c:v>47.83</c:v>
                </c:pt>
                <c:pt idx="1">
                  <c:v>46.47</c:v>
                </c:pt>
                <c:pt idx="2">
                  <c:v>49.89</c:v>
                </c:pt>
                <c:pt idx="3">
                  <c:v>49.04</c:v>
                </c:pt>
              </c:numCache>
            </c:numRef>
          </c:val>
        </c:ser>
        <c:dLbls>
          <c:showVal val="1"/>
        </c:dLbls>
        <c:gapWidth val="75"/>
        <c:shape val="cylinder"/>
        <c:axId val="133285760"/>
        <c:axId val="133292032"/>
        <c:axId val="0"/>
      </c:bar3DChart>
      <c:catAx>
        <c:axId val="133285760"/>
        <c:scaling>
          <c:orientation val="minMax"/>
        </c:scaling>
        <c:axPos val="b"/>
        <c:title>
          <c:tx>
            <c:rich>
              <a:bodyPr/>
              <a:lstStyle/>
              <a:p>
                <a:pPr>
                  <a:defRPr/>
                </a:pPr>
                <a:r>
                  <a:rPr lang="en-US"/>
                  <a:t>population</a:t>
                </a:r>
              </a:p>
            </c:rich>
          </c:tx>
        </c:title>
        <c:majorTickMark val="none"/>
        <c:tickLblPos val="nextTo"/>
        <c:crossAx val="133292032"/>
        <c:crosses val="autoZero"/>
        <c:auto val="1"/>
        <c:lblAlgn val="ctr"/>
        <c:lblOffset val="100"/>
      </c:catAx>
      <c:valAx>
        <c:axId val="133292032"/>
        <c:scaling>
          <c:orientation val="minMax"/>
        </c:scaling>
        <c:axPos val="l"/>
        <c:title>
          <c:tx>
            <c:rich>
              <a:bodyPr rot="-5400000" vert="horz"/>
              <a:lstStyle/>
              <a:p>
                <a:pPr>
                  <a:defRPr/>
                </a:pPr>
                <a:r>
                  <a:rPr lang="en-US"/>
                  <a:t>poids moyen de 1000 graines en (g)</a:t>
                </a:r>
              </a:p>
            </c:rich>
          </c:tx>
          <c:layout>
            <c:manualLayout>
              <c:xMode val="edge"/>
              <c:yMode val="edge"/>
              <c:x val="5.2940476838888924E-2"/>
              <c:y val="8.5782544811224687E-2"/>
            </c:manualLayout>
          </c:layout>
          <c:spPr>
            <a:noFill/>
          </c:spPr>
        </c:title>
        <c:numFmt formatCode="General" sourceLinked="1"/>
        <c:majorTickMark val="none"/>
        <c:tickLblPos val="nextTo"/>
        <c:crossAx val="133285760"/>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18"/>
  <c:chart>
    <c:plotArea>
      <c:layout>
        <c:manualLayout>
          <c:layoutTarget val="inner"/>
          <c:xMode val="edge"/>
          <c:yMode val="edge"/>
          <c:x val="0.20342876680645094"/>
          <c:y val="0.12538309340947121"/>
          <c:w val="0.66675000000002949"/>
          <c:h val="0.59984179060953535"/>
        </c:manualLayout>
      </c:layout>
      <c:lineChart>
        <c:grouping val="standard"/>
        <c:ser>
          <c:idx val="0"/>
          <c:order val="0"/>
          <c:tx>
            <c:strRef>
              <c:f>Feuil2!$B$68</c:f>
              <c:strCache>
                <c:ptCount val="1"/>
                <c:pt idx="0">
                  <c:v>moyenne</c:v>
                </c:pt>
              </c:strCache>
            </c:strRef>
          </c:tx>
          <c:cat>
            <c:strRef>
              <c:f>Feuil2!$A$69:$A$74</c:f>
              <c:strCache>
                <c:ptCount val="6"/>
                <c:pt idx="0">
                  <c:v>Jan</c:v>
                </c:pt>
                <c:pt idx="1">
                  <c:v>Fev</c:v>
                </c:pt>
                <c:pt idx="2">
                  <c:v>Mar</c:v>
                </c:pt>
                <c:pt idx="3">
                  <c:v>Avr</c:v>
                </c:pt>
                <c:pt idx="4">
                  <c:v>Mai</c:v>
                </c:pt>
                <c:pt idx="5">
                  <c:v>Jui</c:v>
                </c:pt>
              </c:strCache>
            </c:strRef>
          </c:cat>
          <c:val>
            <c:numRef>
              <c:f>Feuil2!$B$69:$B$74</c:f>
              <c:numCache>
                <c:formatCode>General</c:formatCode>
                <c:ptCount val="6"/>
                <c:pt idx="0">
                  <c:v>9.8364500000000028</c:v>
                </c:pt>
                <c:pt idx="1">
                  <c:v>9.8890900000000048</c:v>
                </c:pt>
                <c:pt idx="2">
                  <c:v>13.7257</c:v>
                </c:pt>
                <c:pt idx="3">
                  <c:v>14.978900000000001</c:v>
                </c:pt>
                <c:pt idx="4">
                  <c:v>24.5471</c:v>
                </c:pt>
                <c:pt idx="5">
                  <c:v>30.358699999999889</c:v>
                </c:pt>
              </c:numCache>
            </c:numRef>
          </c:val>
        </c:ser>
        <c:ser>
          <c:idx val="1"/>
          <c:order val="1"/>
          <c:tx>
            <c:strRef>
              <c:f>Feuil2!$C$68</c:f>
              <c:strCache>
                <c:ptCount val="1"/>
                <c:pt idx="0">
                  <c:v>minimum</c:v>
                </c:pt>
              </c:strCache>
            </c:strRef>
          </c:tx>
          <c:cat>
            <c:strRef>
              <c:f>Feuil2!$A$69:$A$74</c:f>
              <c:strCache>
                <c:ptCount val="6"/>
                <c:pt idx="0">
                  <c:v>Jan</c:v>
                </c:pt>
                <c:pt idx="1">
                  <c:v>Fev</c:v>
                </c:pt>
                <c:pt idx="2">
                  <c:v>Mar</c:v>
                </c:pt>
                <c:pt idx="3">
                  <c:v>Avr</c:v>
                </c:pt>
                <c:pt idx="4">
                  <c:v>Mai</c:v>
                </c:pt>
                <c:pt idx="5">
                  <c:v>Jui</c:v>
                </c:pt>
              </c:strCache>
            </c:strRef>
          </c:cat>
          <c:val>
            <c:numRef>
              <c:f>Feuil2!$C$69:$C$74</c:f>
              <c:numCache>
                <c:formatCode>General</c:formatCode>
                <c:ptCount val="6"/>
                <c:pt idx="0">
                  <c:v>5.21516</c:v>
                </c:pt>
                <c:pt idx="1">
                  <c:v>3.8309099999999967</c:v>
                </c:pt>
                <c:pt idx="2">
                  <c:v>6.09267</c:v>
                </c:pt>
                <c:pt idx="3">
                  <c:v>7.8967700000000001</c:v>
                </c:pt>
                <c:pt idx="4">
                  <c:v>16.546099999999889</c:v>
                </c:pt>
                <c:pt idx="5">
                  <c:v>21.761699999999689</c:v>
                </c:pt>
              </c:numCache>
            </c:numRef>
          </c:val>
        </c:ser>
        <c:ser>
          <c:idx val="2"/>
          <c:order val="2"/>
          <c:tx>
            <c:strRef>
              <c:f>Feuil2!$D$68</c:f>
              <c:strCache>
                <c:ptCount val="1"/>
                <c:pt idx="0">
                  <c:v>maximum</c:v>
                </c:pt>
              </c:strCache>
            </c:strRef>
          </c:tx>
          <c:cat>
            <c:strRef>
              <c:f>Feuil2!$A$69:$A$74</c:f>
              <c:strCache>
                <c:ptCount val="6"/>
                <c:pt idx="0">
                  <c:v>Jan</c:v>
                </c:pt>
                <c:pt idx="1">
                  <c:v>Fev</c:v>
                </c:pt>
                <c:pt idx="2">
                  <c:v>Mar</c:v>
                </c:pt>
                <c:pt idx="3">
                  <c:v>Avr</c:v>
                </c:pt>
                <c:pt idx="4">
                  <c:v>Mai</c:v>
                </c:pt>
                <c:pt idx="5">
                  <c:v>Jui</c:v>
                </c:pt>
              </c:strCache>
            </c:strRef>
          </c:cat>
          <c:val>
            <c:numRef>
              <c:f>Feuil2!$D$69:$D$74</c:f>
              <c:numCache>
                <c:formatCode>General</c:formatCode>
                <c:ptCount val="6"/>
                <c:pt idx="0">
                  <c:v>15.026770000000001</c:v>
                </c:pt>
                <c:pt idx="1">
                  <c:v>15.95636</c:v>
                </c:pt>
                <c:pt idx="2">
                  <c:v>21.302</c:v>
                </c:pt>
                <c:pt idx="3">
                  <c:v>22.090519999999689</c:v>
                </c:pt>
                <c:pt idx="4">
                  <c:v>31.282899999999689</c:v>
                </c:pt>
                <c:pt idx="5">
                  <c:v>37.35033</c:v>
                </c:pt>
              </c:numCache>
            </c:numRef>
          </c:val>
        </c:ser>
        <c:marker val="1"/>
        <c:axId val="203175424"/>
        <c:axId val="203177344"/>
      </c:lineChart>
      <c:catAx>
        <c:axId val="203175424"/>
        <c:scaling>
          <c:orientation val="minMax"/>
        </c:scaling>
        <c:axPos val="b"/>
        <c:title>
          <c:tx>
            <c:rich>
              <a:bodyPr/>
              <a:lstStyle/>
              <a:p>
                <a:pPr>
                  <a:defRPr/>
                </a:pPr>
                <a:r>
                  <a:rPr lang="en-US"/>
                  <a:t>Mois</a:t>
                </a:r>
              </a:p>
            </c:rich>
          </c:tx>
          <c:layout>
            <c:manualLayout>
              <c:xMode val="edge"/>
              <c:yMode val="edge"/>
              <c:x val="0.88486910696846288"/>
              <c:y val="0.7359623028688056"/>
            </c:manualLayout>
          </c:layout>
        </c:title>
        <c:majorTickMark val="none"/>
        <c:tickLblPos val="nextTo"/>
        <c:crossAx val="203177344"/>
        <c:crosses val="autoZero"/>
        <c:auto val="1"/>
        <c:lblAlgn val="ctr"/>
        <c:lblOffset val="100"/>
      </c:catAx>
      <c:valAx>
        <c:axId val="203177344"/>
        <c:scaling>
          <c:orientation val="minMax"/>
        </c:scaling>
        <c:axPos val="l"/>
        <c:title>
          <c:tx>
            <c:rich>
              <a:bodyPr rot="-5400000" vert="horz"/>
              <a:lstStyle/>
              <a:p>
                <a:pPr>
                  <a:defRPr/>
                </a:pPr>
                <a:r>
                  <a:rPr lang="en-US"/>
                  <a:t>Température de l'air (C°)</a:t>
                </a:r>
              </a:p>
            </c:rich>
          </c:tx>
          <c:layout>
            <c:manualLayout>
              <c:xMode val="edge"/>
              <c:yMode val="edge"/>
              <c:x val="5.4050140284188614E-2"/>
              <c:y val="0.13039562275940925"/>
            </c:manualLayout>
          </c:layout>
        </c:title>
        <c:numFmt formatCode="General" sourceLinked="1"/>
        <c:majorTickMark val="none"/>
        <c:tickLblPos val="nextTo"/>
        <c:crossAx val="203175424"/>
        <c:crosses val="autoZero"/>
        <c:crossBetween val="between"/>
      </c:valAx>
    </c:plotArea>
    <c:legend>
      <c:legendPos val="b"/>
      <c:layout>
        <c:manualLayout>
          <c:xMode val="edge"/>
          <c:yMode val="edge"/>
          <c:x val="0.23216701360605788"/>
          <c:y val="2.6937016976687211E-2"/>
          <c:w val="0.57190474753874165"/>
          <c:h val="0.17576006124234494"/>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mj-lt"/>
          <a:ea typeface="+mn-ea"/>
          <a:cs typeface="+mn-cs"/>
        </a:defRPr>
      </a:pPr>
      <a:endParaRPr lang="fr-FR"/>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manualLayout>
          <c:layoutTarget val="inner"/>
          <c:xMode val="edge"/>
          <c:yMode val="edge"/>
          <c:x val="0.20507538575615294"/>
          <c:y val="6.1002490349189524E-2"/>
          <c:w val="0.77647222222222223"/>
          <c:h val="0.70847222222222217"/>
        </c:manualLayout>
      </c:layout>
      <c:bar3DChart>
        <c:barDir val="col"/>
        <c:grouping val="clustered"/>
        <c:ser>
          <c:idx val="0"/>
          <c:order val="0"/>
          <c:tx>
            <c:strRef>
              <c:f>Feuil7!$X$77</c:f>
              <c:strCache>
                <c:ptCount val="1"/>
                <c:pt idx="0">
                  <c:v>LP</c:v>
                </c:pt>
              </c:strCache>
            </c:strRef>
          </c:tx>
          <c:dLbls>
            <c:dLbl>
              <c:idx val="0"/>
              <c:layout>
                <c:manualLayout>
                  <c:x val="2.5462668816045865E-17"/>
                  <c:y val="-1.8518518518518583E-2"/>
                </c:manualLayout>
              </c:layout>
              <c:showVal val="1"/>
            </c:dLbl>
            <c:dLbl>
              <c:idx val="1"/>
              <c:layout>
                <c:manualLayout>
                  <c:x val="0"/>
                  <c:y val="-2.3148148148148147E-2"/>
                </c:manualLayout>
              </c:layout>
              <c:showVal val="1"/>
            </c:dLbl>
            <c:dLbl>
              <c:idx val="2"/>
              <c:layout>
                <c:manualLayout>
                  <c:x val="0"/>
                  <c:y val="-2.3148148148148147E-2"/>
                </c:manualLayout>
              </c:layout>
              <c:showVal val="1"/>
            </c:dLbl>
            <c:dLbl>
              <c:idx val="3"/>
              <c:layout>
                <c:manualLayout>
                  <c:x val="0"/>
                  <c:y val="-1.8518518518518583E-2"/>
                </c:manualLayout>
              </c:layout>
              <c:showVal val="1"/>
            </c:dLbl>
            <c:showVal val="1"/>
          </c:dLbls>
          <c:cat>
            <c:strRef>
              <c:f>Feuil7!$Y$76:$AB$76</c:f>
              <c:strCache>
                <c:ptCount val="4"/>
                <c:pt idx="0">
                  <c:v>P'1</c:v>
                </c:pt>
                <c:pt idx="1">
                  <c:v>P'2</c:v>
                </c:pt>
                <c:pt idx="2">
                  <c:v>P'3</c:v>
                </c:pt>
                <c:pt idx="3">
                  <c:v>P'4</c:v>
                </c:pt>
              </c:strCache>
            </c:strRef>
          </c:cat>
          <c:val>
            <c:numRef>
              <c:f>Feuil7!$Y$77:$AB$77</c:f>
              <c:numCache>
                <c:formatCode>General</c:formatCode>
                <c:ptCount val="4"/>
                <c:pt idx="0">
                  <c:v>0.24000000000000021</c:v>
                </c:pt>
                <c:pt idx="1">
                  <c:v>0.2</c:v>
                </c:pt>
                <c:pt idx="2">
                  <c:v>0.25</c:v>
                </c:pt>
                <c:pt idx="3">
                  <c:v>0.2</c:v>
                </c:pt>
              </c:numCache>
            </c:numRef>
          </c:val>
        </c:ser>
        <c:dLbls>
          <c:showVal val="1"/>
        </c:dLbls>
        <c:gapWidth val="75"/>
        <c:shape val="cylinder"/>
        <c:axId val="133298432"/>
        <c:axId val="133539712"/>
        <c:axId val="0"/>
      </c:bar3DChart>
      <c:catAx>
        <c:axId val="133298432"/>
        <c:scaling>
          <c:orientation val="minMax"/>
        </c:scaling>
        <c:axPos val="b"/>
        <c:title>
          <c:tx>
            <c:rich>
              <a:bodyPr/>
              <a:lstStyle/>
              <a:p>
                <a:pPr>
                  <a:defRPr/>
                </a:pPr>
                <a:r>
                  <a:rPr lang="en-US"/>
                  <a:t>Population</a:t>
                </a:r>
              </a:p>
            </c:rich>
          </c:tx>
          <c:layout>
            <c:manualLayout>
              <c:xMode val="edge"/>
              <c:yMode val="edge"/>
              <c:x val="0.43455927874489064"/>
              <c:y val="0.89805625132198486"/>
            </c:manualLayout>
          </c:layout>
        </c:title>
        <c:majorTickMark val="none"/>
        <c:tickLblPos val="nextTo"/>
        <c:crossAx val="133539712"/>
        <c:crosses val="autoZero"/>
        <c:auto val="1"/>
        <c:lblAlgn val="ctr"/>
        <c:lblOffset val="100"/>
      </c:catAx>
      <c:valAx>
        <c:axId val="133539712"/>
        <c:scaling>
          <c:orientation val="minMax"/>
        </c:scaling>
        <c:axPos val="l"/>
        <c:title>
          <c:tx>
            <c:rich>
              <a:bodyPr rot="-5400000" vert="horz"/>
              <a:lstStyle/>
              <a:p>
                <a:pPr>
                  <a:defRPr/>
                </a:pPr>
                <a:r>
                  <a:rPr lang="en-US"/>
                  <a:t>Rendement moyen en</a:t>
                </a:r>
                <a:r>
                  <a:rPr lang="en-US" baseline="0"/>
                  <a:t> fleurs estimé par parcelle</a:t>
                </a:r>
              </a:p>
              <a:p>
                <a:pPr>
                  <a:defRPr/>
                </a:pPr>
                <a:r>
                  <a:rPr lang="en-US"/>
                  <a:t> (kg)</a:t>
                </a:r>
              </a:p>
            </c:rich>
          </c:tx>
          <c:layout>
            <c:manualLayout>
              <c:xMode val="edge"/>
              <c:yMode val="edge"/>
              <c:x val="4.3299430112672392E-2"/>
              <c:y val="9.9830877171485768E-2"/>
            </c:manualLayout>
          </c:layout>
        </c:title>
        <c:numFmt formatCode="General" sourceLinked="1"/>
        <c:majorTickMark val="none"/>
        <c:tickLblPos val="nextTo"/>
        <c:crossAx val="133298432"/>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4978873239437712"/>
          <c:y val="7.3762376237624133E-2"/>
          <c:w val="0.82438967136150265"/>
          <c:h val="0.65490099009904512"/>
        </c:manualLayout>
      </c:layout>
      <c:bar3DChart>
        <c:barDir val="col"/>
        <c:grouping val="clustered"/>
        <c:ser>
          <c:idx val="0"/>
          <c:order val="0"/>
          <c:tx>
            <c:strRef>
              <c:f>Feuil7!$X$70</c:f>
              <c:strCache>
                <c:ptCount val="1"/>
                <c:pt idx="0">
                  <c:v>LP</c:v>
                </c:pt>
              </c:strCache>
            </c:strRef>
          </c:tx>
          <c:dLbls>
            <c:dLbl>
              <c:idx val="0"/>
              <c:layout>
                <c:manualLayout>
                  <c:x val="2.5462668816045844E-17"/>
                  <c:y val="-1.3888888888889749E-2"/>
                </c:manualLayout>
              </c:layout>
              <c:showVal val="1"/>
            </c:dLbl>
            <c:dLbl>
              <c:idx val="1"/>
              <c:layout>
                <c:manualLayout>
                  <c:x val="0"/>
                  <c:y val="-1.8518518518518583E-2"/>
                </c:manualLayout>
              </c:layout>
              <c:showVal val="1"/>
            </c:dLbl>
            <c:dLbl>
              <c:idx val="2"/>
              <c:layout>
                <c:manualLayout>
                  <c:x val="0"/>
                  <c:y val="-1.8518518518518583E-2"/>
                </c:manualLayout>
              </c:layout>
              <c:showVal val="1"/>
            </c:dLbl>
            <c:dLbl>
              <c:idx val="3"/>
              <c:layout>
                <c:manualLayout>
                  <c:x val="0"/>
                  <c:y val="-3.7037037037037056E-2"/>
                </c:manualLayout>
              </c:layout>
              <c:showVal val="1"/>
            </c:dLbl>
            <c:showVal val="1"/>
          </c:dLbls>
          <c:cat>
            <c:strRef>
              <c:f>Feuil7!$Y$69:$AB$69</c:f>
              <c:strCache>
                <c:ptCount val="4"/>
                <c:pt idx="0">
                  <c:v>P'1</c:v>
                </c:pt>
                <c:pt idx="1">
                  <c:v>P'2</c:v>
                </c:pt>
                <c:pt idx="2">
                  <c:v>P'3</c:v>
                </c:pt>
                <c:pt idx="3">
                  <c:v>P'4</c:v>
                </c:pt>
              </c:strCache>
            </c:strRef>
          </c:cat>
          <c:val>
            <c:numRef>
              <c:f>Feuil7!$Y$70:$AB$70</c:f>
              <c:numCache>
                <c:formatCode>General</c:formatCode>
                <c:ptCount val="4"/>
                <c:pt idx="0">
                  <c:v>3.68</c:v>
                </c:pt>
                <c:pt idx="1">
                  <c:v>3.54</c:v>
                </c:pt>
                <c:pt idx="2">
                  <c:v>4.18</c:v>
                </c:pt>
                <c:pt idx="3">
                  <c:v>2.63</c:v>
                </c:pt>
              </c:numCache>
            </c:numRef>
          </c:val>
        </c:ser>
        <c:dLbls>
          <c:showVal val="1"/>
        </c:dLbls>
        <c:gapWidth val="75"/>
        <c:shape val="cylinder"/>
        <c:axId val="133478272"/>
        <c:axId val="133525504"/>
        <c:axId val="0"/>
      </c:bar3DChart>
      <c:catAx>
        <c:axId val="133478272"/>
        <c:scaling>
          <c:orientation val="minMax"/>
        </c:scaling>
        <c:axPos val="b"/>
        <c:title>
          <c:tx>
            <c:rich>
              <a:bodyPr/>
              <a:lstStyle/>
              <a:p>
                <a:pPr>
                  <a:defRPr/>
                </a:pPr>
                <a:r>
                  <a:rPr lang="en-US"/>
                  <a:t>Population</a:t>
                </a:r>
              </a:p>
            </c:rich>
          </c:tx>
        </c:title>
        <c:majorTickMark val="none"/>
        <c:tickLblPos val="nextTo"/>
        <c:crossAx val="133525504"/>
        <c:crosses val="autoZero"/>
        <c:auto val="1"/>
        <c:lblAlgn val="ctr"/>
        <c:lblOffset val="100"/>
      </c:catAx>
      <c:valAx>
        <c:axId val="133525504"/>
        <c:scaling>
          <c:orientation val="minMax"/>
        </c:scaling>
        <c:axPos val="l"/>
        <c:title>
          <c:tx>
            <c:rich>
              <a:bodyPr rot="-5400000" vert="horz"/>
              <a:lstStyle/>
              <a:p>
                <a:pPr>
                  <a:defRPr/>
                </a:pPr>
                <a:r>
                  <a:rPr lang="en-US"/>
                  <a:t>Rendement moyen en</a:t>
                </a:r>
                <a:r>
                  <a:rPr lang="en-US" baseline="0"/>
                  <a:t> graines estimé par parcelle </a:t>
                </a:r>
                <a:r>
                  <a:rPr lang="en-US"/>
                  <a:t>  (Kg)</a:t>
                </a:r>
              </a:p>
            </c:rich>
          </c:tx>
          <c:layout>
            <c:manualLayout>
              <c:xMode val="edge"/>
              <c:yMode val="edge"/>
              <c:x val="3.8170166229221356E-2"/>
              <c:y val="0.15893518518520597"/>
            </c:manualLayout>
          </c:layout>
        </c:title>
        <c:numFmt formatCode="General" sourceLinked="1"/>
        <c:majorTickMark val="none"/>
        <c:tickLblPos val="nextTo"/>
        <c:crossAx val="133478272"/>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Feuil8!$C$62</c:f>
              <c:strCache>
                <c:ptCount val="1"/>
                <c:pt idx="0">
                  <c:v>vgj</c:v>
                </c:pt>
              </c:strCache>
            </c:strRef>
          </c:tx>
          <c:dLbls>
            <c:showVal val="1"/>
          </c:dLbls>
          <c:cat>
            <c:strRef>
              <c:f>Feuil8!$D$61:$G$61</c:f>
              <c:strCache>
                <c:ptCount val="4"/>
                <c:pt idx="0">
                  <c:v>P"1</c:v>
                </c:pt>
                <c:pt idx="1">
                  <c:v>P"2</c:v>
                </c:pt>
                <c:pt idx="2">
                  <c:v>P"3</c:v>
                </c:pt>
                <c:pt idx="3">
                  <c:v>P"4</c:v>
                </c:pt>
              </c:strCache>
            </c:strRef>
          </c:cat>
          <c:val>
            <c:numRef>
              <c:f>Feuil8!$D$62:$G$62</c:f>
              <c:numCache>
                <c:formatCode>General</c:formatCode>
                <c:ptCount val="4"/>
                <c:pt idx="0">
                  <c:v>0.95000000000000062</c:v>
                </c:pt>
                <c:pt idx="1">
                  <c:v>7.28</c:v>
                </c:pt>
                <c:pt idx="2">
                  <c:v>4.95</c:v>
                </c:pt>
                <c:pt idx="3">
                  <c:v>4.0000000000000022E-2</c:v>
                </c:pt>
              </c:numCache>
            </c:numRef>
          </c:val>
        </c:ser>
        <c:dLbls>
          <c:showVal val="1"/>
        </c:dLbls>
        <c:gapWidth val="75"/>
        <c:shape val="cylinder"/>
        <c:axId val="133578752"/>
        <c:axId val="133580672"/>
        <c:axId val="0"/>
      </c:bar3DChart>
      <c:catAx>
        <c:axId val="133578752"/>
        <c:scaling>
          <c:orientation val="minMax"/>
        </c:scaling>
        <c:axPos val="b"/>
        <c:title>
          <c:tx>
            <c:rich>
              <a:bodyPr/>
              <a:lstStyle/>
              <a:p>
                <a:pPr>
                  <a:defRPr/>
                </a:pPr>
                <a:r>
                  <a:rPr lang="en-US"/>
                  <a:t>Population</a:t>
                </a:r>
              </a:p>
            </c:rich>
          </c:tx>
        </c:title>
        <c:majorTickMark val="none"/>
        <c:tickLblPos val="nextTo"/>
        <c:crossAx val="133580672"/>
        <c:crosses val="autoZero"/>
        <c:auto val="1"/>
        <c:lblAlgn val="ctr"/>
        <c:lblOffset val="100"/>
      </c:catAx>
      <c:valAx>
        <c:axId val="133580672"/>
        <c:scaling>
          <c:orientation val="minMax"/>
        </c:scaling>
        <c:axPos val="l"/>
        <c:title>
          <c:tx>
            <c:rich>
              <a:bodyPr rot="-5400000" vert="horz"/>
              <a:lstStyle/>
              <a:p>
                <a:pPr>
                  <a:defRPr/>
                </a:pPr>
                <a:r>
                  <a:rPr lang="en-US"/>
                  <a:t>Vitesse moyenne de germination journalière (NG/J)</a:t>
                </a:r>
              </a:p>
            </c:rich>
          </c:tx>
          <c:layout>
            <c:manualLayout>
              <c:xMode val="edge"/>
              <c:yMode val="edge"/>
              <c:x val="5.7148075240594905E-2"/>
              <c:y val="0.15740740740742487"/>
            </c:manualLayout>
          </c:layout>
        </c:title>
        <c:numFmt formatCode="General" sourceLinked="1"/>
        <c:majorTickMark val="none"/>
        <c:tickLblPos val="nextTo"/>
        <c:crossAx val="133578752"/>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Feuil8!$K$34</c:f>
              <c:strCache>
                <c:ptCount val="1"/>
                <c:pt idx="0">
                  <c:v>p</c:v>
                </c:pt>
              </c:strCache>
            </c:strRef>
          </c:tx>
          <c:dLbls>
            <c:showVal val="1"/>
          </c:dLbls>
          <c:cat>
            <c:strRef>
              <c:f>Feuil8!$L$33:$O$33</c:f>
              <c:strCache>
                <c:ptCount val="4"/>
                <c:pt idx="0">
                  <c:v>P"1</c:v>
                </c:pt>
                <c:pt idx="1">
                  <c:v>P"2</c:v>
                </c:pt>
                <c:pt idx="2">
                  <c:v>P"3</c:v>
                </c:pt>
                <c:pt idx="3">
                  <c:v>P"4</c:v>
                </c:pt>
              </c:strCache>
            </c:strRef>
          </c:cat>
          <c:val>
            <c:numRef>
              <c:f>Feuil8!$L$34:$O$34</c:f>
              <c:numCache>
                <c:formatCode>General</c:formatCode>
                <c:ptCount val="4"/>
                <c:pt idx="0">
                  <c:v>53</c:v>
                </c:pt>
                <c:pt idx="1">
                  <c:v>90.669999999999987</c:v>
                </c:pt>
                <c:pt idx="2">
                  <c:v>85</c:v>
                </c:pt>
                <c:pt idx="3">
                  <c:v>6</c:v>
                </c:pt>
              </c:numCache>
            </c:numRef>
          </c:val>
        </c:ser>
        <c:dLbls>
          <c:showVal val="1"/>
        </c:dLbls>
        <c:gapWidth val="75"/>
        <c:shape val="cylinder"/>
        <c:axId val="133764992"/>
        <c:axId val="133591040"/>
        <c:axId val="0"/>
      </c:bar3DChart>
      <c:catAx>
        <c:axId val="133764992"/>
        <c:scaling>
          <c:orientation val="minMax"/>
        </c:scaling>
        <c:axPos val="b"/>
        <c:title>
          <c:tx>
            <c:rich>
              <a:bodyPr/>
              <a:lstStyle/>
              <a:p>
                <a:pPr>
                  <a:defRPr/>
                </a:pPr>
                <a:r>
                  <a:rPr lang="en-US"/>
                  <a:t>population</a:t>
                </a:r>
              </a:p>
            </c:rich>
          </c:tx>
        </c:title>
        <c:majorTickMark val="none"/>
        <c:tickLblPos val="nextTo"/>
        <c:crossAx val="133591040"/>
        <c:crosses val="autoZero"/>
        <c:auto val="1"/>
        <c:lblAlgn val="ctr"/>
        <c:lblOffset val="100"/>
      </c:catAx>
      <c:valAx>
        <c:axId val="133591040"/>
        <c:scaling>
          <c:orientation val="minMax"/>
        </c:scaling>
        <c:axPos val="l"/>
        <c:title>
          <c:tx>
            <c:rich>
              <a:bodyPr rot="-5400000" vert="horz"/>
              <a:lstStyle/>
              <a:p>
                <a:pPr>
                  <a:defRPr/>
                </a:pPr>
                <a:r>
                  <a:rPr lang="en-US"/>
                  <a:t>Capacité moyene de germination en (%)</a:t>
                </a:r>
              </a:p>
            </c:rich>
          </c:tx>
        </c:title>
        <c:numFmt formatCode="General" sourceLinked="1"/>
        <c:majorTickMark val="none"/>
        <c:tickLblPos val="nextTo"/>
        <c:crossAx val="133764992"/>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Feuil8!$K$24</c:f>
              <c:strCache>
                <c:ptCount val="1"/>
                <c:pt idx="0">
                  <c:v>p</c:v>
                </c:pt>
              </c:strCache>
            </c:strRef>
          </c:tx>
          <c:dLbls>
            <c:dLbl>
              <c:idx val="0"/>
              <c:layout>
                <c:manualLayout>
                  <c:x val="0"/>
                  <c:y val="-3.0418250950570411E-2"/>
                </c:manualLayout>
              </c:layout>
              <c:showVal val="1"/>
            </c:dLbl>
            <c:dLbl>
              <c:idx val="1"/>
              <c:layout>
                <c:manualLayout>
                  <c:x val="0"/>
                  <c:y val="-1.1406844106463901E-2"/>
                </c:manualLayout>
              </c:layout>
              <c:showVal val="1"/>
            </c:dLbl>
            <c:dLbl>
              <c:idx val="2"/>
              <c:layout>
                <c:manualLayout>
                  <c:x val="6.7796610169497586E-3"/>
                  <c:y val="-2.2813688212927802E-2"/>
                </c:manualLayout>
              </c:layout>
              <c:showVal val="1"/>
            </c:dLbl>
            <c:dLbl>
              <c:idx val="3"/>
              <c:layout>
                <c:manualLayout>
                  <c:x val="0"/>
                  <c:y val="-2.2813688212927802E-2"/>
                </c:manualLayout>
              </c:layout>
              <c:showVal val="1"/>
            </c:dLbl>
            <c:showVal val="1"/>
          </c:dLbls>
          <c:cat>
            <c:strRef>
              <c:f>Feuil8!$L$23:$O$23</c:f>
              <c:strCache>
                <c:ptCount val="4"/>
                <c:pt idx="0">
                  <c:v>P"1</c:v>
                </c:pt>
                <c:pt idx="1">
                  <c:v>P"2</c:v>
                </c:pt>
                <c:pt idx="2">
                  <c:v>P"3</c:v>
                </c:pt>
                <c:pt idx="3">
                  <c:v>P"4</c:v>
                </c:pt>
              </c:strCache>
            </c:strRef>
          </c:cat>
          <c:val>
            <c:numRef>
              <c:f>Feuil8!$L$24:$O$24</c:f>
              <c:numCache>
                <c:formatCode>General</c:formatCode>
                <c:ptCount val="4"/>
                <c:pt idx="0">
                  <c:v>8.1399999999999988</c:v>
                </c:pt>
                <c:pt idx="1">
                  <c:v>93.940000000000026</c:v>
                </c:pt>
                <c:pt idx="2">
                  <c:v>61.33</c:v>
                </c:pt>
                <c:pt idx="3">
                  <c:v>0.1</c:v>
                </c:pt>
              </c:numCache>
            </c:numRef>
          </c:val>
        </c:ser>
        <c:dLbls>
          <c:showVal val="1"/>
        </c:dLbls>
        <c:gapWidth val="75"/>
        <c:shape val="cylinder"/>
        <c:axId val="133713920"/>
        <c:axId val="133715840"/>
        <c:axId val="0"/>
      </c:bar3DChart>
      <c:catAx>
        <c:axId val="133713920"/>
        <c:scaling>
          <c:orientation val="minMax"/>
        </c:scaling>
        <c:axPos val="b"/>
        <c:title>
          <c:tx>
            <c:rich>
              <a:bodyPr/>
              <a:lstStyle/>
              <a:p>
                <a:pPr>
                  <a:defRPr/>
                </a:pPr>
                <a:r>
                  <a:rPr lang="en-US"/>
                  <a:t>Population</a:t>
                </a:r>
              </a:p>
            </c:rich>
          </c:tx>
        </c:title>
        <c:majorTickMark val="none"/>
        <c:tickLblPos val="nextTo"/>
        <c:crossAx val="133715840"/>
        <c:crosses val="autoZero"/>
        <c:auto val="1"/>
        <c:lblAlgn val="ctr"/>
        <c:lblOffset val="100"/>
      </c:catAx>
      <c:valAx>
        <c:axId val="133715840"/>
        <c:scaling>
          <c:orientation val="minMax"/>
        </c:scaling>
        <c:axPos val="l"/>
        <c:title>
          <c:tx>
            <c:rich>
              <a:bodyPr rot="-5400000" vert="horz"/>
              <a:lstStyle/>
              <a:p>
                <a:pPr>
                  <a:defRPr/>
                </a:pPr>
                <a:r>
                  <a:rPr lang="en-US"/>
                  <a:t>Valeur germinative moyenne </a:t>
                </a:r>
              </a:p>
              <a:p>
                <a:pPr>
                  <a:defRPr/>
                </a:pPr>
                <a:endParaRPr lang="en-US"/>
              </a:p>
            </c:rich>
          </c:tx>
          <c:layout>
            <c:manualLayout>
              <c:xMode val="edge"/>
              <c:yMode val="edge"/>
              <c:x val="8.7840390172835264E-2"/>
              <c:y val="0.24489273504274206"/>
            </c:manualLayout>
          </c:layout>
        </c:title>
        <c:numFmt formatCode="General" sourceLinked="1"/>
        <c:majorTickMark val="none"/>
        <c:tickLblPos val="nextTo"/>
        <c:crossAx val="133713920"/>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Feuil5!$B$19</c:f>
              <c:strCache>
                <c:ptCount val="1"/>
                <c:pt idx="0">
                  <c:v>PL</c:v>
                </c:pt>
              </c:strCache>
            </c:strRef>
          </c:tx>
          <c:dLbls>
            <c:dLbl>
              <c:idx val="0"/>
              <c:layout>
                <c:manualLayout>
                  <c:x val="2.4360535931790377E-3"/>
                  <c:y val="-3.6697247706425878E-2"/>
                </c:manualLayout>
              </c:layout>
              <c:showVal val="1"/>
            </c:dLbl>
            <c:dLbl>
              <c:idx val="1"/>
              <c:layout>
                <c:manualLayout>
                  <c:x val="-4.8721071863581534E-3"/>
                  <c:y val="-2.2935779816516202E-2"/>
                </c:manualLayout>
              </c:layout>
              <c:showVal val="1"/>
            </c:dLbl>
            <c:dLbl>
              <c:idx val="2"/>
              <c:layout>
                <c:manualLayout>
                  <c:x val="9.7442143727161992E-3"/>
                  <c:y val="-5.5045871559632989E-2"/>
                </c:manualLayout>
              </c:layout>
              <c:showVal val="1"/>
            </c:dLbl>
            <c:dLbl>
              <c:idx val="3"/>
              <c:layout>
                <c:manualLayout>
                  <c:x val="8.9320933240212526E-17"/>
                  <c:y val="-2.2935779816516202E-2"/>
                </c:manualLayout>
              </c:layout>
              <c:showVal val="1"/>
            </c:dLbl>
            <c:showVal val="1"/>
          </c:dLbls>
          <c:cat>
            <c:strRef>
              <c:f>Feuil5!$C$18:$F$18</c:f>
              <c:strCache>
                <c:ptCount val="4"/>
                <c:pt idx="0">
                  <c:v>P"1</c:v>
                </c:pt>
                <c:pt idx="1">
                  <c:v>P"2</c:v>
                </c:pt>
                <c:pt idx="2">
                  <c:v>P"3</c:v>
                </c:pt>
                <c:pt idx="3">
                  <c:v>P"4</c:v>
                </c:pt>
              </c:strCache>
            </c:strRef>
          </c:cat>
          <c:val>
            <c:numRef>
              <c:f>Feuil5!$C$19:$F$19</c:f>
              <c:numCache>
                <c:formatCode>General</c:formatCode>
                <c:ptCount val="4"/>
                <c:pt idx="0">
                  <c:v>13.25</c:v>
                </c:pt>
                <c:pt idx="1">
                  <c:v>16</c:v>
                </c:pt>
                <c:pt idx="2">
                  <c:v>7.6199999999999966</c:v>
                </c:pt>
                <c:pt idx="3">
                  <c:v>10.25</c:v>
                </c:pt>
              </c:numCache>
            </c:numRef>
          </c:val>
        </c:ser>
        <c:dLbls>
          <c:showVal val="1"/>
        </c:dLbls>
        <c:gapWidth val="75"/>
        <c:shape val="cylinder"/>
        <c:axId val="202659712"/>
        <c:axId val="135069696"/>
        <c:axId val="0"/>
      </c:bar3DChart>
      <c:catAx>
        <c:axId val="202659712"/>
        <c:scaling>
          <c:orientation val="minMax"/>
        </c:scaling>
        <c:axPos val="b"/>
        <c:title>
          <c:tx>
            <c:rich>
              <a:bodyPr/>
              <a:lstStyle/>
              <a:p>
                <a:pPr>
                  <a:defRPr/>
                </a:pPr>
                <a:r>
                  <a:rPr lang="en-US"/>
                  <a:t>Population</a:t>
                </a:r>
              </a:p>
            </c:rich>
          </c:tx>
        </c:title>
        <c:majorTickMark val="none"/>
        <c:tickLblPos val="nextTo"/>
        <c:crossAx val="135069696"/>
        <c:crosses val="autoZero"/>
        <c:auto val="1"/>
        <c:lblAlgn val="ctr"/>
        <c:lblOffset val="100"/>
      </c:catAx>
      <c:valAx>
        <c:axId val="135069696"/>
        <c:scaling>
          <c:orientation val="minMax"/>
        </c:scaling>
        <c:axPos val="l"/>
        <c:title>
          <c:tx>
            <c:rich>
              <a:bodyPr rot="-5400000" vert="horz"/>
              <a:lstStyle/>
              <a:p>
                <a:pPr>
                  <a:defRPr/>
                </a:pPr>
                <a:r>
                  <a:rPr lang="en-US"/>
                  <a:t>Pourcentage moyen de levée</a:t>
                </a:r>
              </a:p>
            </c:rich>
          </c:tx>
          <c:layout>
            <c:manualLayout>
              <c:xMode val="edge"/>
              <c:yMode val="edge"/>
              <c:x val="5.7682356870955569E-2"/>
              <c:y val="9.8503793479930948E-2"/>
            </c:manualLayout>
          </c:layout>
        </c:title>
        <c:numFmt formatCode="General" sourceLinked="1"/>
        <c:majorTickMark val="none"/>
        <c:tickLblPos val="nextTo"/>
        <c:crossAx val="202659712"/>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9.1583333333333336E-2"/>
          <c:y val="0.13425925925925927"/>
          <c:w val="0.87230555555560063"/>
          <c:h val="0.6970640128317297"/>
        </c:manualLayout>
      </c:layout>
      <c:bar3DChart>
        <c:barDir val="col"/>
        <c:grouping val="clustered"/>
        <c:ser>
          <c:idx val="0"/>
          <c:order val="0"/>
          <c:tx>
            <c:strRef>
              <c:f>Feuil5!$B$5</c:f>
              <c:strCache>
                <c:ptCount val="1"/>
                <c:pt idx="0">
                  <c:v>BF</c:v>
                </c:pt>
              </c:strCache>
            </c:strRef>
          </c:tx>
          <c:dLbls>
            <c:dLbl>
              <c:idx val="3"/>
              <c:layout>
                <c:manualLayout>
                  <c:x val="-1.1778563015313223E-2"/>
                  <c:y val="5.1020408163265285E-3"/>
                </c:manualLayout>
              </c:layout>
              <c:showVal val="1"/>
            </c:dLbl>
            <c:showVal val="1"/>
          </c:dLbls>
          <c:cat>
            <c:strRef>
              <c:f>Feuil5!$C$4:$F$4</c:f>
              <c:strCache>
                <c:ptCount val="4"/>
                <c:pt idx="0">
                  <c:v>P"1</c:v>
                </c:pt>
                <c:pt idx="1">
                  <c:v>P"2</c:v>
                </c:pt>
                <c:pt idx="2">
                  <c:v>P"3</c:v>
                </c:pt>
                <c:pt idx="3">
                  <c:v>P"4</c:v>
                </c:pt>
              </c:strCache>
            </c:strRef>
          </c:cat>
          <c:val>
            <c:numRef>
              <c:f>Feuil5!$C$5:$F$5</c:f>
              <c:numCache>
                <c:formatCode>General</c:formatCode>
                <c:ptCount val="4"/>
                <c:pt idx="0">
                  <c:v>87.75</c:v>
                </c:pt>
                <c:pt idx="1">
                  <c:v>88.75</c:v>
                </c:pt>
                <c:pt idx="2">
                  <c:v>90.25</c:v>
                </c:pt>
                <c:pt idx="3">
                  <c:v>87.75</c:v>
                </c:pt>
              </c:numCache>
            </c:numRef>
          </c:val>
        </c:ser>
        <c:ser>
          <c:idx val="1"/>
          <c:order val="1"/>
          <c:tx>
            <c:strRef>
              <c:f>Feuil5!$B$6</c:f>
              <c:strCache>
                <c:ptCount val="1"/>
                <c:pt idx="0">
                  <c:v>DF</c:v>
                </c:pt>
              </c:strCache>
            </c:strRef>
          </c:tx>
          <c:dLbls>
            <c:dLbl>
              <c:idx val="0"/>
              <c:layout>
                <c:manualLayout>
                  <c:x val="1.1778563015313223E-2"/>
                  <c:y val="0"/>
                </c:manualLayout>
              </c:layout>
              <c:showVal val="1"/>
            </c:dLbl>
            <c:dLbl>
              <c:idx val="1"/>
              <c:layout>
                <c:manualLayout>
                  <c:x val="1.413427561837456E-2"/>
                  <c:y val="-5.1020408163265285E-3"/>
                </c:manualLayout>
              </c:layout>
              <c:showVal val="1"/>
            </c:dLbl>
            <c:dLbl>
              <c:idx val="2"/>
              <c:layout>
                <c:manualLayout>
                  <c:x val="1.2004801920768323E-2"/>
                  <c:y val="0"/>
                </c:manualLayout>
              </c:layout>
              <c:showVal val="1"/>
            </c:dLbl>
            <c:dLbl>
              <c:idx val="3"/>
              <c:layout>
                <c:manualLayout>
                  <c:x val="-4.7114252061248524E-3"/>
                  <c:y val="-1.5306122448979605E-2"/>
                </c:manualLayout>
              </c:layout>
              <c:showVal val="1"/>
            </c:dLbl>
            <c:showVal val="1"/>
          </c:dLbls>
          <c:cat>
            <c:strRef>
              <c:f>Feuil5!$C$4:$F$4</c:f>
              <c:strCache>
                <c:ptCount val="4"/>
                <c:pt idx="0">
                  <c:v>P"1</c:v>
                </c:pt>
                <c:pt idx="1">
                  <c:v>P"2</c:v>
                </c:pt>
                <c:pt idx="2">
                  <c:v>P"3</c:v>
                </c:pt>
                <c:pt idx="3">
                  <c:v>P"4</c:v>
                </c:pt>
              </c:strCache>
            </c:strRef>
          </c:cat>
          <c:val>
            <c:numRef>
              <c:f>Feuil5!$C$6:$F$6</c:f>
              <c:numCache>
                <c:formatCode>General</c:formatCode>
                <c:ptCount val="4"/>
                <c:pt idx="0">
                  <c:v>94</c:v>
                </c:pt>
                <c:pt idx="1">
                  <c:v>95</c:v>
                </c:pt>
                <c:pt idx="2">
                  <c:v>95</c:v>
                </c:pt>
                <c:pt idx="3">
                  <c:v>94</c:v>
                </c:pt>
              </c:numCache>
            </c:numRef>
          </c:val>
        </c:ser>
        <c:ser>
          <c:idx val="2"/>
          <c:order val="2"/>
          <c:tx>
            <c:strRef>
              <c:f>Feuil5!$B$7</c:f>
              <c:strCache>
                <c:ptCount val="1"/>
                <c:pt idx="0">
                  <c:v>PF</c:v>
                </c:pt>
              </c:strCache>
            </c:strRef>
          </c:tx>
          <c:dLbls>
            <c:dLbl>
              <c:idx val="0"/>
              <c:layout>
                <c:manualLayout>
                  <c:x val="9.4228504122498748E-3"/>
                  <c:y val="-2.5510204081632647E-2"/>
                </c:manualLayout>
              </c:layout>
              <c:showVal val="1"/>
            </c:dLbl>
            <c:dLbl>
              <c:idx val="1"/>
              <c:layout>
                <c:manualLayout>
                  <c:x val="9.412785099758866E-3"/>
                  <c:y val="-3.7704585537918868E-2"/>
                </c:manualLayout>
              </c:layout>
              <c:showVal val="1"/>
            </c:dLbl>
            <c:dLbl>
              <c:idx val="2"/>
              <c:layout>
                <c:manualLayout>
                  <c:x val="1.413427561837456E-2"/>
                  <c:y val="0"/>
                </c:manualLayout>
              </c:layout>
              <c:showVal val="1"/>
            </c:dLbl>
            <c:dLbl>
              <c:idx val="3"/>
              <c:layout>
                <c:manualLayout>
                  <c:x val="7.0621338212816494E-3"/>
                  <c:y val="-3.7705026455026852E-2"/>
                </c:manualLayout>
              </c:layout>
              <c:showVal val="1"/>
            </c:dLbl>
            <c:showVal val="1"/>
          </c:dLbls>
          <c:cat>
            <c:strRef>
              <c:f>Feuil5!$C$4:$F$4</c:f>
              <c:strCache>
                <c:ptCount val="4"/>
                <c:pt idx="0">
                  <c:v>P"1</c:v>
                </c:pt>
                <c:pt idx="1">
                  <c:v>P"2</c:v>
                </c:pt>
                <c:pt idx="2">
                  <c:v>P"3</c:v>
                </c:pt>
                <c:pt idx="3">
                  <c:v>P"4</c:v>
                </c:pt>
              </c:strCache>
            </c:strRef>
          </c:cat>
          <c:val>
            <c:numRef>
              <c:f>Feuil5!$C$7:$F$7</c:f>
              <c:numCache>
                <c:formatCode>General</c:formatCode>
                <c:ptCount val="4"/>
                <c:pt idx="0">
                  <c:v>102.5</c:v>
                </c:pt>
                <c:pt idx="1">
                  <c:v>102.25</c:v>
                </c:pt>
                <c:pt idx="2">
                  <c:v>79.75</c:v>
                </c:pt>
                <c:pt idx="3">
                  <c:v>102.25</c:v>
                </c:pt>
              </c:numCache>
            </c:numRef>
          </c:val>
        </c:ser>
        <c:ser>
          <c:idx val="3"/>
          <c:order val="3"/>
          <c:tx>
            <c:strRef>
              <c:f>Feuil5!$B$8</c:f>
              <c:strCache>
                <c:ptCount val="1"/>
                <c:pt idx="0">
                  <c:v>FF</c:v>
                </c:pt>
              </c:strCache>
            </c:strRef>
          </c:tx>
          <c:dLbls>
            <c:dLbl>
              <c:idx val="0"/>
              <c:layout>
                <c:manualLayout>
                  <c:x val="2.1201413427565194E-2"/>
                  <c:y val="-1.0204081632653681E-2"/>
                </c:manualLayout>
              </c:layout>
              <c:showVal val="1"/>
            </c:dLbl>
            <c:dLbl>
              <c:idx val="1"/>
              <c:layout>
                <c:manualLayout>
                  <c:x val="2.1176036387341432E-2"/>
                  <c:y val="-7.1302469135802904E-2"/>
                </c:manualLayout>
              </c:layout>
              <c:showVal val="1"/>
            </c:dLbl>
            <c:dLbl>
              <c:idx val="3"/>
              <c:layout>
                <c:manualLayout>
                  <c:x val="4.0021781467909495E-2"/>
                  <c:y val="-3.6709435626102412E-2"/>
                </c:manualLayout>
              </c:layout>
              <c:showVal val="1"/>
            </c:dLbl>
            <c:showVal val="1"/>
          </c:dLbls>
          <c:cat>
            <c:strRef>
              <c:f>Feuil5!$C$4:$F$4</c:f>
              <c:strCache>
                <c:ptCount val="4"/>
                <c:pt idx="0">
                  <c:v>P"1</c:v>
                </c:pt>
                <c:pt idx="1">
                  <c:v>P"2</c:v>
                </c:pt>
                <c:pt idx="2">
                  <c:v>P"3</c:v>
                </c:pt>
                <c:pt idx="3">
                  <c:v>P"4</c:v>
                </c:pt>
              </c:strCache>
            </c:strRef>
          </c:cat>
          <c:val>
            <c:numRef>
              <c:f>Feuil5!$C$8:$F$8</c:f>
              <c:numCache>
                <c:formatCode>General</c:formatCode>
                <c:ptCount val="4"/>
                <c:pt idx="0">
                  <c:v>110</c:v>
                </c:pt>
                <c:pt idx="1">
                  <c:v>112</c:v>
                </c:pt>
                <c:pt idx="2">
                  <c:v>112</c:v>
                </c:pt>
                <c:pt idx="3">
                  <c:v>107</c:v>
                </c:pt>
              </c:numCache>
            </c:numRef>
          </c:val>
        </c:ser>
        <c:dLbls>
          <c:showVal val="1"/>
        </c:dLbls>
        <c:gapWidth val="75"/>
        <c:shape val="cylinder"/>
        <c:axId val="135093632"/>
        <c:axId val="135112192"/>
        <c:axId val="0"/>
      </c:bar3DChart>
      <c:catAx>
        <c:axId val="135093632"/>
        <c:scaling>
          <c:orientation val="minMax"/>
        </c:scaling>
        <c:axPos val="b"/>
        <c:title>
          <c:tx>
            <c:rich>
              <a:bodyPr/>
              <a:lstStyle/>
              <a:p>
                <a:pPr>
                  <a:defRPr/>
                </a:pPr>
                <a:r>
                  <a:rPr lang="en-US"/>
                  <a:t>Population</a:t>
                </a:r>
              </a:p>
            </c:rich>
          </c:tx>
          <c:layout>
            <c:manualLayout>
              <c:xMode val="edge"/>
              <c:yMode val="edge"/>
              <c:x val="0.43209186351708295"/>
              <c:y val="0.90134988334791488"/>
            </c:manualLayout>
          </c:layout>
        </c:title>
        <c:majorTickMark val="none"/>
        <c:tickLblPos val="nextTo"/>
        <c:crossAx val="135112192"/>
        <c:crosses val="autoZero"/>
        <c:auto val="1"/>
        <c:lblAlgn val="ctr"/>
        <c:lblOffset val="100"/>
      </c:catAx>
      <c:valAx>
        <c:axId val="135112192"/>
        <c:scaling>
          <c:orientation val="minMax"/>
        </c:scaling>
        <c:axPos val="l"/>
        <c:title>
          <c:tx>
            <c:rich>
              <a:bodyPr rot="-5400000" vert="horz"/>
              <a:lstStyle/>
              <a:p>
                <a:pPr>
                  <a:defRPr/>
                </a:pPr>
                <a:r>
                  <a:rPr lang="en-US"/>
                  <a:t>Nombre moyen de jours</a:t>
                </a:r>
              </a:p>
            </c:rich>
          </c:tx>
          <c:layout>
            <c:manualLayout>
              <c:xMode val="edge"/>
              <c:yMode val="edge"/>
              <c:x val="1.832952725256335E-2"/>
              <c:y val="0.14644576719577376"/>
            </c:manualLayout>
          </c:layout>
        </c:title>
        <c:numFmt formatCode="General" sourceLinked="1"/>
        <c:majorTickMark val="none"/>
        <c:tickLblPos val="nextTo"/>
        <c:crossAx val="135093632"/>
        <c:crosses val="autoZero"/>
        <c:crossBetween val="between"/>
      </c:valAx>
    </c:plotArea>
    <c:legend>
      <c:legendPos val="b"/>
      <c:layout>
        <c:manualLayout>
          <c:xMode val="edge"/>
          <c:yMode val="edge"/>
          <c:x val="0.32725902959609027"/>
          <c:y val="3.0038955656858681E-2"/>
          <c:w val="0.29039960629923411"/>
          <c:h val="7.8537839020122513E-2"/>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7.4916666666666923E-2"/>
          <c:y val="0.10185185185185186"/>
          <c:w val="0.88619444444444462"/>
          <c:h val="0.6970640128317297"/>
        </c:manualLayout>
      </c:layout>
      <c:bar3DChart>
        <c:barDir val="col"/>
        <c:grouping val="clustered"/>
        <c:ser>
          <c:idx val="0"/>
          <c:order val="0"/>
          <c:tx>
            <c:strRef>
              <c:f>Feuil5!$B$35</c:f>
              <c:strCache>
                <c:ptCount val="1"/>
                <c:pt idx="0">
                  <c:v>ETF</c:v>
                </c:pt>
              </c:strCache>
            </c:strRef>
          </c:tx>
          <c:dLbls>
            <c:dLbl>
              <c:idx val="0"/>
              <c:layout>
                <c:manualLayout>
                  <c:x val="4.6029919447640984E-3"/>
                  <c:y val="-4.0145985401459645E-2"/>
                </c:manualLayout>
              </c:layout>
              <c:showVal val="1"/>
            </c:dLbl>
            <c:dLbl>
              <c:idx val="1"/>
              <c:layout>
                <c:manualLayout>
                  <c:x val="4.6029919447640984E-3"/>
                  <c:y val="-2.1897810218980292E-2"/>
                </c:manualLayout>
              </c:layout>
              <c:showVal val="1"/>
            </c:dLbl>
            <c:dLbl>
              <c:idx val="2"/>
              <c:layout>
                <c:manualLayout>
                  <c:x val="0"/>
                  <c:y val="-3.6496350364963612E-2"/>
                </c:manualLayout>
              </c:layout>
              <c:showVal val="1"/>
            </c:dLbl>
            <c:dLbl>
              <c:idx val="3"/>
              <c:layout>
                <c:manualLayout>
                  <c:x val="2.3014959723820492E-3"/>
                  <c:y val="-4.0145985401459645E-2"/>
                </c:manualLayout>
              </c:layout>
              <c:showVal val="1"/>
            </c:dLbl>
            <c:showVal val="1"/>
          </c:dLbls>
          <c:cat>
            <c:strRef>
              <c:f>Feuil5!$C$34:$F$34</c:f>
              <c:strCache>
                <c:ptCount val="4"/>
                <c:pt idx="0">
                  <c:v>P"1</c:v>
                </c:pt>
                <c:pt idx="1">
                  <c:v>P"2</c:v>
                </c:pt>
                <c:pt idx="2">
                  <c:v>P"3</c:v>
                </c:pt>
                <c:pt idx="3">
                  <c:v>P"4</c:v>
                </c:pt>
              </c:strCache>
            </c:strRef>
          </c:cat>
          <c:val>
            <c:numRef>
              <c:f>Feuil5!$C$35:$F$35</c:f>
              <c:numCache>
                <c:formatCode>General</c:formatCode>
                <c:ptCount val="4"/>
                <c:pt idx="0">
                  <c:v>16</c:v>
                </c:pt>
                <c:pt idx="1">
                  <c:v>17</c:v>
                </c:pt>
                <c:pt idx="2">
                  <c:v>19.5</c:v>
                </c:pt>
                <c:pt idx="3">
                  <c:v>13</c:v>
                </c:pt>
              </c:numCache>
            </c:numRef>
          </c:val>
        </c:ser>
        <c:dLbls>
          <c:showVal val="1"/>
        </c:dLbls>
        <c:gapWidth val="75"/>
        <c:shape val="cylinder"/>
        <c:axId val="195520384"/>
        <c:axId val="195522560"/>
        <c:axId val="0"/>
      </c:bar3DChart>
      <c:catAx>
        <c:axId val="195520384"/>
        <c:scaling>
          <c:orientation val="minMax"/>
        </c:scaling>
        <c:axPos val="b"/>
        <c:title>
          <c:tx>
            <c:rich>
              <a:bodyPr/>
              <a:lstStyle/>
              <a:p>
                <a:pPr>
                  <a:defRPr/>
                </a:pPr>
                <a:r>
                  <a:rPr lang="en-US"/>
                  <a:t>Population</a:t>
                </a:r>
              </a:p>
            </c:rich>
          </c:tx>
          <c:layout>
            <c:manualLayout>
              <c:xMode val="edge"/>
              <c:yMode val="edge"/>
              <c:x val="0.39911417322837967"/>
              <c:y val="0.91145851560221636"/>
            </c:manualLayout>
          </c:layout>
        </c:title>
        <c:majorTickMark val="none"/>
        <c:tickLblPos val="nextTo"/>
        <c:crossAx val="195522560"/>
        <c:crosses val="autoZero"/>
        <c:auto val="1"/>
        <c:lblAlgn val="ctr"/>
        <c:lblOffset val="100"/>
      </c:catAx>
      <c:valAx>
        <c:axId val="195522560"/>
        <c:scaling>
          <c:orientation val="minMax"/>
        </c:scaling>
        <c:axPos val="l"/>
        <c:title>
          <c:tx>
            <c:rich>
              <a:bodyPr rot="-5400000" vert="horz"/>
              <a:lstStyle/>
              <a:p>
                <a:pPr>
                  <a:defRPr/>
                </a:pPr>
                <a:r>
                  <a:rPr lang="en-US"/>
                  <a:t>Nombre moyen de jours</a:t>
                </a:r>
              </a:p>
            </c:rich>
          </c:tx>
          <c:layout>
            <c:manualLayout>
              <c:xMode val="edge"/>
              <c:yMode val="edge"/>
              <c:x val="2.058099201159605E-2"/>
              <c:y val="0.15811581170823821"/>
            </c:manualLayout>
          </c:layout>
        </c:title>
        <c:numFmt formatCode="General" sourceLinked="1"/>
        <c:majorTickMark val="none"/>
        <c:tickLblPos val="nextTo"/>
        <c:crossAx val="195520384"/>
        <c:crosses val="autoZero"/>
        <c:crossBetween val="between"/>
      </c:valAx>
    </c:plotArea>
    <c:legend>
      <c:legendPos val="b"/>
      <c:layout>
        <c:manualLayout>
          <c:xMode val="edge"/>
          <c:yMode val="edge"/>
          <c:x val="0.36750711231027638"/>
          <c:y val="1.9595759191519617E-2"/>
          <c:w val="0.16085473011525736"/>
          <c:h val="0.19841138278769313"/>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0.13299591068115321"/>
          <c:y val="0.14351851851851852"/>
          <c:w val="0.85589295769454665"/>
          <c:h val="0.63039730971128549"/>
        </c:manualLayout>
      </c:layout>
      <c:bar3DChart>
        <c:barDir val="col"/>
        <c:grouping val="clustered"/>
        <c:ser>
          <c:idx val="0"/>
          <c:order val="0"/>
          <c:tx>
            <c:strRef>
              <c:f>Feuil5!$B$14</c:f>
              <c:strCache>
                <c:ptCount val="1"/>
                <c:pt idx="0">
                  <c:v>FCs</c:v>
                </c:pt>
              </c:strCache>
            </c:strRef>
          </c:tx>
          <c:dLbls>
            <c:showVal val="1"/>
          </c:dLbls>
          <c:cat>
            <c:strRef>
              <c:f>Feuil5!$C$13:$F$13</c:f>
              <c:strCache>
                <c:ptCount val="4"/>
                <c:pt idx="0">
                  <c:v>P"1</c:v>
                </c:pt>
                <c:pt idx="1">
                  <c:v>P"2</c:v>
                </c:pt>
                <c:pt idx="2">
                  <c:v>P"3</c:v>
                </c:pt>
                <c:pt idx="3">
                  <c:v>P"4</c:v>
                </c:pt>
              </c:strCache>
            </c:strRef>
          </c:cat>
          <c:val>
            <c:numRef>
              <c:f>Feuil5!$C$14:$F$14</c:f>
              <c:numCache>
                <c:formatCode>General</c:formatCode>
                <c:ptCount val="4"/>
                <c:pt idx="0">
                  <c:v>110</c:v>
                </c:pt>
                <c:pt idx="1">
                  <c:v>110</c:v>
                </c:pt>
                <c:pt idx="2">
                  <c:v>110</c:v>
                </c:pt>
                <c:pt idx="3">
                  <c:v>107</c:v>
                </c:pt>
              </c:numCache>
            </c:numRef>
          </c:val>
        </c:ser>
        <c:ser>
          <c:idx val="1"/>
          <c:order val="1"/>
          <c:tx>
            <c:strRef>
              <c:f>Feuil5!$B$15</c:f>
              <c:strCache>
                <c:ptCount val="1"/>
                <c:pt idx="0">
                  <c:v>M</c:v>
                </c:pt>
              </c:strCache>
            </c:strRef>
          </c:tx>
          <c:dLbls>
            <c:dLbl>
              <c:idx val="0"/>
              <c:layout>
                <c:manualLayout>
                  <c:x val="1.1723329425556941E-2"/>
                  <c:y val="-2.9166666666666667E-2"/>
                </c:manualLayout>
              </c:layout>
              <c:showVal val="1"/>
            </c:dLbl>
            <c:dLbl>
              <c:idx val="1"/>
              <c:layout>
                <c:manualLayout>
                  <c:x val="2.3446658851113801E-3"/>
                  <c:y val="-3.3333333333333354E-2"/>
                </c:manualLayout>
              </c:layout>
              <c:showVal val="1"/>
            </c:dLbl>
            <c:dLbl>
              <c:idx val="2"/>
              <c:layout>
                <c:manualLayout>
                  <c:x val="-2.3446658851113801E-3"/>
                  <c:y val="-3.333333333333334E-2"/>
                </c:manualLayout>
              </c:layout>
              <c:showVal val="1"/>
            </c:dLbl>
            <c:dLbl>
              <c:idx val="3"/>
              <c:layout>
                <c:manualLayout>
                  <c:x val="9.3786635404455067E-3"/>
                  <c:y val="-2.5000000000000001E-2"/>
                </c:manualLayout>
              </c:layout>
              <c:showVal val="1"/>
            </c:dLbl>
            <c:showVal val="1"/>
          </c:dLbls>
          <c:cat>
            <c:strRef>
              <c:f>Feuil5!$C$13:$F$13</c:f>
              <c:strCache>
                <c:ptCount val="4"/>
                <c:pt idx="0">
                  <c:v>P"1</c:v>
                </c:pt>
                <c:pt idx="1">
                  <c:v>P"2</c:v>
                </c:pt>
                <c:pt idx="2">
                  <c:v>P"3</c:v>
                </c:pt>
                <c:pt idx="3">
                  <c:v>P"4</c:v>
                </c:pt>
              </c:strCache>
            </c:strRef>
          </c:cat>
          <c:val>
            <c:numRef>
              <c:f>Feuil5!$C$15:$F$15</c:f>
              <c:numCache>
                <c:formatCode>General</c:formatCode>
                <c:ptCount val="4"/>
                <c:pt idx="0">
                  <c:v>133</c:v>
                </c:pt>
                <c:pt idx="1">
                  <c:v>126</c:v>
                </c:pt>
                <c:pt idx="2">
                  <c:v>124</c:v>
                </c:pt>
                <c:pt idx="3">
                  <c:v>133</c:v>
                </c:pt>
              </c:numCache>
            </c:numRef>
          </c:val>
        </c:ser>
        <c:dLbls>
          <c:showVal val="1"/>
        </c:dLbls>
        <c:gapWidth val="75"/>
        <c:shape val="cylinder"/>
        <c:axId val="195556864"/>
        <c:axId val="195558784"/>
        <c:axId val="0"/>
      </c:bar3DChart>
      <c:catAx>
        <c:axId val="195556864"/>
        <c:scaling>
          <c:orientation val="minMax"/>
        </c:scaling>
        <c:axPos val="b"/>
        <c:title>
          <c:tx>
            <c:rich>
              <a:bodyPr/>
              <a:lstStyle/>
              <a:p>
                <a:pPr>
                  <a:defRPr/>
                </a:pPr>
                <a:r>
                  <a:rPr lang="en-US"/>
                  <a:t>Population</a:t>
                </a:r>
              </a:p>
            </c:rich>
          </c:tx>
          <c:layout>
            <c:manualLayout>
              <c:xMode val="edge"/>
              <c:yMode val="edge"/>
              <c:x val="0.40675021872265982"/>
              <c:y val="0.92024205307669871"/>
            </c:manualLayout>
          </c:layout>
        </c:title>
        <c:majorTickMark val="none"/>
        <c:tickLblPos val="nextTo"/>
        <c:crossAx val="195558784"/>
        <c:crosses val="autoZero"/>
        <c:auto val="1"/>
        <c:lblAlgn val="ctr"/>
        <c:lblOffset val="100"/>
      </c:catAx>
      <c:valAx>
        <c:axId val="195558784"/>
        <c:scaling>
          <c:orientation val="minMax"/>
        </c:scaling>
        <c:axPos val="l"/>
        <c:title>
          <c:tx>
            <c:rich>
              <a:bodyPr rot="-5400000" vert="horz"/>
              <a:lstStyle/>
              <a:p>
                <a:pPr>
                  <a:defRPr/>
                </a:pPr>
                <a:r>
                  <a:rPr lang="en-US"/>
                  <a:t>Nombre moyen de jours</a:t>
                </a:r>
              </a:p>
            </c:rich>
          </c:tx>
        </c:title>
        <c:numFmt formatCode="General" sourceLinked="1"/>
        <c:majorTickMark val="none"/>
        <c:tickLblPos val="nextTo"/>
        <c:crossAx val="195556864"/>
        <c:crosses val="autoZero"/>
        <c:crossBetween val="between"/>
      </c:valAx>
    </c:plotArea>
    <c:legend>
      <c:legendPos val="b"/>
      <c:layout>
        <c:manualLayout>
          <c:xMode val="edge"/>
          <c:yMode val="edge"/>
          <c:x val="0.37504906259519433"/>
          <c:y val="6.2893700787404114E-4"/>
          <c:w val="0.22117129298231661"/>
          <c:h val="0.15283038944457258"/>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8.3250000000000227E-2"/>
          <c:y val="0.1111111111111111"/>
          <c:w val="0.88619444444444462"/>
          <c:h val="0.6970640128317297"/>
        </c:manualLayout>
      </c:layout>
      <c:bar3DChart>
        <c:barDir val="col"/>
        <c:grouping val="clustered"/>
        <c:ser>
          <c:idx val="0"/>
          <c:order val="0"/>
          <c:tx>
            <c:strRef>
              <c:f>Feuil5!$A$24</c:f>
              <c:strCache>
                <c:ptCount val="1"/>
                <c:pt idx="0">
                  <c:v>H1</c:v>
                </c:pt>
              </c:strCache>
            </c:strRef>
          </c:tx>
          <c:dLbls>
            <c:showVal val="1"/>
          </c:dLbls>
          <c:cat>
            <c:strRef>
              <c:f>Feuil5!$B$23:$E$23</c:f>
              <c:strCache>
                <c:ptCount val="4"/>
                <c:pt idx="0">
                  <c:v>P"1</c:v>
                </c:pt>
                <c:pt idx="1">
                  <c:v>P"2</c:v>
                </c:pt>
                <c:pt idx="2">
                  <c:v>P"3</c:v>
                </c:pt>
                <c:pt idx="3">
                  <c:v>P"4</c:v>
                </c:pt>
              </c:strCache>
            </c:strRef>
          </c:cat>
          <c:val>
            <c:numRef>
              <c:f>Feuil5!$B$24:$E$24</c:f>
              <c:numCache>
                <c:formatCode>General</c:formatCode>
                <c:ptCount val="4"/>
                <c:pt idx="0">
                  <c:v>5.03</c:v>
                </c:pt>
                <c:pt idx="1">
                  <c:v>5.33</c:v>
                </c:pt>
                <c:pt idx="2">
                  <c:v>4.4400000000000004</c:v>
                </c:pt>
                <c:pt idx="3">
                  <c:v>6.2700000000000014</c:v>
                </c:pt>
              </c:numCache>
            </c:numRef>
          </c:val>
        </c:ser>
        <c:ser>
          <c:idx val="1"/>
          <c:order val="1"/>
          <c:tx>
            <c:strRef>
              <c:f>Feuil5!$A$25</c:f>
              <c:strCache>
                <c:ptCount val="1"/>
                <c:pt idx="0">
                  <c:v>H2</c:v>
                </c:pt>
              </c:strCache>
            </c:strRef>
          </c:tx>
          <c:dLbls>
            <c:dLbl>
              <c:idx val="0"/>
              <c:layout>
                <c:manualLayout>
                  <c:x val="-2.3446658851113716E-2"/>
                  <c:y val="7.5185009768515779E-3"/>
                </c:manualLayout>
              </c:layout>
              <c:showVal val="1"/>
            </c:dLbl>
            <c:dLbl>
              <c:idx val="1"/>
              <c:layout>
                <c:manualLayout>
                  <c:x val="-1.6412661195779603E-2"/>
                  <c:y val="1.5037593984962405E-2"/>
                </c:manualLayout>
              </c:layout>
              <c:showVal val="1"/>
            </c:dLbl>
            <c:showVal val="1"/>
          </c:dLbls>
          <c:cat>
            <c:strRef>
              <c:f>Feuil5!$B$23:$E$23</c:f>
              <c:strCache>
                <c:ptCount val="4"/>
                <c:pt idx="0">
                  <c:v>P"1</c:v>
                </c:pt>
                <c:pt idx="1">
                  <c:v>P"2</c:v>
                </c:pt>
                <c:pt idx="2">
                  <c:v>P"3</c:v>
                </c:pt>
                <c:pt idx="3">
                  <c:v>P"4</c:v>
                </c:pt>
              </c:strCache>
            </c:strRef>
          </c:cat>
          <c:val>
            <c:numRef>
              <c:f>Feuil5!$B$25:$E$25</c:f>
              <c:numCache>
                <c:formatCode>General</c:formatCode>
                <c:ptCount val="4"/>
                <c:pt idx="0">
                  <c:v>10.15</c:v>
                </c:pt>
                <c:pt idx="1">
                  <c:v>15.11</c:v>
                </c:pt>
                <c:pt idx="2">
                  <c:v>10.51</c:v>
                </c:pt>
                <c:pt idx="3">
                  <c:v>13.219999999999999</c:v>
                </c:pt>
              </c:numCache>
            </c:numRef>
          </c:val>
        </c:ser>
        <c:ser>
          <c:idx val="2"/>
          <c:order val="2"/>
          <c:tx>
            <c:strRef>
              <c:f>Feuil5!$A$26</c:f>
              <c:strCache>
                <c:ptCount val="1"/>
                <c:pt idx="0">
                  <c:v>H3</c:v>
                </c:pt>
              </c:strCache>
            </c:strRef>
          </c:tx>
          <c:dLbls>
            <c:dLbl>
              <c:idx val="0"/>
              <c:layout>
                <c:manualLayout>
                  <c:x val="-1.6412661195779603E-2"/>
                  <c:y val="0"/>
                </c:manualLayout>
              </c:layout>
              <c:showVal val="1"/>
            </c:dLbl>
            <c:dLbl>
              <c:idx val="2"/>
              <c:layout>
                <c:manualLayout>
                  <c:x val="-3.7514654161781943E-2"/>
                  <c:y val="3.7593984962406052E-3"/>
                </c:manualLayout>
              </c:layout>
              <c:showVal val="1"/>
            </c:dLbl>
            <c:dLbl>
              <c:idx val="3"/>
              <c:layout>
                <c:manualLayout>
                  <c:x val="-1.4067995310668161E-2"/>
                  <c:y val="0"/>
                </c:manualLayout>
              </c:layout>
              <c:showVal val="1"/>
            </c:dLbl>
            <c:showVal val="1"/>
          </c:dLbls>
          <c:cat>
            <c:strRef>
              <c:f>Feuil5!$B$23:$E$23</c:f>
              <c:strCache>
                <c:ptCount val="4"/>
                <c:pt idx="0">
                  <c:v>P"1</c:v>
                </c:pt>
                <c:pt idx="1">
                  <c:v>P"2</c:v>
                </c:pt>
                <c:pt idx="2">
                  <c:v>P"3</c:v>
                </c:pt>
                <c:pt idx="3">
                  <c:v>P"4</c:v>
                </c:pt>
              </c:strCache>
            </c:strRef>
          </c:cat>
          <c:val>
            <c:numRef>
              <c:f>Feuil5!$B$26:$E$26</c:f>
              <c:numCache>
                <c:formatCode>General</c:formatCode>
                <c:ptCount val="4"/>
                <c:pt idx="0">
                  <c:v>13.99</c:v>
                </c:pt>
                <c:pt idx="1">
                  <c:v>20.5</c:v>
                </c:pt>
                <c:pt idx="2">
                  <c:v>16.489999999999789</c:v>
                </c:pt>
                <c:pt idx="3">
                  <c:v>16.260000000000002</c:v>
                </c:pt>
              </c:numCache>
            </c:numRef>
          </c:val>
        </c:ser>
        <c:ser>
          <c:idx val="3"/>
          <c:order val="3"/>
          <c:tx>
            <c:strRef>
              <c:f>Feuil5!$A$27</c:f>
              <c:strCache>
                <c:ptCount val="1"/>
                <c:pt idx="0">
                  <c:v>H4</c:v>
                </c:pt>
              </c:strCache>
            </c:strRef>
          </c:tx>
          <c:dLbls>
            <c:dLbl>
              <c:idx val="2"/>
              <c:layout>
                <c:manualLayout>
                  <c:x val="-1.4067995310668241E-2"/>
                  <c:y val="0"/>
                </c:manualLayout>
              </c:layout>
              <c:showVal val="1"/>
            </c:dLbl>
            <c:showVal val="1"/>
          </c:dLbls>
          <c:cat>
            <c:strRef>
              <c:f>Feuil5!$B$23:$E$23</c:f>
              <c:strCache>
                <c:ptCount val="4"/>
                <c:pt idx="0">
                  <c:v>P"1</c:v>
                </c:pt>
                <c:pt idx="1">
                  <c:v>P"2</c:v>
                </c:pt>
                <c:pt idx="2">
                  <c:v>P"3</c:v>
                </c:pt>
                <c:pt idx="3">
                  <c:v>P"4</c:v>
                </c:pt>
              </c:strCache>
            </c:strRef>
          </c:cat>
          <c:val>
            <c:numRef>
              <c:f>Feuil5!$B$27:$E$27</c:f>
              <c:numCache>
                <c:formatCode>General</c:formatCode>
                <c:ptCount val="4"/>
                <c:pt idx="0">
                  <c:v>16.610000000000031</c:v>
                </c:pt>
                <c:pt idx="1">
                  <c:v>24.75</c:v>
                </c:pt>
                <c:pt idx="2">
                  <c:v>22.23</c:v>
                </c:pt>
                <c:pt idx="3">
                  <c:v>18.77</c:v>
                </c:pt>
              </c:numCache>
            </c:numRef>
          </c:val>
        </c:ser>
        <c:ser>
          <c:idx val="4"/>
          <c:order val="4"/>
          <c:tx>
            <c:strRef>
              <c:f>Feuil5!$A$28</c:f>
              <c:strCache>
                <c:ptCount val="1"/>
                <c:pt idx="0">
                  <c:v>H5</c:v>
                </c:pt>
              </c:strCache>
            </c:strRef>
          </c:tx>
          <c:dLbls>
            <c:dLbl>
              <c:idx val="0"/>
              <c:layout>
                <c:manualLayout>
                  <c:x val="3.333333333333334E-2"/>
                  <c:y val="0"/>
                </c:manualLayout>
              </c:layout>
              <c:showVal val="1"/>
            </c:dLbl>
            <c:dLbl>
              <c:idx val="1"/>
              <c:layout>
                <c:manualLayout>
                  <c:x val="3.888888888888889E-2"/>
                  <c:y val="0"/>
                </c:manualLayout>
              </c:layout>
              <c:showVal val="1"/>
            </c:dLbl>
            <c:dLbl>
              <c:idx val="3"/>
              <c:layout>
                <c:manualLayout>
                  <c:x val="3.8888888888888785E-2"/>
                  <c:y val="0"/>
                </c:manualLayout>
              </c:layout>
              <c:showVal val="1"/>
            </c:dLbl>
            <c:showVal val="1"/>
          </c:dLbls>
          <c:cat>
            <c:strRef>
              <c:f>Feuil5!$B$23:$E$23</c:f>
              <c:strCache>
                <c:ptCount val="4"/>
                <c:pt idx="0">
                  <c:v>P"1</c:v>
                </c:pt>
                <c:pt idx="1">
                  <c:v>P"2</c:v>
                </c:pt>
                <c:pt idx="2">
                  <c:v>P"3</c:v>
                </c:pt>
                <c:pt idx="3">
                  <c:v>P"4</c:v>
                </c:pt>
              </c:strCache>
            </c:strRef>
          </c:cat>
          <c:val>
            <c:numRef>
              <c:f>Feuil5!$B$28:$E$28</c:f>
              <c:numCache>
                <c:formatCode>General</c:formatCode>
                <c:ptCount val="4"/>
                <c:pt idx="0">
                  <c:v>17.600000000000001</c:v>
                </c:pt>
                <c:pt idx="1">
                  <c:v>25.150000000000031</c:v>
                </c:pt>
                <c:pt idx="2">
                  <c:v>24.85</c:v>
                </c:pt>
                <c:pt idx="3">
                  <c:v>19.75</c:v>
                </c:pt>
              </c:numCache>
            </c:numRef>
          </c:val>
        </c:ser>
        <c:dLbls>
          <c:showVal val="1"/>
        </c:dLbls>
        <c:gapWidth val="75"/>
        <c:shape val="cylinder"/>
        <c:axId val="199082752"/>
        <c:axId val="199084672"/>
        <c:axId val="0"/>
      </c:bar3DChart>
      <c:catAx>
        <c:axId val="199082752"/>
        <c:scaling>
          <c:orientation val="minMax"/>
        </c:scaling>
        <c:axPos val="b"/>
        <c:title>
          <c:tx>
            <c:rich>
              <a:bodyPr/>
              <a:lstStyle/>
              <a:p>
                <a:pPr>
                  <a:defRPr/>
                </a:pPr>
                <a:r>
                  <a:rPr lang="en-US"/>
                  <a:t>Population</a:t>
                </a:r>
              </a:p>
            </c:rich>
          </c:tx>
          <c:layout>
            <c:manualLayout>
              <c:xMode val="edge"/>
              <c:yMode val="edge"/>
              <c:x val="0.40837707786529925"/>
              <c:y val="0.89911380869059065"/>
            </c:manualLayout>
          </c:layout>
        </c:title>
        <c:majorTickMark val="none"/>
        <c:tickLblPos val="nextTo"/>
        <c:crossAx val="199084672"/>
        <c:crosses val="autoZero"/>
        <c:auto val="1"/>
        <c:lblAlgn val="ctr"/>
        <c:lblOffset val="100"/>
      </c:catAx>
      <c:valAx>
        <c:axId val="199084672"/>
        <c:scaling>
          <c:orientation val="minMax"/>
        </c:scaling>
        <c:axPos val="l"/>
        <c:title>
          <c:tx>
            <c:rich>
              <a:bodyPr rot="-5400000" vert="horz"/>
              <a:lstStyle/>
              <a:p>
                <a:pPr>
                  <a:defRPr/>
                </a:pPr>
                <a:r>
                  <a:rPr lang="en-US"/>
                  <a:t>La hauteur moyen des plants en cm</a:t>
                </a:r>
              </a:p>
              <a:p>
                <a:pPr>
                  <a:defRPr/>
                </a:pPr>
                <a:endParaRPr lang="en-US"/>
              </a:p>
            </c:rich>
          </c:tx>
          <c:layout>
            <c:manualLayout>
              <c:xMode val="edge"/>
              <c:yMode val="edge"/>
              <c:x val="2.9825482716706818E-3"/>
              <c:y val="0.20706709007398524"/>
            </c:manualLayout>
          </c:layout>
        </c:title>
        <c:numFmt formatCode="General" sourceLinked="1"/>
        <c:majorTickMark val="none"/>
        <c:tickLblPos val="nextTo"/>
        <c:crossAx val="199082752"/>
        <c:crosses val="autoZero"/>
        <c:crossBetween val="between"/>
      </c:valAx>
    </c:plotArea>
    <c:legend>
      <c:legendPos val="b"/>
      <c:layout>
        <c:manualLayout>
          <c:xMode val="edge"/>
          <c:yMode val="edge"/>
          <c:x val="0.34843766404199478"/>
          <c:y val="6.0351049868766417E-2"/>
          <c:w val="0.36979133858267715"/>
          <c:h val="7.8537839020122513E-2"/>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18"/>
  <c:chart>
    <c:plotArea>
      <c:layout>
        <c:manualLayout>
          <c:layoutTarget val="inner"/>
          <c:xMode val="edge"/>
          <c:yMode val="edge"/>
          <c:x val="0.18094202898550724"/>
          <c:y val="7.9861198448379772E-2"/>
          <c:w val="0.69175000000000064"/>
          <c:h val="0.6970640128317297"/>
        </c:manualLayout>
      </c:layout>
      <c:lineChart>
        <c:grouping val="standard"/>
        <c:ser>
          <c:idx val="0"/>
          <c:order val="0"/>
          <c:tx>
            <c:strRef>
              <c:f>Feuil2!$B$47</c:f>
              <c:strCache>
                <c:ptCount val="1"/>
                <c:pt idx="0">
                  <c:v>moyenne</c:v>
                </c:pt>
              </c:strCache>
            </c:strRef>
          </c:tx>
          <c:cat>
            <c:strRef>
              <c:f>Feuil2!$A$48:$A$53</c:f>
              <c:strCache>
                <c:ptCount val="6"/>
                <c:pt idx="0">
                  <c:v>Jan</c:v>
                </c:pt>
                <c:pt idx="1">
                  <c:v>Fev</c:v>
                </c:pt>
                <c:pt idx="2">
                  <c:v>Mar</c:v>
                </c:pt>
                <c:pt idx="3">
                  <c:v>Avr</c:v>
                </c:pt>
                <c:pt idx="4">
                  <c:v>Mai</c:v>
                </c:pt>
                <c:pt idx="5">
                  <c:v>Jui</c:v>
                </c:pt>
              </c:strCache>
            </c:strRef>
          </c:cat>
          <c:val>
            <c:numRef>
              <c:f>Feuil2!$B$48:$B$53</c:f>
              <c:numCache>
                <c:formatCode>General</c:formatCode>
                <c:ptCount val="6"/>
                <c:pt idx="0">
                  <c:v>10.93516129</c:v>
                </c:pt>
                <c:pt idx="1">
                  <c:v>11.77863636</c:v>
                </c:pt>
                <c:pt idx="2">
                  <c:v>13.70366667</c:v>
                </c:pt>
                <c:pt idx="3">
                  <c:v>14.879568310000026</c:v>
                </c:pt>
                <c:pt idx="4">
                  <c:v>22.04</c:v>
                </c:pt>
                <c:pt idx="5">
                  <c:v>27.297999999999988</c:v>
                </c:pt>
              </c:numCache>
            </c:numRef>
          </c:val>
        </c:ser>
        <c:ser>
          <c:idx val="1"/>
          <c:order val="1"/>
          <c:tx>
            <c:strRef>
              <c:f>Feuil2!$C$47</c:f>
              <c:strCache>
                <c:ptCount val="1"/>
                <c:pt idx="0">
                  <c:v>minimum</c:v>
                </c:pt>
              </c:strCache>
            </c:strRef>
          </c:tx>
          <c:cat>
            <c:strRef>
              <c:f>Feuil2!$A$48:$A$53</c:f>
              <c:strCache>
                <c:ptCount val="6"/>
                <c:pt idx="0">
                  <c:v>Jan</c:v>
                </c:pt>
                <c:pt idx="1">
                  <c:v>Fev</c:v>
                </c:pt>
                <c:pt idx="2">
                  <c:v>Mar</c:v>
                </c:pt>
                <c:pt idx="3">
                  <c:v>Avr</c:v>
                </c:pt>
                <c:pt idx="4">
                  <c:v>Mai</c:v>
                </c:pt>
                <c:pt idx="5">
                  <c:v>Jui</c:v>
                </c:pt>
              </c:strCache>
            </c:strRef>
          </c:cat>
          <c:val>
            <c:numRef>
              <c:f>Feuil2!$C$48:$C$53</c:f>
              <c:numCache>
                <c:formatCode>General</c:formatCode>
                <c:ptCount val="6"/>
                <c:pt idx="0">
                  <c:v>9.0129032260000006</c:v>
                </c:pt>
                <c:pt idx="1">
                  <c:v>10.09090909</c:v>
                </c:pt>
                <c:pt idx="2">
                  <c:v>10.34333333</c:v>
                </c:pt>
                <c:pt idx="3">
                  <c:v>11.372841530000176</c:v>
                </c:pt>
                <c:pt idx="4">
                  <c:v>16.029032259999589</c:v>
                </c:pt>
                <c:pt idx="5">
                  <c:v>20.596666669999987</c:v>
                </c:pt>
              </c:numCache>
            </c:numRef>
          </c:val>
        </c:ser>
        <c:ser>
          <c:idx val="2"/>
          <c:order val="2"/>
          <c:tx>
            <c:strRef>
              <c:f>Feuil2!$D$47</c:f>
              <c:strCache>
                <c:ptCount val="1"/>
                <c:pt idx="0">
                  <c:v>maximum</c:v>
                </c:pt>
              </c:strCache>
            </c:strRef>
          </c:tx>
          <c:cat>
            <c:strRef>
              <c:f>Feuil2!$A$48:$A$53</c:f>
              <c:strCache>
                <c:ptCount val="6"/>
                <c:pt idx="0">
                  <c:v>Jan</c:v>
                </c:pt>
                <c:pt idx="1">
                  <c:v>Fev</c:v>
                </c:pt>
                <c:pt idx="2">
                  <c:v>Mar</c:v>
                </c:pt>
                <c:pt idx="3">
                  <c:v>Avr</c:v>
                </c:pt>
                <c:pt idx="4">
                  <c:v>Mai</c:v>
                </c:pt>
                <c:pt idx="5">
                  <c:v>Jui</c:v>
                </c:pt>
              </c:strCache>
            </c:strRef>
          </c:cat>
          <c:val>
            <c:numRef>
              <c:f>Feuil2!$D$48:$D$53</c:f>
              <c:numCache>
                <c:formatCode>General</c:formatCode>
                <c:ptCount val="6"/>
                <c:pt idx="0">
                  <c:v>12.41935484</c:v>
                </c:pt>
                <c:pt idx="1">
                  <c:v>13.89545455000064</c:v>
                </c:pt>
                <c:pt idx="2">
                  <c:v>16.056666669999988</c:v>
                </c:pt>
                <c:pt idx="3">
                  <c:v>17.064863389999999</c:v>
                </c:pt>
                <c:pt idx="4">
                  <c:v>24.332258060000235</c:v>
                </c:pt>
                <c:pt idx="5">
                  <c:v>29.419999999999987</c:v>
                </c:pt>
              </c:numCache>
            </c:numRef>
          </c:val>
        </c:ser>
        <c:marker val="1"/>
        <c:axId val="203199232"/>
        <c:axId val="203201152"/>
      </c:lineChart>
      <c:catAx>
        <c:axId val="203199232"/>
        <c:scaling>
          <c:orientation val="minMax"/>
        </c:scaling>
        <c:axPos val="b"/>
        <c:title>
          <c:tx>
            <c:rich>
              <a:bodyPr/>
              <a:lstStyle/>
              <a:p>
                <a:pPr>
                  <a:defRPr/>
                </a:pPr>
                <a:r>
                  <a:rPr lang="en-US"/>
                  <a:t>Mois</a:t>
                </a:r>
              </a:p>
            </c:rich>
          </c:tx>
          <c:layout>
            <c:manualLayout>
              <c:xMode val="edge"/>
              <c:yMode val="edge"/>
              <c:x val="0.88858284334779836"/>
              <c:y val="0.79994663714601344"/>
            </c:manualLayout>
          </c:layout>
        </c:title>
        <c:majorTickMark val="none"/>
        <c:tickLblPos val="nextTo"/>
        <c:crossAx val="203201152"/>
        <c:crosses val="autoZero"/>
        <c:auto val="1"/>
        <c:lblAlgn val="ctr"/>
        <c:lblOffset val="100"/>
      </c:catAx>
      <c:valAx>
        <c:axId val="203201152"/>
        <c:scaling>
          <c:orientation val="minMax"/>
        </c:scaling>
        <c:axPos val="l"/>
        <c:title>
          <c:tx>
            <c:rich>
              <a:bodyPr rot="-5400000" vert="horz"/>
              <a:lstStyle/>
              <a:p>
                <a:pPr>
                  <a:defRPr/>
                </a:pPr>
                <a:r>
                  <a:rPr lang="en-US"/>
                  <a:t>Température du sol (C°)</a:t>
                </a:r>
              </a:p>
            </c:rich>
          </c:tx>
          <c:layout>
            <c:manualLayout>
              <c:xMode val="edge"/>
              <c:yMode val="edge"/>
              <c:x val="3.5764375418341252E-2"/>
              <c:y val="0.17078572994206961"/>
            </c:manualLayout>
          </c:layout>
        </c:title>
        <c:numFmt formatCode="General" sourceLinked="1"/>
        <c:majorTickMark val="none"/>
        <c:tickLblPos val="nextTo"/>
        <c:crossAx val="203199232"/>
        <c:crosses val="autoZero"/>
        <c:crossBetween val="between"/>
      </c:valAx>
    </c:plotArea>
    <c:legend>
      <c:legendPos val="b"/>
      <c:layout>
        <c:manualLayout>
          <c:xMode val="edge"/>
          <c:yMode val="edge"/>
          <c:x val="0.20838068197450163"/>
          <c:y val="1.6917306037824913E-2"/>
          <c:w val="0.63478213022114371"/>
          <c:h val="0.17551274247651141"/>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mj-lt"/>
          <a:ea typeface="+mn-ea"/>
          <a:cs typeface="+mn-cs"/>
        </a:defRPr>
      </a:pPr>
      <a:endParaRPr lang="fr-FR"/>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20184313725490199"/>
          <c:y val="6.8217054263565891E-2"/>
          <c:w val="0.75501960784318711"/>
          <c:h val="0.64049612403100753"/>
        </c:manualLayout>
      </c:layout>
      <c:bar3DChart>
        <c:barDir val="col"/>
        <c:grouping val="clustered"/>
        <c:ser>
          <c:idx val="0"/>
          <c:order val="0"/>
          <c:tx>
            <c:strRef>
              <c:f>Feuil5!$B$32</c:f>
              <c:strCache>
                <c:ptCount val="1"/>
                <c:pt idx="0">
                  <c:v>Vc</c:v>
                </c:pt>
              </c:strCache>
            </c:strRef>
          </c:tx>
          <c:dLbls>
            <c:dLbl>
              <c:idx val="0"/>
              <c:layout>
                <c:manualLayout>
                  <c:x val="4.3086067091782848E-17"/>
                  <c:y val="-2.6200873362445452E-2"/>
                </c:manualLayout>
              </c:layout>
              <c:showVal val="1"/>
            </c:dLbl>
            <c:dLbl>
              <c:idx val="1"/>
              <c:layout>
                <c:manualLayout>
                  <c:x val="4.7003525264394828E-3"/>
                  <c:y val="-2.6200873362445452E-2"/>
                </c:manualLayout>
              </c:layout>
              <c:showVal val="1"/>
            </c:dLbl>
            <c:dLbl>
              <c:idx val="2"/>
              <c:layout>
                <c:manualLayout>
                  <c:x val="2.3501762632197414E-3"/>
                  <c:y val="-3.0567685589520412E-2"/>
                </c:manualLayout>
              </c:layout>
              <c:showVal val="1"/>
            </c:dLbl>
            <c:dLbl>
              <c:idx val="3"/>
              <c:layout>
                <c:manualLayout>
                  <c:x val="9.4007050528790766E-3"/>
                  <c:y val="-4.3668122270742356E-2"/>
                </c:manualLayout>
              </c:layout>
              <c:showVal val="1"/>
            </c:dLbl>
            <c:showVal val="1"/>
          </c:dLbls>
          <c:cat>
            <c:strRef>
              <c:f>Feuil5!$C$31:$F$31</c:f>
              <c:strCache>
                <c:ptCount val="4"/>
                <c:pt idx="0">
                  <c:v>P"1</c:v>
                </c:pt>
                <c:pt idx="1">
                  <c:v>P"2</c:v>
                </c:pt>
                <c:pt idx="2">
                  <c:v>P"3</c:v>
                </c:pt>
                <c:pt idx="3">
                  <c:v>P"4</c:v>
                </c:pt>
              </c:strCache>
            </c:strRef>
          </c:cat>
          <c:val>
            <c:numRef>
              <c:f>Feuil5!$C$32:$F$32</c:f>
              <c:numCache>
                <c:formatCode>General</c:formatCode>
                <c:ptCount val="4"/>
                <c:pt idx="0">
                  <c:v>0.42000000000000032</c:v>
                </c:pt>
                <c:pt idx="1">
                  <c:v>0.68</c:v>
                </c:pt>
                <c:pt idx="2">
                  <c:v>0.70000000000000062</c:v>
                </c:pt>
                <c:pt idx="3">
                  <c:v>0.45</c:v>
                </c:pt>
              </c:numCache>
            </c:numRef>
          </c:val>
        </c:ser>
        <c:dLbls>
          <c:showVal val="1"/>
        </c:dLbls>
        <c:gapWidth val="75"/>
        <c:shape val="cylinder"/>
        <c:axId val="136375296"/>
        <c:axId val="136377472"/>
        <c:axId val="0"/>
      </c:bar3DChart>
      <c:catAx>
        <c:axId val="136375296"/>
        <c:scaling>
          <c:orientation val="minMax"/>
        </c:scaling>
        <c:axPos val="b"/>
        <c:title>
          <c:tx>
            <c:rich>
              <a:bodyPr/>
              <a:lstStyle/>
              <a:p>
                <a:pPr>
                  <a:defRPr/>
                </a:pPr>
                <a:r>
                  <a:rPr lang="en-US"/>
                  <a:t>Population</a:t>
                </a:r>
              </a:p>
            </c:rich>
          </c:tx>
        </c:title>
        <c:majorTickMark val="none"/>
        <c:tickLblPos val="nextTo"/>
        <c:crossAx val="136377472"/>
        <c:crosses val="autoZero"/>
        <c:auto val="1"/>
        <c:lblAlgn val="ctr"/>
        <c:lblOffset val="100"/>
      </c:catAx>
      <c:valAx>
        <c:axId val="136377472"/>
        <c:scaling>
          <c:orientation val="minMax"/>
        </c:scaling>
        <c:axPos val="l"/>
        <c:title>
          <c:tx>
            <c:rich>
              <a:bodyPr rot="-5400000" vert="horz"/>
              <a:lstStyle/>
              <a:p>
                <a:pPr>
                  <a:defRPr/>
                </a:pPr>
                <a:r>
                  <a:rPr lang="en-US"/>
                  <a:t>Vitesse moyenne</a:t>
                </a:r>
              </a:p>
              <a:p>
                <a:pPr>
                  <a:defRPr/>
                </a:pPr>
                <a:r>
                  <a:rPr lang="en-US"/>
                  <a:t> de croissance en hauteur ( cm/j)</a:t>
                </a:r>
              </a:p>
            </c:rich>
          </c:tx>
        </c:title>
        <c:numFmt formatCode="General" sourceLinked="1"/>
        <c:majorTickMark val="none"/>
        <c:tickLblPos val="nextTo"/>
        <c:crossAx val="136375296"/>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6.9361111111112123E-2"/>
          <c:y val="0.12037037037037036"/>
          <c:w val="0.88619444444444462"/>
          <c:h val="0.6970640128317297"/>
        </c:manualLayout>
      </c:layout>
      <c:bar3DChart>
        <c:barDir val="col"/>
        <c:grouping val="clustered"/>
        <c:ser>
          <c:idx val="0"/>
          <c:order val="0"/>
          <c:tx>
            <c:strRef>
              <c:f>Feuil5!$B$43</c:f>
              <c:strCache>
                <c:ptCount val="1"/>
                <c:pt idx="0">
                  <c:v>NR1</c:v>
                </c:pt>
              </c:strCache>
            </c:strRef>
          </c:tx>
          <c:dLbls>
            <c:dLbl>
              <c:idx val="1"/>
              <c:layout>
                <c:manualLayout>
                  <c:x val="-6.9605568445476104E-3"/>
                  <c:y val="-3.5714285714285058E-3"/>
                </c:manualLayout>
              </c:layout>
              <c:showVal val="1"/>
            </c:dLbl>
            <c:showVal val="1"/>
          </c:dLbls>
          <c:cat>
            <c:strRef>
              <c:f>Feuil5!$C$42:$F$42</c:f>
              <c:strCache>
                <c:ptCount val="4"/>
                <c:pt idx="0">
                  <c:v>P"1</c:v>
                </c:pt>
                <c:pt idx="1">
                  <c:v>P"2</c:v>
                </c:pt>
                <c:pt idx="2">
                  <c:v>P"3</c:v>
                </c:pt>
                <c:pt idx="3">
                  <c:v>P"4</c:v>
                </c:pt>
              </c:strCache>
            </c:strRef>
          </c:cat>
          <c:val>
            <c:numRef>
              <c:f>Feuil5!$C$43:$F$43</c:f>
              <c:numCache>
                <c:formatCode>General</c:formatCode>
                <c:ptCount val="4"/>
                <c:pt idx="0">
                  <c:v>3.75</c:v>
                </c:pt>
                <c:pt idx="1">
                  <c:v>5.17</c:v>
                </c:pt>
                <c:pt idx="2">
                  <c:v>4.9000000000000004</c:v>
                </c:pt>
                <c:pt idx="3">
                  <c:v>4.4000000000000004</c:v>
                </c:pt>
              </c:numCache>
            </c:numRef>
          </c:val>
        </c:ser>
        <c:ser>
          <c:idx val="1"/>
          <c:order val="1"/>
          <c:tx>
            <c:strRef>
              <c:f>Feuil5!$B$44</c:f>
              <c:strCache>
                <c:ptCount val="1"/>
                <c:pt idx="0">
                  <c:v>NR2</c:v>
                </c:pt>
              </c:strCache>
            </c:strRef>
          </c:tx>
          <c:dLbls>
            <c:dLbl>
              <c:idx val="1"/>
              <c:layout>
                <c:manualLayout>
                  <c:x val="1.6241299303944315E-2"/>
                  <c:y val="0"/>
                </c:manualLayout>
              </c:layout>
              <c:showVal val="1"/>
            </c:dLbl>
            <c:dLbl>
              <c:idx val="3"/>
              <c:layout>
                <c:manualLayout>
                  <c:x val="1.8561484918793541E-2"/>
                  <c:y val="0"/>
                </c:manualLayout>
              </c:layout>
              <c:showVal val="1"/>
            </c:dLbl>
            <c:showVal val="1"/>
          </c:dLbls>
          <c:cat>
            <c:strRef>
              <c:f>Feuil5!$C$42:$F$42</c:f>
              <c:strCache>
                <c:ptCount val="4"/>
                <c:pt idx="0">
                  <c:v>P"1</c:v>
                </c:pt>
                <c:pt idx="1">
                  <c:v>P"2</c:v>
                </c:pt>
                <c:pt idx="2">
                  <c:v>P"3</c:v>
                </c:pt>
                <c:pt idx="3">
                  <c:v>P"4</c:v>
                </c:pt>
              </c:strCache>
            </c:strRef>
          </c:cat>
          <c:val>
            <c:numRef>
              <c:f>Feuil5!$C$44:$F$44</c:f>
              <c:numCache>
                <c:formatCode>General</c:formatCode>
                <c:ptCount val="4"/>
                <c:pt idx="0">
                  <c:v>2</c:v>
                </c:pt>
                <c:pt idx="1">
                  <c:v>4.9700000000000024</c:v>
                </c:pt>
                <c:pt idx="2">
                  <c:v>5.7700000000000014</c:v>
                </c:pt>
                <c:pt idx="3">
                  <c:v>3.92</c:v>
                </c:pt>
              </c:numCache>
            </c:numRef>
          </c:val>
        </c:ser>
        <c:ser>
          <c:idx val="2"/>
          <c:order val="2"/>
          <c:tx>
            <c:strRef>
              <c:f>Feuil5!$B$45</c:f>
              <c:strCache>
                <c:ptCount val="1"/>
                <c:pt idx="0">
                  <c:v>NR3</c:v>
                </c:pt>
              </c:strCache>
            </c:strRef>
          </c:tx>
          <c:dLbls>
            <c:dLbl>
              <c:idx val="1"/>
              <c:layout>
                <c:manualLayout>
                  <c:x val="8.3333333333334026E-3"/>
                  <c:y val="0"/>
                </c:manualLayout>
              </c:layout>
              <c:showVal val="1"/>
            </c:dLbl>
            <c:dLbl>
              <c:idx val="2"/>
              <c:layout>
                <c:manualLayout>
                  <c:x val="1.4836216818605414E-2"/>
                  <c:y val="0"/>
                </c:manualLayout>
              </c:layout>
              <c:showVal val="1"/>
            </c:dLbl>
            <c:dLbl>
              <c:idx val="3"/>
              <c:layout>
                <c:manualLayout>
                  <c:x val="4.6082174762957385E-3"/>
                  <c:y val="8.2010686164229567E-3"/>
                </c:manualLayout>
              </c:layout>
              <c:showVal val="1"/>
            </c:dLbl>
            <c:showVal val="1"/>
          </c:dLbls>
          <c:cat>
            <c:strRef>
              <c:f>Feuil5!$C$42:$F$42</c:f>
              <c:strCache>
                <c:ptCount val="4"/>
                <c:pt idx="0">
                  <c:v>P"1</c:v>
                </c:pt>
                <c:pt idx="1">
                  <c:v>P"2</c:v>
                </c:pt>
                <c:pt idx="2">
                  <c:v>P"3</c:v>
                </c:pt>
                <c:pt idx="3">
                  <c:v>P"4</c:v>
                </c:pt>
              </c:strCache>
            </c:strRef>
          </c:cat>
          <c:val>
            <c:numRef>
              <c:f>Feuil5!$C$45:$F$45</c:f>
              <c:numCache>
                <c:formatCode>General</c:formatCode>
                <c:ptCount val="4"/>
                <c:pt idx="0">
                  <c:v>2.27</c:v>
                </c:pt>
                <c:pt idx="1">
                  <c:v>1.2</c:v>
                </c:pt>
                <c:pt idx="2">
                  <c:v>2.25</c:v>
                </c:pt>
                <c:pt idx="3">
                  <c:v>0.70000000000000062</c:v>
                </c:pt>
              </c:numCache>
            </c:numRef>
          </c:val>
        </c:ser>
        <c:ser>
          <c:idx val="3"/>
          <c:order val="3"/>
          <c:tx>
            <c:strRef>
              <c:f>Feuil5!$B$46</c:f>
              <c:strCache>
                <c:ptCount val="1"/>
                <c:pt idx="0">
                  <c:v>NTR</c:v>
                </c:pt>
              </c:strCache>
            </c:strRef>
          </c:tx>
          <c:dLbls>
            <c:showVal val="1"/>
          </c:dLbls>
          <c:cat>
            <c:strRef>
              <c:f>Feuil5!$C$42:$F$42</c:f>
              <c:strCache>
                <c:ptCount val="4"/>
                <c:pt idx="0">
                  <c:v>P"1</c:v>
                </c:pt>
                <c:pt idx="1">
                  <c:v>P"2</c:v>
                </c:pt>
                <c:pt idx="2">
                  <c:v>P"3</c:v>
                </c:pt>
                <c:pt idx="3">
                  <c:v>P"4</c:v>
                </c:pt>
              </c:strCache>
            </c:strRef>
          </c:cat>
          <c:val>
            <c:numRef>
              <c:f>Feuil5!$C$46:$F$46</c:f>
              <c:numCache>
                <c:formatCode>General</c:formatCode>
                <c:ptCount val="4"/>
                <c:pt idx="0">
                  <c:v>7.4700000000000024</c:v>
                </c:pt>
                <c:pt idx="1">
                  <c:v>11.32</c:v>
                </c:pt>
                <c:pt idx="2">
                  <c:v>12.870000000000006</c:v>
                </c:pt>
                <c:pt idx="3">
                  <c:v>9.2200000000000006</c:v>
                </c:pt>
              </c:numCache>
            </c:numRef>
          </c:val>
        </c:ser>
        <c:dLbls>
          <c:showVal val="1"/>
        </c:dLbls>
        <c:gapWidth val="75"/>
        <c:shape val="cylinder"/>
        <c:axId val="136422144"/>
        <c:axId val="136424064"/>
        <c:axId val="0"/>
      </c:bar3DChart>
      <c:catAx>
        <c:axId val="136422144"/>
        <c:scaling>
          <c:orientation val="minMax"/>
        </c:scaling>
        <c:axPos val="b"/>
        <c:title>
          <c:tx>
            <c:rich>
              <a:bodyPr/>
              <a:lstStyle/>
              <a:p>
                <a:pPr>
                  <a:defRPr/>
                </a:pPr>
                <a:r>
                  <a:rPr lang="en-US"/>
                  <a:t>Population</a:t>
                </a:r>
              </a:p>
            </c:rich>
          </c:tx>
        </c:title>
        <c:majorTickMark val="none"/>
        <c:tickLblPos val="nextTo"/>
        <c:crossAx val="136424064"/>
        <c:crosses val="autoZero"/>
        <c:auto val="1"/>
        <c:lblAlgn val="ctr"/>
        <c:lblOffset val="100"/>
      </c:catAx>
      <c:valAx>
        <c:axId val="136424064"/>
        <c:scaling>
          <c:orientation val="minMax"/>
        </c:scaling>
        <c:axPos val="l"/>
        <c:numFmt formatCode="General" sourceLinked="1"/>
        <c:majorTickMark val="none"/>
        <c:tickLblPos val="nextTo"/>
        <c:crossAx val="136422144"/>
        <c:crosses val="autoZero"/>
        <c:crossBetween val="between"/>
      </c:valAx>
    </c:plotArea>
    <c:legend>
      <c:legendPos val="b"/>
      <c:layout>
        <c:manualLayout>
          <c:xMode val="edge"/>
          <c:yMode val="edge"/>
          <c:x val="0.29187795275591188"/>
          <c:y val="4.6462160979877515E-2"/>
          <c:w val="0.39842708087740947"/>
          <c:h val="0.10008352488000849"/>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2818973258594776"/>
          <c:y val="3.6764705882352942E-2"/>
          <c:w val="0.87006626272556253"/>
          <c:h val="0.74278601204261263"/>
        </c:manualLayout>
      </c:layout>
      <c:bar3DChart>
        <c:barDir val="col"/>
        <c:grouping val="clustered"/>
        <c:ser>
          <c:idx val="0"/>
          <c:order val="0"/>
          <c:tx>
            <c:strRef>
              <c:f>Feuil5!$A$51</c:f>
              <c:strCache>
                <c:ptCount val="1"/>
                <c:pt idx="0">
                  <c:v>NC</c:v>
                </c:pt>
              </c:strCache>
            </c:strRef>
          </c:tx>
          <c:dLbls>
            <c:dLbl>
              <c:idx val="0"/>
              <c:layout>
                <c:manualLayout>
                  <c:x val="-2.4009603841536613E-3"/>
                  <c:y val="-2.4509803921568631E-2"/>
                </c:manualLayout>
              </c:layout>
              <c:tx>
                <c:rich>
                  <a:bodyPr/>
                  <a:lstStyle/>
                  <a:p>
                    <a:r>
                      <a:rPr lang="en-US"/>
                      <a:t>8</a:t>
                    </a:r>
                  </a:p>
                </c:rich>
              </c:tx>
              <c:showVal val="1"/>
            </c:dLbl>
            <c:dLbl>
              <c:idx val="1"/>
              <c:layout>
                <c:manualLayout>
                  <c:x val="0"/>
                  <c:y val="-3.9215686274509803E-2"/>
                </c:manualLayout>
              </c:layout>
              <c:showVal val="1"/>
            </c:dLbl>
            <c:dLbl>
              <c:idx val="2"/>
              <c:layout>
                <c:manualLayout>
                  <c:x val="7.2028811524609904E-3"/>
                  <c:y val="-3.9215686274509803E-2"/>
                </c:manualLayout>
              </c:layout>
              <c:showVal val="1"/>
            </c:dLbl>
            <c:dLbl>
              <c:idx val="3"/>
              <c:layout>
                <c:manualLayout>
                  <c:x val="4.8019207683073304E-3"/>
                  <c:y val="-3.9215686274509831E-2"/>
                </c:manualLayout>
              </c:layout>
              <c:showVal val="1"/>
            </c:dLbl>
            <c:showVal val="1"/>
          </c:dLbls>
          <c:cat>
            <c:strRef>
              <c:f>Feuil5!$B$50:$E$50</c:f>
              <c:strCache>
                <c:ptCount val="4"/>
                <c:pt idx="0">
                  <c:v>P"1</c:v>
                </c:pt>
                <c:pt idx="1">
                  <c:v>P"2</c:v>
                </c:pt>
                <c:pt idx="2">
                  <c:v>P"3</c:v>
                </c:pt>
                <c:pt idx="3">
                  <c:v>P"4</c:v>
                </c:pt>
              </c:strCache>
            </c:strRef>
          </c:cat>
          <c:val>
            <c:numRef>
              <c:f>Feuil5!$B$51:$E$51</c:f>
              <c:numCache>
                <c:formatCode>General</c:formatCode>
                <c:ptCount val="4"/>
                <c:pt idx="0">
                  <c:v>8.2000000000000011</c:v>
                </c:pt>
                <c:pt idx="1">
                  <c:v>12.42</c:v>
                </c:pt>
                <c:pt idx="2">
                  <c:v>13.82</c:v>
                </c:pt>
                <c:pt idx="3">
                  <c:v>10.729999999999999</c:v>
                </c:pt>
              </c:numCache>
            </c:numRef>
          </c:val>
        </c:ser>
        <c:dLbls>
          <c:showVal val="1"/>
        </c:dLbls>
        <c:gapWidth val="75"/>
        <c:shape val="cylinder"/>
        <c:axId val="136444160"/>
        <c:axId val="137101696"/>
        <c:axId val="0"/>
      </c:bar3DChart>
      <c:catAx>
        <c:axId val="136444160"/>
        <c:scaling>
          <c:orientation val="minMax"/>
        </c:scaling>
        <c:axPos val="b"/>
        <c:title>
          <c:tx>
            <c:rich>
              <a:bodyPr/>
              <a:lstStyle/>
              <a:p>
                <a:pPr>
                  <a:defRPr/>
                </a:pPr>
                <a:r>
                  <a:rPr lang="en-US"/>
                  <a:t>Population</a:t>
                </a:r>
              </a:p>
            </c:rich>
          </c:tx>
        </c:title>
        <c:majorTickMark val="none"/>
        <c:tickLblPos val="nextTo"/>
        <c:crossAx val="137101696"/>
        <c:crosses val="autoZero"/>
        <c:auto val="1"/>
        <c:lblAlgn val="ctr"/>
        <c:lblOffset val="100"/>
      </c:catAx>
      <c:valAx>
        <c:axId val="137101696"/>
        <c:scaling>
          <c:orientation val="minMax"/>
        </c:scaling>
        <c:axPos val="l"/>
        <c:title>
          <c:tx>
            <c:rich>
              <a:bodyPr rot="-5400000" vert="horz"/>
              <a:lstStyle/>
              <a:p>
                <a:pPr>
                  <a:defRPr/>
                </a:pPr>
                <a:r>
                  <a:rPr lang="en-US"/>
                  <a:t>Nombre moyen de</a:t>
                </a:r>
                <a:r>
                  <a:rPr lang="en-US" baseline="0"/>
                  <a:t> </a:t>
                </a:r>
                <a:r>
                  <a:rPr lang="en-US"/>
                  <a:t>capsules par plant</a:t>
                </a:r>
              </a:p>
            </c:rich>
          </c:tx>
          <c:layout>
            <c:manualLayout>
              <c:xMode val="edge"/>
              <c:yMode val="edge"/>
              <c:x val="1.8159578792146781E-2"/>
              <c:y val="7.4074031187278122E-2"/>
            </c:manualLayout>
          </c:layout>
        </c:title>
        <c:numFmt formatCode="General" sourceLinked="1"/>
        <c:majorTickMark val="none"/>
        <c:tickLblPos val="nextTo"/>
        <c:crossAx val="136444160"/>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0.16472989195678273"/>
          <c:y val="6.3978494623655915E-2"/>
          <c:w val="0.808859543817527"/>
          <c:h val="0.689731182795699"/>
        </c:manualLayout>
      </c:layout>
      <c:bar3DChart>
        <c:barDir val="col"/>
        <c:grouping val="clustered"/>
        <c:ser>
          <c:idx val="0"/>
          <c:order val="0"/>
          <c:tx>
            <c:strRef>
              <c:f>Feuil5!$A$55</c:f>
              <c:strCache>
                <c:ptCount val="1"/>
                <c:pt idx="0">
                  <c:v>PCSP</c:v>
                </c:pt>
              </c:strCache>
            </c:strRef>
          </c:tx>
          <c:dLbls>
            <c:dLbl>
              <c:idx val="0"/>
              <c:layout>
                <c:manualLayout>
                  <c:x val="0"/>
                  <c:y val="-2.6881720430107652E-2"/>
                </c:manualLayout>
              </c:layout>
              <c:showVal val="1"/>
            </c:dLbl>
            <c:dLbl>
              <c:idx val="1"/>
              <c:layout>
                <c:manualLayout>
                  <c:x val="-2.4009603841536613E-3"/>
                  <c:y val="-1.6129032258064523E-2"/>
                </c:manualLayout>
              </c:layout>
              <c:showVal val="1"/>
            </c:dLbl>
            <c:dLbl>
              <c:idx val="2"/>
              <c:layout>
                <c:manualLayout>
                  <c:x val="0"/>
                  <c:y val="-2.150537634408603E-2"/>
                </c:manualLayout>
              </c:layout>
              <c:showVal val="1"/>
            </c:dLbl>
            <c:dLbl>
              <c:idx val="3"/>
              <c:layout>
                <c:manualLayout>
                  <c:x val="0"/>
                  <c:y val="-4.3010752688172046E-2"/>
                </c:manualLayout>
              </c:layout>
              <c:showVal val="1"/>
            </c:dLbl>
            <c:showVal val="1"/>
          </c:dLbls>
          <c:cat>
            <c:strRef>
              <c:f>Feuil5!$B$54:$E$54</c:f>
              <c:strCache>
                <c:ptCount val="4"/>
                <c:pt idx="0">
                  <c:v>P"1</c:v>
                </c:pt>
                <c:pt idx="1">
                  <c:v>P"2</c:v>
                </c:pt>
                <c:pt idx="2">
                  <c:v>P"3</c:v>
                </c:pt>
                <c:pt idx="3">
                  <c:v>P"4</c:v>
                </c:pt>
              </c:strCache>
            </c:strRef>
          </c:cat>
          <c:val>
            <c:numRef>
              <c:f>Feuil5!$B$55:$E$55</c:f>
              <c:numCache>
                <c:formatCode>General</c:formatCode>
                <c:ptCount val="4"/>
                <c:pt idx="0">
                  <c:v>2.19</c:v>
                </c:pt>
                <c:pt idx="1">
                  <c:v>3.11</c:v>
                </c:pt>
                <c:pt idx="2">
                  <c:v>3.11</c:v>
                </c:pt>
                <c:pt idx="3">
                  <c:v>3.01</c:v>
                </c:pt>
              </c:numCache>
            </c:numRef>
          </c:val>
        </c:ser>
        <c:dLbls>
          <c:showVal val="1"/>
        </c:dLbls>
        <c:gapWidth val="75"/>
        <c:shape val="cylinder"/>
        <c:axId val="137130368"/>
        <c:axId val="137132288"/>
        <c:axId val="0"/>
      </c:bar3DChart>
      <c:catAx>
        <c:axId val="137130368"/>
        <c:scaling>
          <c:orientation val="minMax"/>
        </c:scaling>
        <c:axPos val="b"/>
        <c:title>
          <c:tx>
            <c:rich>
              <a:bodyPr/>
              <a:lstStyle/>
              <a:p>
                <a:pPr>
                  <a:defRPr/>
                </a:pPr>
                <a:r>
                  <a:rPr lang="en-US"/>
                  <a:t>Population</a:t>
                </a:r>
              </a:p>
            </c:rich>
          </c:tx>
        </c:title>
        <c:majorTickMark val="none"/>
        <c:tickLblPos val="nextTo"/>
        <c:crossAx val="137132288"/>
        <c:crosses val="autoZero"/>
        <c:auto val="1"/>
        <c:lblAlgn val="ctr"/>
        <c:lblOffset val="100"/>
      </c:catAx>
      <c:valAx>
        <c:axId val="137132288"/>
        <c:scaling>
          <c:orientation val="minMax"/>
        </c:scaling>
        <c:axPos val="l"/>
        <c:title>
          <c:tx>
            <c:rich>
              <a:bodyPr rot="-5400000" vert="horz"/>
              <a:lstStyle/>
              <a:p>
                <a:pPr>
                  <a:defRPr/>
                </a:pPr>
                <a:r>
                  <a:rPr lang="en-US"/>
                  <a:t>Poids moyen de capsules par plant</a:t>
                </a:r>
                <a:r>
                  <a:rPr lang="en-US" baseline="0"/>
                  <a:t> </a:t>
                </a:r>
              </a:p>
              <a:p>
                <a:pPr>
                  <a:defRPr/>
                </a:pPr>
                <a:r>
                  <a:rPr lang="en-US"/>
                  <a:t> en g</a:t>
                </a:r>
              </a:p>
            </c:rich>
          </c:tx>
          <c:layout>
            <c:manualLayout>
              <c:xMode val="edge"/>
              <c:yMode val="edge"/>
              <c:x val="4.4959779187265458E-2"/>
              <c:y val="0.10698924731182796"/>
            </c:manualLayout>
          </c:layout>
        </c:title>
        <c:numFmt formatCode="General" sourceLinked="1"/>
        <c:majorTickMark val="none"/>
        <c:tickLblPos val="nextTo"/>
        <c:crossAx val="137130368"/>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8.0472222222222223E-2"/>
          <c:y val="0.10648148148148816"/>
          <c:w val="0.88619444444444462"/>
          <c:h val="0.6970640128317297"/>
        </c:manualLayout>
      </c:layout>
      <c:bar3DChart>
        <c:barDir val="col"/>
        <c:grouping val="clustered"/>
        <c:ser>
          <c:idx val="0"/>
          <c:order val="0"/>
          <c:tx>
            <c:strRef>
              <c:f>Feuil5!$A$59</c:f>
              <c:strCache>
                <c:ptCount val="1"/>
                <c:pt idx="0">
                  <c:v>LCs</c:v>
                </c:pt>
              </c:strCache>
            </c:strRef>
          </c:tx>
          <c:dLbls>
            <c:dLbl>
              <c:idx val="0"/>
              <c:layout>
                <c:manualLayout>
                  <c:x val="7.2028811524609904E-3"/>
                  <c:y val="-2.6178010471206447E-2"/>
                </c:manualLayout>
              </c:layout>
              <c:showVal val="1"/>
            </c:dLbl>
            <c:dLbl>
              <c:idx val="1"/>
              <c:layout>
                <c:manualLayout>
                  <c:x val="1.6806722689076101E-2"/>
                  <c:y val="-4.1884816753926704E-2"/>
                </c:manualLayout>
              </c:layout>
              <c:showVal val="1"/>
            </c:dLbl>
            <c:dLbl>
              <c:idx val="2"/>
              <c:layout>
                <c:manualLayout>
                  <c:x val="-7.2028811524609904E-3"/>
                  <c:y val="-3.6649214659686256E-2"/>
                </c:manualLayout>
              </c:layout>
              <c:showVal val="1"/>
            </c:dLbl>
            <c:dLbl>
              <c:idx val="3"/>
              <c:layout>
                <c:manualLayout>
                  <c:x val="-2.4009603841537493E-3"/>
                  <c:y val="-2.0942408376963352E-2"/>
                </c:manualLayout>
              </c:layout>
              <c:showVal val="1"/>
            </c:dLbl>
            <c:showVal val="1"/>
          </c:dLbls>
          <c:cat>
            <c:strRef>
              <c:f>Feuil5!$B$58:$E$58</c:f>
              <c:strCache>
                <c:ptCount val="4"/>
                <c:pt idx="0">
                  <c:v>P"1</c:v>
                </c:pt>
                <c:pt idx="1">
                  <c:v>P"2</c:v>
                </c:pt>
                <c:pt idx="2">
                  <c:v>P"3</c:v>
                </c:pt>
                <c:pt idx="3">
                  <c:v>P"4</c:v>
                </c:pt>
              </c:strCache>
            </c:strRef>
          </c:cat>
          <c:val>
            <c:numRef>
              <c:f>Feuil5!$B$59:$E$59</c:f>
              <c:numCache>
                <c:formatCode>General</c:formatCode>
                <c:ptCount val="4"/>
                <c:pt idx="0">
                  <c:v>12.83</c:v>
                </c:pt>
                <c:pt idx="1">
                  <c:v>12.02</c:v>
                </c:pt>
                <c:pt idx="2">
                  <c:v>11.17</c:v>
                </c:pt>
                <c:pt idx="3">
                  <c:v>11.55</c:v>
                </c:pt>
              </c:numCache>
            </c:numRef>
          </c:val>
        </c:ser>
        <c:ser>
          <c:idx val="1"/>
          <c:order val="1"/>
          <c:tx>
            <c:strRef>
              <c:f>Feuil5!$A$60</c:f>
              <c:strCache>
                <c:ptCount val="1"/>
                <c:pt idx="0">
                  <c:v>DCs</c:v>
                </c:pt>
              </c:strCache>
            </c:strRef>
          </c:tx>
          <c:dLbls>
            <c:dLbl>
              <c:idx val="0"/>
              <c:layout>
                <c:manualLayout>
                  <c:x val="2.8811524609843941E-2"/>
                  <c:y val="-3.1413612565447731E-2"/>
                </c:manualLayout>
              </c:layout>
              <c:showVal val="1"/>
            </c:dLbl>
            <c:dLbl>
              <c:idx val="1"/>
              <c:layout>
                <c:manualLayout>
                  <c:x val="1.6806722689076101E-2"/>
                  <c:y val="-2.0942408376963352E-2"/>
                </c:manualLayout>
              </c:layout>
              <c:showVal val="1"/>
            </c:dLbl>
            <c:dLbl>
              <c:idx val="2"/>
              <c:layout>
                <c:manualLayout>
                  <c:x val="9.6038415366147527E-3"/>
                  <c:y val="-2.0942408376963352E-2"/>
                </c:manualLayout>
              </c:layout>
              <c:showVal val="1"/>
            </c:dLbl>
            <c:dLbl>
              <c:idx val="3"/>
              <c:layout>
                <c:manualLayout>
                  <c:x val="2.6410564225690273E-2"/>
                  <c:y val="-1.5706806282722561E-2"/>
                </c:manualLayout>
              </c:layout>
              <c:showVal val="1"/>
            </c:dLbl>
            <c:showVal val="1"/>
          </c:dLbls>
          <c:cat>
            <c:strRef>
              <c:f>Feuil5!$B$58:$E$58</c:f>
              <c:strCache>
                <c:ptCount val="4"/>
                <c:pt idx="0">
                  <c:v>P"1</c:v>
                </c:pt>
                <c:pt idx="1">
                  <c:v>P"2</c:v>
                </c:pt>
                <c:pt idx="2">
                  <c:v>P"3</c:v>
                </c:pt>
                <c:pt idx="3">
                  <c:v>P"4</c:v>
                </c:pt>
              </c:strCache>
            </c:strRef>
          </c:cat>
          <c:val>
            <c:numRef>
              <c:f>Feuil5!$B$60:$E$60</c:f>
              <c:numCache>
                <c:formatCode>General</c:formatCode>
                <c:ptCount val="4"/>
                <c:pt idx="0">
                  <c:v>10.360000000000024</c:v>
                </c:pt>
                <c:pt idx="1">
                  <c:v>9.98</c:v>
                </c:pt>
                <c:pt idx="2">
                  <c:v>9.6</c:v>
                </c:pt>
                <c:pt idx="3">
                  <c:v>11.32</c:v>
                </c:pt>
              </c:numCache>
            </c:numRef>
          </c:val>
        </c:ser>
        <c:dLbls>
          <c:showVal val="1"/>
        </c:dLbls>
        <c:gapWidth val="75"/>
        <c:shape val="cylinder"/>
        <c:axId val="137166208"/>
        <c:axId val="188630528"/>
        <c:axId val="0"/>
      </c:bar3DChart>
      <c:catAx>
        <c:axId val="137166208"/>
        <c:scaling>
          <c:orientation val="minMax"/>
        </c:scaling>
        <c:axPos val="b"/>
        <c:title>
          <c:tx>
            <c:rich>
              <a:bodyPr/>
              <a:lstStyle/>
              <a:p>
                <a:pPr>
                  <a:defRPr/>
                </a:pPr>
                <a:r>
                  <a:rPr lang="en-US"/>
                  <a:t>Population</a:t>
                </a:r>
              </a:p>
            </c:rich>
          </c:tx>
          <c:layout>
            <c:manualLayout>
              <c:xMode val="edge"/>
              <c:yMode val="edge"/>
              <c:x val="0.42229661194521334"/>
              <c:y val="0.90663506967020002"/>
            </c:manualLayout>
          </c:layout>
        </c:title>
        <c:majorTickMark val="none"/>
        <c:tickLblPos val="nextTo"/>
        <c:crossAx val="188630528"/>
        <c:crosses val="autoZero"/>
        <c:auto val="1"/>
        <c:lblAlgn val="ctr"/>
        <c:lblOffset val="100"/>
      </c:catAx>
      <c:valAx>
        <c:axId val="188630528"/>
        <c:scaling>
          <c:orientation val="minMax"/>
        </c:scaling>
        <c:axPos val="l"/>
        <c:numFmt formatCode="General" sourceLinked="1"/>
        <c:majorTickMark val="none"/>
        <c:tickLblPos val="nextTo"/>
        <c:crossAx val="137166208"/>
        <c:crosses val="autoZero"/>
        <c:crossBetween val="between"/>
      </c:valAx>
    </c:plotArea>
    <c:legend>
      <c:legendPos val="b"/>
      <c:layout>
        <c:manualLayout>
          <c:xMode val="edge"/>
          <c:yMode val="edge"/>
          <c:x val="0.39269181977252837"/>
          <c:y val="5.5721420239137134E-2"/>
          <c:w val="0.18128302712160976"/>
          <c:h val="7.8537839020122513E-2"/>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manualLayout>
          <c:layoutTarget val="inner"/>
          <c:xMode val="edge"/>
          <c:yMode val="edge"/>
          <c:x val="9.0194444444445243E-2"/>
          <c:y val="3.2407407407410792E-2"/>
          <c:w val="0.87925000000000064"/>
          <c:h val="0.75708333333334465"/>
        </c:manualLayout>
      </c:layout>
      <c:bar3DChart>
        <c:barDir val="col"/>
        <c:grouping val="clustered"/>
        <c:ser>
          <c:idx val="0"/>
          <c:order val="0"/>
          <c:tx>
            <c:strRef>
              <c:f>Feuil5!$A$65</c:f>
              <c:strCache>
                <c:ptCount val="1"/>
                <c:pt idx="0">
                  <c:v>NV</c:v>
                </c:pt>
              </c:strCache>
            </c:strRef>
          </c:tx>
          <c:dLbls>
            <c:dLbl>
              <c:idx val="0"/>
              <c:layout>
                <c:manualLayout>
                  <c:x val="2.3282887077997671E-3"/>
                  <c:y val="-2.4291497975708502E-2"/>
                </c:manualLayout>
              </c:layout>
              <c:showVal val="1"/>
            </c:dLbl>
            <c:dLbl>
              <c:idx val="1"/>
              <c:layout>
                <c:manualLayout>
                  <c:x val="4.6565774155995533E-3"/>
                  <c:y val="-2.4291497975708502E-2"/>
                </c:manualLayout>
              </c:layout>
              <c:showVal val="1"/>
            </c:dLbl>
            <c:dLbl>
              <c:idx val="2"/>
              <c:layout>
                <c:manualLayout>
                  <c:x val="2.3282887077997671E-3"/>
                  <c:y val="-3.2388663967611336E-2"/>
                </c:manualLayout>
              </c:layout>
              <c:showVal val="1"/>
            </c:dLbl>
            <c:dLbl>
              <c:idx val="3"/>
              <c:layout>
                <c:manualLayout>
                  <c:x val="4.6565774155996834E-3"/>
                  <c:y val="-4.4534412955467124E-2"/>
                </c:manualLayout>
              </c:layout>
              <c:showVal val="1"/>
            </c:dLbl>
            <c:showVal val="1"/>
          </c:dLbls>
          <c:cat>
            <c:strRef>
              <c:f>Feuil5!$B$64:$E$64</c:f>
              <c:strCache>
                <c:ptCount val="4"/>
                <c:pt idx="0">
                  <c:v>P"1</c:v>
                </c:pt>
                <c:pt idx="1">
                  <c:v>P"2</c:v>
                </c:pt>
                <c:pt idx="2">
                  <c:v>P"3</c:v>
                </c:pt>
                <c:pt idx="3">
                  <c:v>P"4</c:v>
                </c:pt>
              </c:strCache>
            </c:strRef>
          </c:cat>
          <c:val>
            <c:numRef>
              <c:f>Feuil5!$B$65:$E$65</c:f>
              <c:numCache>
                <c:formatCode>General</c:formatCode>
                <c:ptCount val="4"/>
                <c:pt idx="0">
                  <c:v>5.23</c:v>
                </c:pt>
                <c:pt idx="1">
                  <c:v>5.58</c:v>
                </c:pt>
                <c:pt idx="2">
                  <c:v>5.33</c:v>
                </c:pt>
                <c:pt idx="3">
                  <c:v>5.6199999999999966</c:v>
                </c:pt>
              </c:numCache>
            </c:numRef>
          </c:val>
        </c:ser>
        <c:dLbls>
          <c:showVal val="1"/>
        </c:dLbls>
        <c:gapWidth val="75"/>
        <c:shape val="cylinder"/>
        <c:axId val="188810752"/>
        <c:axId val="188812672"/>
        <c:axId val="0"/>
      </c:bar3DChart>
      <c:catAx>
        <c:axId val="188810752"/>
        <c:scaling>
          <c:orientation val="minMax"/>
        </c:scaling>
        <c:axPos val="b"/>
        <c:title>
          <c:tx>
            <c:rich>
              <a:bodyPr/>
              <a:lstStyle/>
              <a:p>
                <a:pPr>
                  <a:defRPr/>
                </a:pPr>
                <a:r>
                  <a:rPr lang="en-US"/>
                  <a:t>Population</a:t>
                </a:r>
              </a:p>
            </c:rich>
          </c:tx>
          <c:layout>
            <c:manualLayout>
              <c:xMode val="edge"/>
              <c:yMode val="edge"/>
              <c:x val="0.41397853207813518"/>
              <c:y val="0.88754789760591668"/>
            </c:manualLayout>
          </c:layout>
        </c:title>
        <c:majorTickMark val="none"/>
        <c:tickLblPos val="nextTo"/>
        <c:crossAx val="188812672"/>
        <c:crosses val="autoZero"/>
        <c:auto val="1"/>
        <c:lblAlgn val="ctr"/>
        <c:lblOffset val="100"/>
      </c:catAx>
      <c:valAx>
        <c:axId val="188812672"/>
        <c:scaling>
          <c:orientation val="minMax"/>
        </c:scaling>
        <c:axPos val="l"/>
        <c:title>
          <c:tx>
            <c:rich>
              <a:bodyPr rot="-5400000" vert="horz"/>
              <a:lstStyle/>
              <a:p>
                <a:pPr>
                  <a:defRPr/>
                </a:pPr>
                <a:r>
                  <a:rPr lang="en-US"/>
                  <a:t>Nombre moyen de valves par capsule</a:t>
                </a:r>
              </a:p>
            </c:rich>
          </c:tx>
          <c:layout>
            <c:manualLayout>
              <c:xMode val="edge"/>
              <c:yMode val="edge"/>
              <c:x val="1.2346675415573063E-2"/>
              <c:y val="0.10152777777777777"/>
            </c:manualLayout>
          </c:layout>
        </c:title>
        <c:numFmt formatCode="General" sourceLinked="1"/>
        <c:majorTickMark val="none"/>
        <c:tickLblPos val="nextTo"/>
        <c:crossAx val="188810752"/>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8.3250000000000227E-2"/>
          <c:y val="0.12037037037037036"/>
          <c:w val="0.88619444444444462"/>
          <c:h val="0.6970640128317297"/>
        </c:manualLayout>
      </c:layout>
      <c:bar3DChart>
        <c:barDir val="col"/>
        <c:grouping val="clustered"/>
        <c:ser>
          <c:idx val="0"/>
          <c:order val="0"/>
          <c:tx>
            <c:strRef>
              <c:f>Feuil5!$A$68</c:f>
              <c:strCache>
                <c:ptCount val="1"/>
                <c:pt idx="0">
                  <c:v>NGRS</c:v>
                </c:pt>
              </c:strCache>
            </c:strRef>
          </c:tx>
          <c:dLbls>
            <c:showVal val="1"/>
          </c:dLbls>
          <c:cat>
            <c:strRef>
              <c:f>Feuil5!$B$67:$E$67</c:f>
              <c:strCache>
                <c:ptCount val="4"/>
                <c:pt idx="0">
                  <c:v>P"1</c:v>
                </c:pt>
                <c:pt idx="1">
                  <c:v>P"2</c:v>
                </c:pt>
                <c:pt idx="2">
                  <c:v>P"3</c:v>
                </c:pt>
                <c:pt idx="3">
                  <c:v>P"4</c:v>
                </c:pt>
              </c:strCache>
            </c:strRef>
          </c:cat>
          <c:val>
            <c:numRef>
              <c:f>Feuil5!$B$68:$E$68</c:f>
              <c:numCache>
                <c:formatCode>General</c:formatCode>
                <c:ptCount val="4"/>
                <c:pt idx="0">
                  <c:v>66.8</c:v>
                </c:pt>
                <c:pt idx="1">
                  <c:v>76.819999999999993</c:v>
                </c:pt>
                <c:pt idx="2">
                  <c:v>70.2</c:v>
                </c:pt>
                <c:pt idx="3">
                  <c:v>74.400000000000006</c:v>
                </c:pt>
              </c:numCache>
            </c:numRef>
          </c:val>
        </c:ser>
        <c:ser>
          <c:idx val="1"/>
          <c:order val="1"/>
          <c:tx>
            <c:strRef>
              <c:f>Feuil5!$A$69</c:f>
              <c:strCache>
                <c:ptCount val="1"/>
                <c:pt idx="0">
                  <c:v>NGRAE</c:v>
                </c:pt>
              </c:strCache>
            </c:strRef>
          </c:tx>
          <c:dLbls>
            <c:dLbl>
              <c:idx val="0"/>
              <c:layout>
                <c:manualLayout>
                  <c:x val="1.1481056257176101E-2"/>
                  <c:y val="-7.8740157480314231E-3"/>
                </c:manualLayout>
              </c:layout>
              <c:showVal val="1"/>
            </c:dLbl>
            <c:dLbl>
              <c:idx val="1"/>
              <c:layout>
                <c:manualLayout>
                  <c:x val="4.5924225028702694E-3"/>
                  <c:y val="-2.3622047244094488E-2"/>
                </c:manualLayout>
              </c:layout>
              <c:showVal val="1"/>
            </c:dLbl>
            <c:dLbl>
              <c:idx val="2"/>
              <c:layout>
                <c:manualLayout>
                  <c:x val="9.1848450057404468E-3"/>
                  <c:y val="-7.874015748031496E-3"/>
                </c:manualLayout>
              </c:layout>
              <c:showVal val="1"/>
            </c:dLbl>
            <c:dLbl>
              <c:idx val="3"/>
              <c:layout>
                <c:manualLayout>
                  <c:x val="1.3777267508610792E-2"/>
                  <c:y val="-1.1811023622047181E-2"/>
                </c:manualLayout>
              </c:layout>
              <c:showVal val="1"/>
            </c:dLbl>
            <c:showVal val="1"/>
          </c:dLbls>
          <c:cat>
            <c:strRef>
              <c:f>Feuil5!$B$67:$E$67</c:f>
              <c:strCache>
                <c:ptCount val="4"/>
                <c:pt idx="0">
                  <c:v>P"1</c:v>
                </c:pt>
                <c:pt idx="1">
                  <c:v>P"2</c:v>
                </c:pt>
                <c:pt idx="2">
                  <c:v>P"3</c:v>
                </c:pt>
                <c:pt idx="3">
                  <c:v>P"4</c:v>
                </c:pt>
              </c:strCache>
            </c:strRef>
          </c:cat>
          <c:val>
            <c:numRef>
              <c:f>Feuil5!$B$69:$E$69</c:f>
              <c:numCache>
                <c:formatCode>General</c:formatCode>
                <c:ptCount val="4"/>
                <c:pt idx="0">
                  <c:v>12.3</c:v>
                </c:pt>
                <c:pt idx="1">
                  <c:v>4.2699999999999996</c:v>
                </c:pt>
                <c:pt idx="2">
                  <c:v>7.07</c:v>
                </c:pt>
                <c:pt idx="3">
                  <c:v>8.7000000000000011</c:v>
                </c:pt>
              </c:numCache>
            </c:numRef>
          </c:val>
        </c:ser>
        <c:ser>
          <c:idx val="2"/>
          <c:order val="2"/>
          <c:tx>
            <c:strRef>
              <c:f>Feuil5!$A$70</c:f>
              <c:strCache>
                <c:ptCount val="1"/>
                <c:pt idx="0">
                  <c:v>NGRT</c:v>
                </c:pt>
              </c:strCache>
            </c:strRef>
          </c:tx>
          <c:dLbls>
            <c:showVal val="1"/>
          </c:dLbls>
          <c:cat>
            <c:strRef>
              <c:f>Feuil5!$B$67:$E$67</c:f>
              <c:strCache>
                <c:ptCount val="4"/>
                <c:pt idx="0">
                  <c:v>P"1</c:v>
                </c:pt>
                <c:pt idx="1">
                  <c:v>P"2</c:v>
                </c:pt>
                <c:pt idx="2">
                  <c:v>P"3</c:v>
                </c:pt>
                <c:pt idx="3">
                  <c:v>P"4</c:v>
                </c:pt>
              </c:strCache>
            </c:strRef>
          </c:cat>
          <c:val>
            <c:numRef>
              <c:f>Feuil5!$B$70:$E$70</c:f>
              <c:numCache>
                <c:formatCode>General</c:formatCode>
                <c:ptCount val="4"/>
                <c:pt idx="0">
                  <c:v>79.099999999999994</c:v>
                </c:pt>
                <c:pt idx="1">
                  <c:v>81.02</c:v>
                </c:pt>
                <c:pt idx="2">
                  <c:v>77.27</c:v>
                </c:pt>
                <c:pt idx="3">
                  <c:v>83.1</c:v>
                </c:pt>
              </c:numCache>
            </c:numRef>
          </c:val>
        </c:ser>
        <c:dLbls>
          <c:showVal val="1"/>
        </c:dLbls>
        <c:gapWidth val="75"/>
        <c:shape val="cylinder"/>
        <c:axId val="188856192"/>
        <c:axId val="188862464"/>
        <c:axId val="0"/>
      </c:bar3DChart>
      <c:catAx>
        <c:axId val="188856192"/>
        <c:scaling>
          <c:orientation val="minMax"/>
        </c:scaling>
        <c:axPos val="b"/>
        <c:title>
          <c:tx>
            <c:rich>
              <a:bodyPr/>
              <a:lstStyle/>
              <a:p>
                <a:pPr>
                  <a:defRPr/>
                </a:pPr>
                <a:r>
                  <a:rPr lang="en-US"/>
                  <a:t>Population</a:t>
                </a:r>
              </a:p>
            </c:rich>
          </c:tx>
          <c:layout>
            <c:manualLayout>
              <c:xMode val="edge"/>
              <c:yMode val="edge"/>
              <c:x val="0.38716863517063976"/>
              <c:y val="0.91076079031787693"/>
            </c:manualLayout>
          </c:layout>
        </c:title>
        <c:majorTickMark val="none"/>
        <c:tickLblPos val="nextTo"/>
        <c:crossAx val="188862464"/>
        <c:crosses val="autoZero"/>
        <c:auto val="1"/>
        <c:lblAlgn val="ctr"/>
        <c:lblOffset val="100"/>
      </c:catAx>
      <c:valAx>
        <c:axId val="188862464"/>
        <c:scaling>
          <c:orientation val="minMax"/>
        </c:scaling>
        <c:axPos val="l"/>
        <c:numFmt formatCode="General" sourceLinked="1"/>
        <c:majorTickMark val="none"/>
        <c:tickLblPos val="nextTo"/>
        <c:crossAx val="188856192"/>
        <c:crosses val="autoZero"/>
        <c:crossBetween val="between"/>
      </c:valAx>
    </c:plotArea>
    <c:legend>
      <c:legendPos val="b"/>
      <c:layout>
        <c:manualLayout>
          <c:xMode val="edge"/>
          <c:yMode val="edge"/>
          <c:x val="0.30016819772530623"/>
          <c:y val="6.9610309128025724E-2"/>
          <c:w val="0.39410804899389795"/>
          <c:h val="7.8537839020122513E-2"/>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fr-FR"/>
  <c:style val="18"/>
  <c:chart>
    <c:view3D>
      <c:rAngAx val="1"/>
    </c:view3D>
    <c:plotArea>
      <c:layout>
        <c:manualLayout>
          <c:layoutTarget val="inner"/>
          <c:xMode val="edge"/>
          <c:yMode val="edge"/>
          <c:x val="0.10686111111111206"/>
          <c:y val="7.8703703703703734E-2"/>
          <c:w val="0.86536111111111114"/>
          <c:h val="0.6970640128317297"/>
        </c:manualLayout>
      </c:layout>
      <c:bar3DChart>
        <c:barDir val="col"/>
        <c:grouping val="clustered"/>
        <c:ser>
          <c:idx val="0"/>
          <c:order val="0"/>
          <c:tx>
            <c:strRef>
              <c:f>Feuil5!$A$74</c:f>
              <c:strCache>
                <c:ptCount val="1"/>
                <c:pt idx="0">
                  <c:v>PCS</c:v>
                </c:pt>
              </c:strCache>
            </c:strRef>
          </c:tx>
          <c:dLbls>
            <c:showVal val="1"/>
          </c:dLbls>
          <c:cat>
            <c:strRef>
              <c:f>Feuil5!$B$73:$E$73</c:f>
              <c:strCache>
                <c:ptCount val="4"/>
                <c:pt idx="0">
                  <c:v>P"1</c:v>
                </c:pt>
                <c:pt idx="1">
                  <c:v>P"2</c:v>
                </c:pt>
                <c:pt idx="2">
                  <c:v>P"3</c:v>
                </c:pt>
                <c:pt idx="3">
                  <c:v>P"4</c:v>
                </c:pt>
              </c:strCache>
            </c:strRef>
          </c:cat>
          <c:val>
            <c:numRef>
              <c:f>Feuil5!$B$74:$E$74</c:f>
              <c:numCache>
                <c:formatCode>General</c:formatCode>
                <c:ptCount val="4"/>
                <c:pt idx="0">
                  <c:v>0.30000000000000032</c:v>
                </c:pt>
                <c:pt idx="1">
                  <c:v>0.31000000000000105</c:v>
                </c:pt>
                <c:pt idx="2">
                  <c:v>0.28000000000000008</c:v>
                </c:pt>
                <c:pt idx="3">
                  <c:v>0.31000000000000105</c:v>
                </c:pt>
              </c:numCache>
            </c:numRef>
          </c:val>
        </c:ser>
        <c:ser>
          <c:idx val="1"/>
          <c:order val="1"/>
          <c:tx>
            <c:strRef>
              <c:f>Feuil5!$A$75</c:f>
              <c:strCache>
                <c:ptCount val="1"/>
                <c:pt idx="0">
                  <c:v>PGRSCs</c:v>
                </c:pt>
              </c:strCache>
            </c:strRef>
          </c:tx>
          <c:dLbls>
            <c:showVal val="1"/>
          </c:dLbls>
          <c:cat>
            <c:strRef>
              <c:f>Feuil5!$B$73:$E$73</c:f>
              <c:strCache>
                <c:ptCount val="4"/>
                <c:pt idx="0">
                  <c:v>P"1</c:v>
                </c:pt>
                <c:pt idx="1">
                  <c:v>P"2</c:v>
                </c:pt>
                <c:pt idx="2">
                  <c:v>P"3</c:v>
                </c:pt>
                <c:pt idx="3">
                  <c:v>P"4</c:v>
                </c:pt>
              </c:strCache>
            </c:strRef>
          </c:cat>
          <c:val>
            <c:numRef>
              <c:f>Feuil5!$B$75:$E$75</c:f>
              <c:numCache>
                <c:formatCode>General</c:formatCode>
                <c:ptCount val="4"/>
                <c:pt idx="0">
                  <c:v>0.21000000000000021</c:v>
                </c:pt>
                <c:pt idx="1">
                  <c:v>0.21000000000000021</c:v>
                </c:pt>
                <c:pt idx="2">
                  <c:v>0.19</c:v>
                </c:pt>
                <c:pt idx="3">
                  <c:v>0.25</c:v>
                </c:pt>
              </c:numCache>
            </c:numRef>
          </c:val>
        </c:ser>
        <c:dLbls>
          <c:showVal val="1"/>
        </c:dLbls>
        <c:gapWidth val="75"/>
        <c:shape val="cylinder"/>
        <c:axId val="188904576"/>
        <c:axId val="188906496"/>
        <c:axId val="0"/>
      </c:bar3DChart>
      <c:catAx>
        <c:axId val="188904576"/>
        <c:scaling>
          <c:orientation val="minMax"/>
        </c:scaling>
        <c:axPos val="b"/>
        <c:title>
          <c:tx>
            <c:rich>
              <a:bodyPr/>
              <a:lstStyle/>
              <a:p>
                <a:pPr>
                  <a:defRPr/>
                </a:pPr>
                <a:r>
                  <a:rPr lang="en-US"/>
                  <a:t>Population</a:t>
                </a:r>
              </a:p>
            </c:rich>
          </c:tx>
          <c:layout>
            <c:manualLayout>
              <c:xMode val="edge"/>
              <c:yMode val="edge"/>
              <c:x val="0.42987532808398948"/>
              <c:y val="0.87856846019247592"/>
            </c:manualLayout>
          </c:layout>
        </c:title>
        <c:majorTickMark val="none"/>
        <c:tickLblPos val="nextTo"/>
        <c:crossAx val="188906496"/>
        <c:crosses val="autoZero"/>
        <c:auto val="1"/>
        <c:lblAlgn val="ctr"/>
        <c:lblOffset val="100"/>
      </c:catAx>
      <c:valAx>
        <c:axId val="188906496"/>
        <c:scaling>
          <c:orientation val="minMax"/>
        </c:scaling>
        <c:axPos val="l"/>
        <c:numFmt formatCode="General" sourceLinked="1"/>
        <c:majorTickMark val="none"/>
        <c:tickLblPos val="nextTo"/>
        <c:crossAx val="188904576"/>
        <c:crosses val="autoZero"/>
        <c:crossBetween val="between"/>
      </c:valAx>
    </c:plotArea>
    <c:legend>
      <c:legendPos val="b"/>
      <c:layout>
        <c:manualLayout>
          <c:xMode val="edge"/>
          <c:yMode val="edge"/>
          <c:x val="0.24994877951652586"/>
          <c:y val="3.6382460180604159E-3"/>
          <c:w val="0.7016854936667406"/>
          <c:h val="0.1321591550307078"/>
        </c:manualLayout>
      </c:layout>
    </c:legend>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Feuil7!$H$13</c:f>
              <c:strCache>
                <c:ptCount val="1"/>
                <c:pt idx="0">
                  <c:v>P</c:v>
                </c:pt>
              </c:strCache>
            </c:strRef>
          </c:tx>
          <c:dLbls>
            <c:dLbl>
              <c:idx val="0"/>
              <c:layout>
                <c:manualLayout>
                  <c:x val="2.5462668816045958E-17"/>
                  <c:y val="-4.1666666666666664E-2"/>
                </c:manualLayout>
              </c:layout>
              <c:showVal val="1"/>
            </c:dLbl>
            <c:dLbl>
              <c:idx val="1"/>
              <c:layout>
                <c:manualLayout>
                  <c:x val="1.6666666666666701E-2"/>
                  <c:y val="-4.1666666666666664E-2"/>
                </c:manualLayout>
              </c:layout>
              <c:showVal val="1"/>
            </c:dLbl>
            <c:dLbl>
              <c:idx val="2"/>
              <c:layout>
                <c:manualLayout>
                  <c:x val="2.7777777777781361E-3"/>
                  <c:y val="-4.1666666666666664E-2"/>
                </c:manualLayout>
              </c:layout>
              <c:showVal val="1"/>
            </c:dLbl>
            <c:dLbl>
              <c:idx val="3"/>
              <c:layout>
                <c:manualLayout>
                  <c:x val="5.5555555555555558E-3"/>
                  <c:y val="-2.3148148148148147E-2"/>
                </c:manualLayout>
              </c:layout>
              <c:showVal val="1"/>
            </c:dLbl>
            <c:showVal val="1"/>
          </c:dLbls>
          <c:cat>
            <c:strRef>
              <c:f>Feuil7!$I$12:$L$12</c:f>
              <c:strCache>
                <c:ptCount val="4"/>
                <c:pt idx="0">
                  <c:v>P"1</c:v>
                </c:pt>
                <c:pt idx="1">
                  <c:v>P"2</c:v>
                </c:pt>
                <c:pt idx="2">
                  <c:v>P"3</c:v>
                </c:pt>
                <c:pt idx="3">
                  <c:v>P"4</c:v>
                </c:pt>
              </c:strCache>
            </c:strRef>
          </c:cat>
          <c:val>
            <c:numRef>
              <c:f>Feuil7!$I$13:$L$13</c:f>
              <c:numCache>
                <c:formatCode>General</c:formatCode>
                <c:ptCount val="4"/>
                <c:pt idx="0">
                  <c:v>3.11</c:v>
                </c:pt>
                <c:pt idx="1">
                  <c:v>3.02</c:v>
                </c:pt>
                <c:pt idx="2">
                  <c:v>2.9299999999999997</c:v>
                </c:pt>
                <c:pt idx="3">
                  <c:v>3.14</c:v>
                </c:pt>
              </c:numCache>
            </c:numRef>
          </c:val>
        </c:ser>
        <c:dLbls>
          <c:showVal val="1"/>
        </c:dLbls>
        <c:gapWidth val="75"/>
        <c:shape val="cylinder"/>
        <c:axId val="188922880"/>
        <c:axId val="189465728"/>
        <c:axId val="0"/>
      </c:bar3DChart>
      <c:catAx>
        <c:axId val="188922880"/>
        <c:scaling>
          <c:orientation val="minMax"/>
        </c:scaling>
        <c:axPos val="b"/>
        <c:title>
          <c:tx>
            <c:rich>
              <a:bodyPr/>
              <a:lstStyle/>
              <a:p>
                <a:pPr>
                  <a:defRPr/>
                </a:pPr>
                <a:r>
                  <a:rPr lang="en-US"/>
                  <a:t>Population</a:t>
                </a:r>
              </a:p>
            </c:rich>
          </c:tx>
          <c:layout>
            <c:manualLayout>
              <c:xMode val="edge"/>
              <c:yMode val="edge"/>
              <c:x val="0.38239337645723348"/>
              <c:y val="0.8928311671884388"/>
            </c:manualLayout>
          </c:layout>
        </c:title>
        <c:majorTickMark val="none"/>
        <c:tickLblPos val="nextTo"/>
        <c:crossAx val="189465728"/>
        <c:crosses val="autoZero"/>
        <c:auto val="1"/>
        <c:lblAlgn val="ctr"/>
        <c:lblOffset val="100"/>
      </c:catAx>
      <c:valAx>
        <c:axId val="189465728"/>
        <c:scaling>
          <c:orientation val="minMax"/>
        </c:scaling>
        <c:axPos val="l"/>
        <c:title>
          <c:tx>
            <c:rich>
              <a:bodyPr rot="-5400000" vert="horz"/>
              <a:lstStyle/>
              <a:p>
                <a:pPr>
                  <a:defRPr/>
                </a:pPr>
                <a:r>
                  <a:rPr lang="en-US"/>
                  <a:t>Poids moyen de 1000 graines (g)</a:t>
                </a:r>
              </a:p>
              <a:p>
                <a:pPr>
                  <a:defRPr/>
                </a:pPr>
                <a:endParaRPr lang="en-US"/>
              </a:p>
            </c:rich>
          </c:tx>
          <c:layout>
            <c:manualLayout>
              <c:xMode val="edge"/>
              <c:yMode val="edge"/>
              <c:x val="4.0169072615923E-2"/>
              <c:y val="0.23202792359288421"/>
            </c:manualLayout>
          </c:layout>
        </c:title>
        <c:numFmt formatCode="General" sourceLinked="1"/>
        <c:majorTickMark val="none"/>
        <c:tickLblPos val="nextTo"/>
        <c:crossAx val="188922880"/>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Feuil7!$R$109</c:f>
              <c:strCache>
                <c:ptCount val="1"/>
                <c:pt idx="0">
                  <c:v>p</c:v>
                </c:pt>
              </c:strCache>
            </c:strRef>
          </c:tx>
          <c:dLbls>
            <c:dLbl>
              <c:idx val="0"/>
              <c:layout>
                <c:manualLayout>
                  <c:x val="0"/>
                  <c:y val="-2.7777777777780951E-2"/>
                </c:manualLayout>
              </c:layout>
              <c:showVal val="1"/>
            </c:dLbl>
            <c:dLbl>
              <c:idx val="1"/>
              <c:layout>
                <c:manualLayout>
                  <c:x val="-5.0925337632091545E-17"/>
                  <c:y val="-2.3148148148148147E-2"/>
                </c:manualLayout>
              </c:layout>
              <c:showVal val="1"/>
            </c:dLbl>
            <c:dLbl>
              <c:idx val="2"/>
              <c:layout>
                <c:manualLayout>
                  <c:x val="0"/>
                  <c:y val="-4.1666666666666623E-2"/>
                </c:manualLayout>
              </c:layout>
              <c:showVal val="1"/>
            </c:dLbl>
            <c:dLbl>
              <c:idx val="3"/>
              <c:layout>
                <c:manualLayout>
                  <c:x val="8.3333333333334546E-3"/>
                  <c:y val="-2.3148148148148147E-2"/>
                </c:manualLayout>
              </c:layout>
              <c:showVal val="1"/>
            </c:dLbl>
            <c:showVal val="1"/>
          </c:dLbls>
          <c:cat>
            <c:strRef>
              <c:f>Feuil7!$S$108:$V$108</c:f>
              <c:strCache>
                <c:ptCount val="4"/>
                <c:pt idx="0">
                  <c:v>P"1</c:v>
                </c:pt>
                <c:pt idx="1">
                  <c:v>P"2</c:v>
                </c:pt>
                <c:pt idx="2">
                  <c:v>P"3</c:v>
                </c:pt>
                <c:pt idx="3">
                  <c:v>P"4</c:v>
                </c:pt>
              </c:strCache>
            </c:strRef>
          </c:cat>
          <c:val>
            <c:numRef>
              <c:f>Feuil7!$S$109:$V$109</c:f>
              <c:numCache>
                <c:formatCode>General</c:formatCode>
                <c:ptCount val="4"/>
                <c:pt idx="0">
                  <c:v>0.1</c:v>
                </c:pt>
                <c:pt idx="1">
                  <c:v>0.17</c:v>
                </c:pt>
                <c:pt idx="2">
                  <c:v>0.1</c:v>
                </c:pt>
                <c:pt idx="3">
                  <c:v>0.11000000000000001</c:v>
                </c:pt>
              </c:numCache>
            </c:numRef>
          </c:val>
        </c:ser>
        <c:dLbls>
          <c:showVal val="1"/>
        </c:dLbls>
        <c:gapWidth val="75"/>
        <c:shape val="cylinder"/>
        <c:axId val="189490304"/>
        <c:axId val="189492224"/>
        <c:axId val="0"/>
      </c:bar3DChart>
      <c:catAx>
        <c:axId val="189490304"/>
        <c:scaling>
          <c:orientation val="minMax"/>
        </c:scaling>
        <c:axPos val="b"/>
        <c:title>
          <c:tx>
            <c:rich>
              <a:bodyPr/>
              <a:lstStyle/>
              <a:p>
                <a:pPr>
                  <a:defRPr/>
                </a:pPr>
                <a:r>
                  <a:rPr lang="en-US"/>
                  <a:t>Population</a:t>
                </a:r>
              </a:p>
            </c:rich>
          </c:tx>
          <c:layout>
            <c:manualLayout>
              <c:xMode val="edge"/>
              <c:yMode val="edge"/>
              <c:x val="0.38251618547683786"/>
              <c:y val="0.87494860017502984"/>
            </c:manualLayout>
          </c:layout>
        </c:title>
        <c:majorTickMark val="none"/>
        <c:tickLblPos val="nextTo"/>
        <c:crossAx val="189492224"/>
        <c:crosses val="autoZero"/>
        <c:auto val="1"/>
        <c:lblAlgn val="ctr"/>
        <c:lblOffset val="100"/>
      </c:catAx>
      <c:valAx>
        <c:axId val="189492224"/>
        <c:scaling>
          <c:orientation val="minMax"/>
        </c:scaling>
        <c:axPos val="l"/>
        <c:title>
          <c:tx>
            <c:rich>
              <a:bodyPr rot="-5400000" vert="horz"/>
              <a:lstStyle/>
              <a:p>
                <a:pPr>
                  <a:defRPr/>
                </a:pPr>
                <a:r>
                  <a:rPr lang="en-US"/>
                  <a:t>Rendement moyen</a:t>
                </a:r>
                <a:r>
                  <a:rPr lang="en-US" baseline="0"/>
                  <a:t> </a:t>
                </a:r>
                <a:r>
                  <a:rPr lang="en-US"/>
                  <a:t>en graines éstimé par parcelle   (kg)</a:t>
                </a:r>
              </a:p>
            </c:rich>
          </c:tx>
          <c:layout>
            <c:manualLayout>
              <c:xMode val="edge"/>
              <c:yMode val="edge"/>
              <c:x val="3.6669510061242395E-2"/>
              <c:y val="0.15430555555555556"/>
            </c:manualLayout>
          </c:layout>
        </c:title>
        <c:numFmt formatCode="General" sourceLinked="1"/>
        <c:majorTickMark val="none"/>
        <c:tickLblPos val="nextTo"/>
        <c:crossAx val="189490304"/>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plotArea>
      <c:layout>
        <c:manualLayout>
          <c:layoutTarget val="inner"/>
          <c:xMode val="edge"/>
          <c:yMode val="edge"/>
          <c:x val="0.11922137556538773"/>
          <c:y val="0.11151222185725022"/>
          <c:w val="0.83134585938965089"/>
          <c:h val="0.58403703279953068"/>
        </c:manualLayout>
      </c:layout>
      <c:lineChart>
        <c:grouping val="standard"/>
        <c:ser>
          <c:idx val="0"/>
          <c:order val="0"/>
          <c:tx>
            <c:strRef>
              <c:f>Feuil2!$B$56:$B$57</c:f>
              <c:strCache>
                <c:ptCount val="1"/>
                <c:pt idx="0">
                  <c:v>Precipitation [mm]</c:v>
                </c:pt>
              </c:strCache>
            </c:strRef>
          </c:tx>
          <c:cat>
            <c:strRef>
              <c:f>Feuil2!$A$58:$A$63</c:f>
              <c:strCache>
                <c:ptCount val="6"/>
                <c:pt idx="0">
                  <c:v>Jan</c:v>
                </c:pt>
                <c:pt idx="1">
                  <c:v>Fev</c:v>
                </c:pt>
                <c:pt idx="2">
                  <c:v>Mar</c:v>
                </c:pt>
                <c:pt idx="3">
                  <c:v>Avr</c:v>
                </c:pt>
                <c:pt idx="4">
                  <c:v>Mai</c:v>
                </c:pt>
                <c:pt idx="5">
                  <c:v>Jui</c:v>
                </c:pt>
              </c:strCache>
            </c:strRef>
          </c:cat>
          <c:val>
            <c:numRef>
              <c:f>Feuil2!$B$58:$B$63</c:f>
              <c:numCache>
                <c:formatCode>General</c:formatCode>
                <c:ptCount val="6"/>
                <c:pt idx="0">
                  <c:v>2.2000000000000002</c:v>
                </c:pt>
                <c:pt idx="1">
                  <c:v>0.29090909000000031</c:v>
                </c:pt>
                <c:pt idx="2">
                  <c:v>1.3533333299999999</c:v>
                </c:pt>
                <c:pt idx="3">
                  <c:v>1.4582513699999999</c:v>
                </c:pt>
                <c:pt idx="4">
                  <c:v>1.3677419399999999</c:v>
                </c:pt>
                <c:pt idx="5">
                  <c:v>2.0000000000000011E-2</c:v>
                </c:pt>
              </c:numCache>
            </c:numRef>
          </c:val>
        </c:ser>
        <c:marker val="1"/>
        <c:axId val="204282112"/>
        <c:axId val="204284288"/>
      </c:lineChart>
      <c:catAx>
        <c:axId val="204282112"/>
        <c:scaling>
          <c:orientation val="minMax"/>
        </c:scaling>
        <c:axPos val="b"/>
        <c:title>
          <c:tx>
            <c:rich>
              <a:bodyPr/>
              <a:lstStyle/>
              <a:p>
                <a:pPr>
                  <a:defRPr/>
                </a:pPr>
                <a:r>
                  <a:rPr lang="en-US"/>
                  <a:t>Mois</a:t>
                </a:r>
              </a:p>
            </c:rich>
          </c:tx>
          <c:layout>
            <c:manualLayout>
              <c:xMode val="edge"/>
              <c:yMode val="edge"/>
              <c:x val="0.92297681998114267"/>
              <c:y val="0.68323097704734059"/>
            </c:manualLayout>
          </c:layout>
        </c:title>
        <c:majorTickMark val="none"/>
        <c:tickLblPos val="nextTo"/>
        <c:crossAx val="204284288"/>
        <c:crosses val="autoZero"/>
        <c:auto val="1"/>
        <c:lblAlgn val="ctr"/>
        <c:lblOffset val="100"/>
      </c:catAx>
      <c:valAx>
        <c:axId val="204284288"/>
        <c:scaling>
          <c:orientation val="minMax"/>
        </c:scaling>
        <c:axPos val="l"/>
        <c:title>
          <c:tx>
            <c:rich>
              <a:bodyPr rot="-5400000" vert="horz"/>
              <a:lstStyle/>
              <a:p>
                <a:pPr>
                  <a:defRPr/>
                </a:pPr>
                <a:r>
                  <a:rPr lang="en-US"/>
                  <a:t>Precipitation (mm)</a:t>
                </a:r>
              </a:p>
            </c:rich>
          </c:tx>
          <c:layout>
            <c:manualLayout>
              <c:xMode val="edge"/>
              <c:yMode val="edge"/>
              <c:x val="4.7078823852356524E-3"/>
              <c:y val="8.8076077047710144E-2"/>
            </c:manualLayout>
          </c:layout>
        </c:title>
        <c:numFmt formatCode="General" sourceLinked="1"/>
        <c:majorTickMark val="none"/>
        <c:tickLblPos val="nextTo"/>
        <c:crossAx val="204282112"/>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mj-lt"/>
          <a:ea typeface="+mn-ea"/>
          <a:cs typeface="+mn-cs"/>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18"/>
  <c:chart>
    <c:plotArea>
      <c:layout>
        <c:manualLayout>
          <c:layoutTarget val="inner"/>
          <c:xMode val="edge"/>
          <c:yMode val="edge"/>
          <c:x val="0.14670577051075148"/>
          <c:y val="6.6944301813117127E-2"/>
          <c:w val="0.76361959936358015"/>
          <c:h val="0.70300033585849164"/>
        </c:manualLayout>
      </c:layout>
      <c:lineChart>
        <c:grouping val="standard"/>
        <c:ser>
          <c:idx val="0"/>
          <c:order val="0"/>
          <c:cat>
            <c:strRef>
              <c:f>Feuil2!$C$59:$C$64</c:f>
              <c:strCache>
                <c:ptCount val="6"/>
                <c:pt idx="0">
                  <c:v>Jan</c:v>
                </c:pt>
                <c:pt idx="1">
                  <c:v>Fev</c:v>
                </c:pt>
                <c:pt idx="2">
                  <c:v>Mar</c:v>
                </c:pt>
                <c:pt idx="3">
                  <c:v>Avr</c:v>
                </c:pt>
                <c:pt idx="4">
                  <c:v>Mai</c:v>
                </c:pt>
                <c:pt idx="5">
                  <c:v>Jui</c:v>
                </c:pt>
              </c:strCache>
            </c:strRef>
          </c:cat>
          <c:val>
            <c:numRef>
              <c:f>Feuil2!$D$59:$D$64</c:f>
              <c:numCache>
                <c:formatCode>General</c:formatCode>
                <c:ptCount val="6"/>
                <c:pt idx="0">
                  <c:v>77.161290320000006</c:v>
                </c:pt>
                <c:pt idx="1">
                  <c:v>63.454545449999998</c:v>
                </c:pt>
                <c:pt idx="2">
                  <c:v>56.766666669999999</c:v>
                </c:pt>
                <c:pt idx="3">
                  <c:v>55.110928960000003</c:v>
                </c:pt>
                <c:pt idx="4">
                  <c:v>35.741935480000002</c:v>
                </c:pt>
                <c:pt idx="5">
                  <c:v>25.533333329999987</c:v>
                </c:pt>
              </c:numCache>
            </c:numRef>
          </c:val>
        </c:ser>
        <c:marker val="1"/>
        <c:axId val="204291456"/>
        <c:axId val="204301824"/>
      </c:lineChart>
      <c:catAx>
        <c:axId val="204291456"/>
        <c:scaling>
          <c:orientation val="minMax"/>
        </c:scaling>
        <c:axPos val="b"/>
        <c:title>
          <c:tx>
            <c:rich>
              <a:bodyPr/>
              <a:lstStyle/>
              <a:p>
                <a:pPr>
                  <a:defRPr/>
                </a:pPr>
                <a:r>
                  <a:rPr lang="en-US"/>
                  <a:t>Mois</a:t>
                </a:r>
              </a:p>
            </c:rich>
          </c:tx>
          <c:layout>
            <c:manualLayout>
              <c:xMode val="edge"/>
              <c:yMode val="edge"/>
              <c:x val="0.90693647157560409"/>
              <c:y val="0.78251036979725452"/>
            </c:manualLayout>
          </c:layout>
        </c:title>
        <c:majorTickMark val="none"/>
        <c:tickLblPos val="nextTo"/>
        <c:crossAx val="204301824"/>
        <c:crosses val="autoZero"/>
        <c:auto val="1"/>
        <c:lblAlgn val="ctr"/>
        <c:lblOffset val="100"/>
      </c:catAx>
      <c:valAx>
        <c:axId val="204301824"/>
        <c:scaling>
          <c:orientation val="minMax"/>
        </c:scaling>
        <c:axPos val="l"/>
        <c:title>
          <c:tx>
            <c:rich>
              <a:bodyPr rot="-5400000" vert="horz"/>
              <a:lstStyle/>
              <a:p>
                <a:pPr>
                  <a:defRPr/>
                </a:pPr>
                <a:r>
                  <a:rPr lang="en-US"/>
                  <a:t>Humudité relative (%)</a:t>
                </a:r>
              </a:p>
            </c:rich>
          </c:tx>
          <c:layout>
            <c:manualLayout>
              <c:xMode val="edge"/>
              <c:yMode val="edge"/>
              <c:x val="2.0459085258452549E-2"/>
              <c:y val="5.6970104627575367E-2"/>
            </c:manualLayout>
          </c:layout>
        </c:title>
        <c:numFmt formatCode="General" sourceLinked="1"/>
        <c:majorTickMark val="none"/>
        <c:tickLblPos val="nextTo"/>
        <c:crossAx val="204291456"/>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mj-lt"/>
          <a:ea typeface="+mn-ea"/>
          <a:cs typeface="+mn-cs"/>
        </a:defRPr>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view3D>
      <c:rAngAx val="1"/>
    </c:view3D>
    <c:plotArea>
      <c:layout/>
      <c:bar3DChart>
        <c:barDir val="col"/>
        <c:grouping val="clustered"/>
        <c:ser>
          <c:idx val="0"/>
          <c:order val="0"/>
          <c:tx>
            <c:strRef>
              <c:f>Feuil8!$L$50</c:f>
              <c:strCache>
                <c:ptCount val="1"/>
                <c:pt idx="0">
                  <c:v>CG</c:v>
                </c:pt>
              </c:strCache>
            </c:strRef>
          </c:tx>
          <c:dLbls>
            <c:showVal val="1"/>
          </c:dLbls>
          <c:cat>
            <c:strRef>
              <c:f>Feuil8!$M$49:$R$49</c:f>
              <c:strCache>
                <c:ptCount val="6"/>
                <c:pt idx="0">
                  <c:v>P1</c:v>
                </c:pt>
                <c:pt idx="1">
                  <c:v>P2</c:v>
                </c:pt>
                <c:pt idx="2">
                  <c:v>P3</c:v>
                </c:pt>
                <c:pt idx="3">
                  <c:v>P4</c:v>
                </c:pt>
                <c:pt idx="4">
                  <c:v>P5</c:v>
                </c:pt>
                <c:pt idx="5">
                  <c:v>P6</c:v>
                </c:pt>
              </c:strCache>
            </c:strRef>
          </c:cat>
          <c:val>
            <c:numRef>
              <c:f>Feuil8!$M$50:$R$50</c:f>
              <c:numCache>
                <c:formatCode>General</c:formatCode>
                <c:ptCount val="6"/>
                <c:pt idx="0">
                  <c:v>23.979999999999986</c:v>
                </c:pt>
                <c:pt idx="1">
                  <c:v>22.36</c:v>
                </c:pt>
                <c:pt idx="2">
                  <c:v>22.979999999999986</c:v>
                </c:pt>
                <c:pt idx="3">
                  <c:v>17.579999999999988</c:v>
                </c:pt>
                <c:pt idx="4">
                  <c:v>20.079999999999988</c:v>
                </c:pt>
                <c:pt idx="5">
                  <c:v>19.41</c:v>
                </c:pt>
              </c:numCache>
            </c:numRef>
          </c:val>
        </c:ser>
        <c:dLbls>
          <c:showVal val="1"/>
        </c:dLbls>
        <c:gapWidth val="75"/>
        <c:shape val="cylinder"/>
        <c:axId val="204482048"/>
        <c:axId val="204483968"/>
        <c:axId val="0"/>
      </c:bar3DChart>
      <c:catAx>
        <c:axId val="204482048"/>
        <c:scaling>
          <c:orientation val="minMax"/>
        </c:scaling>
        <c:axPos val="b"/>
        <c:title>
          <c:tx>
            <c:rich>
              <a:bodyPr/>
              <a:lstStyle/>
              <a:p>
                <a:pPr>
                  <a:defRPr/>
                </a:pPr>
                <a:r>
                  <a:rPr lang="en-US"/>
                  <a:t>Population</a:t>
                </a:r>
              </a:p>
            </c:rich>
          </c:tx>
        </c:title>
        <c:majorTickMark val="none"/>
        <c:tickLblPos val="nextTo"/>
        <c:crossAx val="204483968"/>
        <c:crosses val="autoZero"/>
        <c:auto val="1"/>
        <c:lblAlgn val="ctr"/>
        <c:lblOffset val="100"/>
      </c:catAx>
      <c:valAx>
        <c:axId val="204483968"/>
        <c:scaling>
          <c:orientation val="minMax"/>
        </c:scaling>
        <c:axPos val="l"/>
        <c:title>
          <c:tx>
            <c:rich>
              <a:bodyPr rot="-5400000" vert="horz"/>
              <a:lstStyle/>
              <a:p>
                <a:pPr>
                  <a:defRPr/>
                </a:pPr>
                <a:r>
                  <a:rPr lang="en-US"/>
                  <a:t>Vitesse moyenne  de germination journalière (NG/J)</a:t>
                </a:r>
              </a:p>
            </c:rich>
          </c:tx>
          <c:layout>
            <c:manualLayout>
              <c:xMode val="edge"/>
              <c:yMode val="edge"/>
              <c:x val="5.3695319335083105E-2"/>
              <c:y val="0.12037037037037036"/>
            </c:manualLayout>
          </c:layout>
        </c:title>
        <c:numFmt formatCode="General" sourceLinked="1"/>
        <c:majorTickMark val="none"/>
        <c:tickLblPos val="nextTo"/>
        <c:crossAx val="204482048"/>
        <c:crosses val="autoZero"/>
        <c:crossBetween val="between"/>
      </c:valAx>
    </c:plotArea>
    <c:plotVisOnly val="1"/>
  </c:chart>
  <c:spPr>
    <a:solidFill>
      <a:schemeClr val="lt1"/>
    </a:solidFill>
    <a:ln w="25400" cap="flat" cmpd="sng" algn="ctr">
      <a:solidFill>
        <a:schemeClr val="accent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fr-FR"/>
    </a:p>
  </c:txPr>
  <c:externalData r:id="rId1"/>
  <c:userShapes r:id="rId2"/>
</c:chartSpace>
</file>

<file path=word/diagrams/_rels/data1.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media/image31.png"/><Relationship Id="rId1" Type="http://schemas.openxmlformats.org/officeDocument/2006/relationships/image" Target="../media/image30.png"/><Relationship Id="rId6" Type="http://schemas.openxmlformats.org/officeDocument/2006/relationships/image" Target="../media/image35.png"/><Relationship Id="rId5" Type="http://schemas.openxmlformats.org/officeDocument/2006/relationships/image" Target="../media/image34.png"/><Relationship Id="rId4" Type="http://schemas.openxmlformats.org/officeDocument/2006/relationships/image" Target="../media/image33.png"/></Relationships>
</file>

<file path=word/diagrams/_rels/data2.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4" Type="http://schemas.openxmlformats.org/officeDocument/2006/relationships/image" Target="../media/image4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E0849A-B70C-4497-8DD1-7B011861B287}" type="doc">
      <dgm:prSet loTypeId="urn:microsoft.com/office/officeart/2005/8/layout/cycle2" loCatId="cycle" qsTypeId="urn:microsoft.com/office/officeart/2005/8/quickstyle/3d1" qsCatId="3D" csTypeId="urn:microsoft.com/office/officeart/2005/8/colors/accent1_2" csCatId="accent1" phldr="1"/>
      <dgm:spPr/>
      <dgm:t>
        <a:bodyPr/>
        <a:lstStyle/>
        <a:p>
          <a:endParaRPr lang="fr-FR"/>
        </a:p>
      </dgm:t>
    </dgm:pt>
    <dgm:pt modelId="{8E2A9DDC-CF72-47BF-9B40-AFC00D38BA70}">
      <dgm:prSet phldrT="[Texte]" custT="1"/>
      <dgm:spPr>
        <a:blipFill rotWithShape="0">
          <a:blip xmlns:r="http://schemas.openxmlformats.org/officeDocument/2006/relationships" r:embed="rId1"/>
          <a:stretch>
            <a:fillRect/>
          </a:stretch>
        </a:blipFill>
      </dgm:spPr>
      <dgm:t>
        <a:bodyPr/>
        <a:lstStyle/>
        <a:p>
          <a:r>
            <a:rPr lang="fr-FR" sz="1200" dirty="0" smtClean="0">
              <a:latin typeface="Times New Roman" pitchFamily="18" charset="0"/>
              <a:cs typeface="Times New Roman" pitchFamily="18" charset="0"/>
            </a:rPr>
            <a:t>Semis</a:t>
          </a:r>
          <a:endParaRPr lang="fr-FR" sz="1200" dirty="0">
            <a:latin typeface="Times New Roman" pitchFamily="18" charset="0"/>
            <a:cs typeface="Times New Roman" pitchFamily="18" charset="0"/>
          </a:endParaRPr>
        </a:p>
      </dgm:t>
    </dgm:pt>
    <dgm:pt modelId="{F7C370D9-43E3-432F-86BA-CE8CA8AC9472}" type="parTrans" cxnId="{200BE110-B2EB-4085-B61C-720E62CDBB5D}">
      <dgm:prSet/>
      <dgm:spPr/>
      <dgm:t>
        <a:bodyPr/>
        <a:lstStyle/>
        <a:p>
          <a:endParaRPr lang="fr-FR" sz="1200">
            <a:latin typeface="Times New Roman" pitchFamily="18" charset="0"/>
            <a:cs typeface="Times New Roman" pitchFamily="18" charset="0"/>
          </a:endParaRPr>
        </a:p>
      </dgm:t>
    </dgm:pt>
    <dgm:pt modelId="{62535D4A-0A26-43E1-AEEB-3177868DD71F}" type="sibTrans" cxnId="{200BE110-B2EB-4085-B61C-720E62CDBB5D}">
      <dgm:prSet custT="1"/>
      <dgm:spPr/>
      <dgm:t>
        <a:bodyPr/>
        <a:lstStyle/>
        <a:p>
          <a:endParaRPr lang="fr-FR" sz="1200">
            <a:latin typeface="Times New Roman" pitchFamily="18" charset="0"/>
            <a:cs typeface="Times New Roman" pitchFamily="18" charset="0"/>
          </a:endParaRPr>
        </a:p>
      </dgm:t>
    </dgm:pt>
    <dgm:pt modelId="{8F0CA7E6-46C0-41B2-823B-9E49153A6326}">
      <dgm:prSet phldrT="[Texte]" custT="1"/>
      <dgm:spPr>
        <a:blipFill rotWithShape="0">
          <a:blip xmlns:r="http://schemas.openxmlformats.org/officeDocument/2006/relationships" r:embed="rId2"/>
          <a:stretch>
            <a:fillRect/>
          </a:stretch>
        </a:blipFill>
      </dgm:spPr>
      <dgm:t>
        <a:bodyPr/>
        <a:lstStyle/>
        <a:p>
          <a:r>
            <a:rPr lang="fr-FR" sz="1200" dirty="0" smtClean="0">
              <a:latin typeface="Times New Roman" pitchFamily="18" charset="0"/>
              <a:cs typeface="Times New Roman" pitchFamily="18" charset="0"/>
            </a:rPr>
            <a:t>Formation de gousses</a:t>
          </a:r>
          <a:endParaRPr lang="fr-FR" sz="1200" dirty="0">
            <a:latin typeface="Times New Roman" pitchFamily="18" charset="0"/>
            <a:cs typeface="Times New Roman" pitchFamily="18" charset="0"/>
          </a:endParaRPr>
        </a:p>
      </dgm:t>
    </dgm:pt>
    <dgm:pt modelId="{2F4553A8-24EE-4246-A8C1-78044F492009}" type="parTrans" cxnId="{85756FB1-C43B-4F67-A286-FF9FEB834D02}">
      <dgm:prSet/>
      <dgm:spPr/>
      <dgm:t>
        <a:bodyPr/>
        <a:lstStyle/>
        <a:p>
          <a:endParaRPr lang="fr-FR" sz="1200">
            <a:latin typeface="Times New Roman" pitchFamily="18" charset="0"/>
            <a:cs typeface="Times New Roman" pitchFamily="18" charset="0"/>
          </a:endParaRPr>
        </a:p>
      </dgm:t>
    </dgm:pt>
    <dgm:pt modelId="{1153219F-4C54-497F-9717-E392DA4990A5}" type="sibTrans" cxnId="{85756FB1-C43B-4F67-A286-FF9FEB834D02}">
      <dgm:prSet custT="1"/>
      <dgm:spPr/>
      <dgm:t>
        <a:bodyPr/>
        <a:lstStyle/>
        <a:p>
          <a:endParaRPr lang="fr-FR" sz="1200">
            <a:latin typeface="Times New Roman" pitchFamily="18" charset="0"/>
            <a:cs typeface="Times New Roman" pitchFamily="18" charset="0"/>
          </a:endParaRPr>
        </a:p>
      </dgm:t>
    </dgm:pt>
    <dgm:pt modelId="{814BCC34-1DD5-41A4-9301-173ABB37218B}">
      <dgm:prSet phldrT="[Texte]" custT="1"/>
      <dgm:spPr>
        <a:blipFill rotWithShape="0">
          <a:blip xmlns:r="http://schemas.openxmlformats.org/officeDocument/2006/relationships" r:embed="rId3"/>
          <a:stretch>
            <a:fillRect/>
          </a:stretch>
        </a:blipFill>
      </dgm:spPr>
      <dgm:t>
        <a:bodyPr/>
        <a:lstStyle/>
        <a:p>
          <a:r>
            <a:rPr lang="fr-FR" sz="1200" dirty="0" smtClean="0">
              <a:latin typeface="Times New Roman" pitchFamily="18" charset="0"/>
              <a:cs typeface="Times New Roman" pitchFamily="18" charset="0"/>
            </a:rPr>
            <a:t>Maturité</a:t>
          </a:r>
          <a:endParaRPr lang="fr-FR" sz="1200" dirty="0">
            <a:latin typeface="Times New Roman" pitchFamily="18" charset="0"/>
            <a:cs typeface="Times New Roman" pitchFamily="18" charset="0"/>
          </a:endParaRPr>
        </a:p>
      </dgm:t>
    </dgm:pt>
    <dgm:pt modelId="{10255A6A-31EB-4B99-A8E6-16063A265DEA}" type="parTrans" cxnId="{8808A160-276C-420C-8B9B-F7A517A420E1}">
      <dgm:prSet/>
      <dgm:spPr/>
      <dgm:t>
        <a:bodyPr/>
        <a:lstStyle/>
        <a:p>
          <a:endParaRPr lang="fr-FR" sz="1200">
            <a:latin typeface="Times New Roman" pitchFamily="18" charset="0"/>
            <a:cs typeface="Times New Roman" pitchFamily="18" charset="0"/>
          </a:endParaRPr>
        </a:p>
      </dgm:t>
    </dgm:pt>
    <dgm:pt modelId="{366AACEB-E466-4BC9-9007-961D4B02116A}" type="sibTrans" cxnId="{8808A160-276C-420C-8B9B-F7A517A420E1}">
      <dgm:prSet custT="1"/>
      <dgm:spPr/>
      <dgm:t>
        <a:bodyPr/>
        <a:lstStyle/>
        <a:p>
          <a:endParaRPr lang="fr-FR" sz="1200">
            <a:latin typeface="Times New Roman" pitchFamily="18" charset="0"/>
            <a:cs typeface="Times New Roman" pitchFamily="18" charset="0"/>
          </a:endParaRPr>
        </a:p>
      </dgm:t>
    </dgm:pt>
    <dgm:pt modelId="{53384F02-43C2-4434-841A-3129FA829AB7}">
      <dgm:prSet phldrT="[Texte]" custT="1"/>
      <dgm:spPr>
        <a:blipFill rotWithShape="0">
          <a:blip xmlns:r="http://schemas.openxmlformats.org/officeDocument/2006/relationships" r:embed="rId4"/>
          <a:stretch>
            <a:fillRect/>
          </a:stretch>
        </a:blipFill>
      </dgm:spPr>
      <dgm:t>
        <a:bodyPr/>
        <a:lstStyle/>
        <a:p>
          <a:r>
            <a:rPr lang="fr-FR" sz="1200" dirty="0" smtClean="0">
              <a:latin typeface="Times New Roman" pitchFamily="18" charset="0"/>
              <a:cs typeface="Times New Roman" pitchFamily="18" charset="0"/>
            </a:rPr>
            <a:t>Levée</a:t>
          </a:r>
          <a:endParaRPr lang="fr-FR" sz="1200" dirty="0">
            <a:latin typeface="Times New Roman" pitchFamily="18" charset="0"/>
            <a:cs typeface="Times New Roman" pitchFamily="18" charset="0"/>
          </a:endParaRPr>
        </a:p>
      </dgm:t>
    </dgm:pt>
    <dgm:pt modelId="{9EDA8F3D-EE3D-4DA9-9380-68C13FD3D5EF}" type="parTrans" cxnId="{97F4F304-AB83-40D9-9A86-ADD98C5A7E43}">
      <dgm:prSet/>
      <dgm:spPr/>
      <dgm:t>
        <a:bodyPr/>
        <a:lstStyle/>
        <a:p>
          <a:endParaRPr lang="fr-FR" sz="1200">
            <a:latin typeface="Times New Roman" pitchFamily="18" charset="0"/>
            <a:cs typeface="Times New Roman" pitchFamily="18" charset="0"/>
          </a:endParaRPr>
        </a:p>
      </dgm:t>
    </dgm:pt>
    <dgm:pt modelId="{B2B47EAB-4FD2-404D-B0F2-FBBD6921486E}" type="sibTrans" cxnId="{97F4F304-AB83-40D9-9A86-ADD98C5A7E43}">
      <dgm:prSet custT="1"/>
      <dgm:spPr/>
      <dgm:t>
        <a:bodyPr/>
        <a:lstStyle/>
        <a:p>
          <a:endParaRPr lang="fr-FR" sz="1200">
            <a:latin typeface="Times New Roman" pitchFamily="18" charset="0"/>
            <a:cs typeface="Times New Roman" pitchFamily="18" charset="0"/>
          </a:endParaRPr>
        </a:p>
      </dgm:t>
    </dgm:pt>
    <dgm:pt modelId="{4F7F566F-2644-4D71-B767-3639CBB00D29}">
      <dgm:prSet phldrT="[Texte]" custT="1"/>
      <dgm:spPr>
        <a:blipFill rotWithShape="0">
          <a:blip xmlns:r="http://schemas.openxmlformats.org/officeDocument/2006/relationships" r:embed="rId5"/>
          <a:stretch>
            <a:fillRect/>
          </a:stretch>
        </a:blipFill>
      </dgm:spPr>
      <dgm:t>
        <a:bodyPr/>
        <a:lstStyle/>
        <a:p>
          <a:r>
            <a:rPr lang="fr-FR" sz="1200" dirty="0" smtClean="0">
              <a:latin typeface="Times New Roman" pitchFamily="18" charset="0"/>
              <a:cs typeface="Times New Roman" pitchFamily="18" charset="0"/>
            </a:rPr>
            <a:t>Floraison</a:t>
          </a:r>
          <a:endParaRPr lang="fr-FR" sz="1200" dirty="0">
            <a:latin typeface="Times New Roman" pitchFamily="18" charset="0"/>
            <a:cs typeface="Times New Roman" pitchFamily="18" charset="0"/>
          </a:endParaRPr>
        </a:p>
      </dgm:t>
    </dgm:pt>
    <dgm:pt modelId="{F78ED669-56A4-47B8-A6BF-FCED8ADF9BA1}" type="parTrans" cxnId="{B8F0E82C-256F-46F8-A421-C710EA08B04A}">
      <dgm:prSet/>
      <dgm:spPr/>
      <dgm:t>
        <a:bodyPr/>
        <a:lstStyle/>
        <a:p>
          <a:endParaRPr lang="fr-FR" sz="1200">
            <a:latin typeface="Times New Roman" pitchFamily="18" charset="0"/>
            <a:cs typeface="Times New Roman" pitchFamily="18" charset="0"/>
          </a:endParaRPr>
        </a:p>
      </dgm:t>
    </dgm:pt>
    <dgm:pt modelId="{964CDE34-656D-4942-9537-23E357023FA5}" type="sibTrans" cxnId="{B8F0E82C-256F-46F8-A421-C710EA08B04A}">
      <dgm:prSet custT="1"/>
      <dgm:spPr/>
      <dgm:t>
        <a:bodyPr/>
        <a:lstStyle/>
        <a:p>
          <a:endParaRPr lang="fr-FR" sz="1200">
            <a:latin typeface="Times New Roman" pitchFamily="18" charset="0"/>
            <a:cs typeface="Times New Roman" pitchFamily="18" charset="0"/>
          </a:endParaRPr>
        </a:p>
      </dgm:t>
    </dgm:pt>
    <dgm:pt modelId="{FDB824E4-ED76-402E-B3C9-7D24BB2F83CE}">
      <dgm:prSet phldrT="[Texte]" custT="1"/>
      <dgm:spPr>
        <a:blipFill rotWithShape="0">
          <a:blip xmlns:r="http://schemas.openxmlformats.org/officeDocument/2006/relationships" r:embed="rId6"/>
          <a:stretch>
            <a:fillRect/>
          </a:stretch>
        </a:blipFill>
      </dgm:spPr>
      <dgm:t>
        <a:bodyPr/>
        <a:lstStyle/>
        <a:p>
          <a:r>
            <a:rPr lang="fr-FR" sz="1200" dirty="0" smtClean="0">
              <a:latin typeface="Times New Roman" pitchFamily="18" charset="0"/>
              <a:cs typeface="Times New Roman" pitchFamily="18" charset="0"/>
            </a:rPr>
            <a:t>Nouaison</a:t>
          </a:r>
          <a:endParaRPr lang="fr-FR" sz="1200" dirty="0">
            <a:latin typeface="Times New Roman" pitchFamily="18" charset="0"/>
            <a:cs typeface="Times New Roman" pitchFamily="18" charset="0"/>
          </a:endParaRPr>
        </a:p>
      </dgm:t>
    </dgm:pt>
    <dgm:pt modelId="{296E45D0-3FE7-45B4-B237-377B25D034DB}" type="sibTrans" cxnId="{7DE2D111-EC57-4821-9A03-8D841D7F5311}">
      <dgm:prSet custT="1"/>
      <dgm:spPr/>
      <dgm:t>
        <a:bodyPr/>
        <a:lstStyle/>
        <a:p>
          <a:endParaRPr lang="fr-FR" sz="1200">
            <a:latin typeface="Times New Roman" pitchFamily="18" charset="0"/>
            <a:cs typeface="Times New Roman" pitchFamily="18" charset="0"/>
          </a:endParaRPr>
        </a:p>
      </dgm:t>
    </dgm:pt>
    <dgm:pt modelId="{BB3CA922-1AF2-4E2D-A861-D74743C51FCA}" type="parTrans" cxnId="{7DE2D111-EC57-4821-9A03-8D841D7F5311}">
      <dgm:prSet/>
      <dgm:spPr/>
      <dgm:t>
        <a:bodyPr/>
        <a:lstStyle/>
        <a:p>
          <a:endParaRPr lang="fr-FR" sz="1200">
            <a:latin typeface="Times New Roman" pitchFamily="18" charset="0"/>
            <a:cs typeface="Times New Roman" pitchFamily="18" charset="0"/>
          </a:endParaRPr>
        </a:p>
      </dgm:t>
    </dgm:pt>
    <dgm:pt modelId="{7255E29A-430C-4F28-B04E-3C9563E76F01}" type="pres">
      <dgm:prSet presAssocID="{D9E0849A-B70C-4497-8DD1-7B011861B287}" presName="cycle" presStyleCnt="0">
        <dgm:presLayoutVars>
          <dgm:dir/>
          <dgm:resizeHandles val="exact"/>
        </dgm:presLayoutVars>
      </dgm:prSet>
      <dgm:spPr/>
      <dgm:t>
        <a:bodyPr/>
        <a:lstStyle/>
        <a:p>
          <a:endParaRPr lang="fr-FR"/>
        </a:p>
      </dgm:t>
    </dgm:pt>
    <dgm:pt modelId="{D5D75E33-B52D-4A78-9577-C63DCBD3D37C}" type="pres">
      <dgm:prSet presAssocID="{8E2A9DDC-CF72-47BF-9B40-AFC00D38BA70}" presName="node" presStyleLbl="node1" presStyleIdx="0" presStyleCnt="6">
        <dgm:presLayoutVars>
          <dgm:bulletEnabled val="1"/>
        </dgm:presLayoutVars>
      </dgm:prSet>
      <dgm:spPr/>
      <dgm:t>
        <a:bodyPr/>
        <a:lstStyle/>
        <a:p>
          <a:endParaRPr lang="fr-FR"/>
        </a:p>
      </dgm:t>
    </dgm:pt>
    <dgm:pt modelId="{DA403242-54F6-4955-94B3-CAE3F039E89F}" type="pres">
      <dgm:prSet presAssocID="{62535D4A-0A26-43E1-AEEB-3177868DD71F}" presName="sibTrans" presStyleLbl="sibTrans2D1" presStyleIdx="0" presStyleCnt="6"/>
      <dgm:spPr/>
      <dgm:t>
        <a:bodyPr/>
        <a:lstStyle/>
        <a:p>
          <a:endParaRPr lang="fr-FR"/>
        </a:p>
      </dgm:t>
    </dgm:pt>
    <dgm:pt modelId="{65655508-005C-49D4-980C-C654A442DA1F}" type="pres">
      <dgm:prSet presAssocID="{62535D4A-0A26-43E1-AEEB-3177868DD71F}" presName="connectorText" presStyleLbl="sibTrans2D1" presStyleIdx="0" presStyleCnt="6"/>
      <dgm:spPr/>
      <dgm:t>
        <a:bodyPr/>
        <a:lstStyle/>
        <a:p>
          <a:endParaRPr lang="fr-FR"/>
        </a:p>
      </dgm:t>
    </dgm:pt>
    <dgm:pt modelId="{C29D197D-4C82-4F61-B028-A637AABE69ED}" type="pres">
      <dgm:prSet presAssocID="{53384F02-43C2-4434-841A-3129FA829AB7}" presName="node" presStyleLbl="node1" presStyleIdx="1" presStyleCnt="6">
        <dgm:presLayoutVars>
          <dgm:bulletEnabled val="1"/>
        </dgm:presLayoutVars>
      </dgm:prSet>
      <dgm:spPr/>
      <dgm:t>
        <a:bodyPr/>
        <a:lstStyle/>
        <a:p>
          <a:endParaRPr lang="fr-FR"/>
        </a:p>
      </dgm:t>
    </dgm:pt>
    <dgm:pt modelId="{E175CC85-E0C0-4374-8978-A189EB52CDB3}" type="pres">
      <dgm:prSet presAssocID="{B2B47EAB-4FD2-404D-B0F2-FBBD6921486E}" presName="sibTrans" presStyleLbl="sibTrans2D1" presStyleIdx="1" presStyleCnt="6"/>
      <dgm:spPr/>
      <dgm:t>
        <a:bodyPr/>
        <a:lstStyle/>
        <a:p>
          <a:endParaRPr lang="fr-FR"/>
        </a:p>
      </dgm:t>
    </dgm:pt>
    <dgm:pt modelId="{AFF8A30C-2772-4A9F-A949-2BCA15FF1F39}" type="pres">
      <dgm:prSet presAssocID="{B2B47EAB-4FD2-404D-B0F2-FBBD6921486E}" presName="connectorText" presStyleLbl="sibTrans2D1" presStyleIdx="1" presStyleCnt="6"/>
      <dgm:spPr/>
      <dgm:t>
        <a:bodyPr/>
        <a:lstStyle/>
        <a:p>
          <a:endParaRPr lang="fr-FR"/>
        </a:p>
      </dgm:t>
    </dgm:pt>
    <dgm:pt modelId="{AD9CC147-F4C6-40B0-9228-9684C62AAA40}" type="pres">
      <dgm:prSet presAssocID="{4F7F566F-2644-4D71-B767-3639CBB00D29}" presName="node" presStyleLbl="node1" presStyleIdx="2" presStyleCnt="6">
        <dgm:presLayoutVars>
          <dgm:bulletEnabled val="1"/>
        </dgm:presLayoutVars>
      </dgm:prSet>
      <dgm:spPr/>
      <dgm:t>
        <a:bodyPr/>
        <a:lstStyle/>
        <a:p>
          <a:endParaRPr lang="fr-FR"/>
        </a:p>
      </dgm:t>
    </dgm:pt>
    <dgm:pt modelId="{DB9755EE-396D-4143-BF08-083CB2C74305}" type="pres">
      <dgm:prSet presAssocID="{964CDE34-656D-4942-9537-23E357023FA5}" presName="sibTrans" presStyleLbl="sibTrans2D1" presStyleIdx="2" presStyleCnt="6"/>
      <dgm:spPr/>
      <dgm:t>
        <a:bodyPr/>
        <a:lstStyle/>
        <a:p>
          <a:endParaRPr lang="fr-FR"/>
        </a:p>
      </dgm:t>
    </dgm:pt>
    <dgm:pt modelId="{507E6488-43EF-4B6B-BAD3-65CB758DA5E0}" type="pres">
      <dgm:prSet presAssocID="{964CDE34-656D-4942-9537-23E357023FA5}" presName="connectorText" presStyleLbl="sibTrans2D1" presStyleIdx="2" presStyleCnt="6"/>
      <dgm:spPr/>
      <dgm:t>
        <a:bodyPr/>
        <a:lstStyle/>
        <a:p>
          <a:endParaRPr lang="fr-FR"/>
        </a:p>
      </dgm:t>
    </dgm:pt>
    <dgm:pt modelId="{3F312248-B51F-444E-997B-FC321A37180C}" type="pres">
      <dgm:prSet presAssocID="{FDB824E4-ED76-402E-B3C9-7D24BB2F83CE}" presName="node" presStyleLbl="node1" presStyleIdx="3" presStyleCnt="6">
        <dgm:presLayoutVars>
          <dgm:bulletEnabled val="1"/>
        </dgm:presLayoutVars>
      </dgm:prSet>
      <dgm:spPr/>
      <dgm:t>
        <a:bodyPr/>
        <a:lstStyle/>
        <a:p>
          <a:endParaRPr lang="fr-FR"/>
        </a:p>
      </dgm:t>
    </dgm:pt>
    <dgm:pt modelId="{68D2A20B-3FCD-48BA-A48C-D7C9DDC291EA}" type="pres">
      <dgm:prSet presAssocID="{296E45D0-3FE7-45B4-B237-377B25D034DB}" presName="sibTrans" presStyleLbl="sibTrans2D1" presStyleIdx="3" presStyleCnt="6"/>
      <dgm:spPr/>
      <dgm:t>
        <a:bodyPr/>
        <a:lstStyle/>
        <a:p>
          <a:endParaRPr lang="fr-FR"/>
        </a:p>
      </dgm:t>
    </dgm:pt>
    <dgm:pt modelId="{8EAE347B-C3D4-4B06-A4D3-BCDFB85972D3}" type="pres">
      <dgm:prSet presAssocID="{296E45D0-3FE7-45B4-B237-377B25D034DB}" presName="connectorText" presStyleLbl="sibTrans2D1" presStyleIdx="3" presStyleCnt="6"/>
      <dgm:spPr/>
      <dgm:t>
        <a:bodyPr/>
        <a:lstStyle/>
        <a:p>
          <a:endParaRPr lang="fr-FR"/>
        </a:p>
      </dgm:t>
    </dgm:pt>
    <dgm:pt modelId="{6CB6DE14-ADCF-4597-A1A1-B3F68A6639D8}" type="pres">
      <dgm:prSet presAssocID="{8F0CA7E6-46C0-41B2-823B-9E49153A6326}" presName="node" presStyleLbl="node1" presStyleIdx="4" presStyleCnt="6">
        <dgm:presLayoutVars>
          <dgm:bulletEnabled val="1"/>
        </dgm:presLayoutVars>
      </dgm:prSet>
      <dgm:spPr/>
      <dgm:t>
        <a:bodyPr/>
        <a:lstStyle/>
        <a:p>
          <a:endParaRPr lang="fr-FR"/>
        </a:p>
      </dgm:t>
    </dgm:pt>
    <dgm:pt modelId="{BA032E8E-9B74-4268-BE42-F49E177A9660}" type="pres">
      <dgm:prSet presAssocID="{1153219F-4C54-497F-9717-E392DA4990A5}" presName="sibTrans" presStyleLbl="sibTrans2D1" presStyleIdx="4" presStyleCnt="6"/>
      <dgm:spPr/>
      <dgm:t>
        <a:bodyPr/>
        <a:lstStyle/>
        <a:p>
          <a:endParaRPr lang="fr-FR"/>
        </a:p>
      </dgm:t>
    </dgm:pt>
    <dgm:pt modelId="{1CACE244-5A45-4FD7-AAD4-2A43C3371519}" type="pres">
      <dgm:prSet presAssocID="{1153219F-4C54-497F-9717-E392DA4990A5}" presName="connectorText" presStyleLbl="sibTrans2D1" presStyleIdx="4" presStyleCnt="6"/>
      <dgm:spPr/>
      <dgm:t>
        <a:bodyPr/>
        <a:lstStyle/>
        <a:p>
          <a:endParaRPr lang="fr-FR"/>
        </a:p>
      </dgm:t>
    </dgm:pt>
    <dgm:pt modelId="{0F007F1E-8149-4234-87CE-DED2424975AC}" type="pres">
      <dgm:prSet presAssocID="{814BCC34-1DD5-41A4-9301-173ABB37218B}" presName="node" presStyleLbl="node1" presStyleIdx="5" presStyleCnt="6">
        <dgm:presLayoutVars>
          <dgm:bulletEnabled val="1"/>
        </dgm:presLayoutVars>
      </dgm:prSet>
      <dgm:spPr/>
      <dgm:t>
        <a:bodyPr/>
        <a:lstStyle/>
        <a:p>
          <a:endParaRPr lang="fr-FR"/>
        </a:p>
      </dgm:t>
    </dgm:pt>
    <dgm:pt modelId="{716DBE4A-7EB8-47B7-9303-4A8963919F46}" type="pres">
      <dgm:prSet presAssocID="{366AACEB-E466-4BC9-9007-961D4B02116A}" presName="sibTrans" presStyleLbl="sibTrans2D1" presStyleIdx="5" presStyleCnt="6"/>
      <dgm:spPr/>
      <dgm:t>
        <a:bodyPr/>
        <a:lstStyle/>
        <a:p>
          <a:endParaRPr lang="fr-FR"/>
        </a:p>
      </dgm:t>
    </dgm:pt>
    <dgm:pt modelId="{A1B3679D-6076-4704-943C-8F1CEE41233A}" type="pres">
      <dgm:prSet presAssocID="{366AACEB-E466-4BC9-9007-961D4B02116A}" presName="connectorText" presStyleLbl="sibTrans2D1" presStyleIdx="5" presStyleCnt="6"/>
      <dgm:spPr/>
      <dgm:t>
        <a:bodyPr/>
        <a:lstStyle/>
        <a:p>
          <a:endParaRPr lang="fr-FR"/>
        </a:p>
      </dgm:t>
    </dgm:pt>
  </dgm:ptLst>
  <dgm:cxnLst>
    <dgm:cxn modelId="{26AD78A5-C668-4A9F-96AA-88CA67C9E789}" type="presOf" srcId="{B2B47EAB-4FD2-404D-B0F2-FBBD6921486E}" destId="{E175CC85-E0C0-4374-8978-A189EB52CDB3}" srcOrd="0" destOrd="0" presId="urn:microsoft.com/office/officeart/2005/8/layout/cycle2"/>
    <dgm:cxn modelId="{915A9D6E-5BBD-453A-A18F-D739A3C51E69}" type="presOf" srcId="{D9E0849A-B70C-4497-8DD1-7B011861B287}" destId="{7255E29A-430C-4F28-B04E-3C9563E76F01}" srcOrd="0" destOrd="0" presId="urn:microsoft.com/office/officeart/2005/8/layout/cycle2"/>
    <dgm:cxn modelId="{78D552C2-6431-4DF9-A19B-B0D7D8152563}" type="presOf" srcId="{296E45D0-3FE7-45B4-B237-377B25D034DB}" destId="{8EAE347B-C3D4-4B06-A4D3-BCDFB85972D3}" srcOrd="1" destOrd="0" presId="urn:microsoft.com/office/officeart/2005/8/layout/cycle2"/>
    <dgm:cxn modelId="{2D00EB84-6D40-4154-9D3B-B601C9770C71}" type="presOf" srcId="{296E45D0-3FE7-45B4-B237-377B25D034DB}" destId="{68D2A20B-3FCD-48BA-A48C-D7C9DDC291EA}" srcOrd="0" destOrd="0" presId="urn:microsoft.com/office/officeart/2005/8/layout/cycle2"/>
    <dgm:cxn modelId="{8808A160-276C-420C-8B9B-F7A517A420E1}" srcId="{D9E0849A-B70C-4497-8DD1-7B011861B287}" destId="{814BCC34-1DD5-41A4-9301-173ABB37218B}" srcOrd="5" destOrd="0" parTransId="{10255A6A-31EB-4B99-A8E6-16063A265DEA}" sibTransId="{366AACEB-E466-4BC9-9007-961D4B02116A}"/>
    <dgm:cxn modelId="{456351FB-EEDA-4ED8-A25A-545A5D4E6007}" type="presOf" srcId="{B2B47EAB-4FD2-404D-B0F2-FBBD6921486E}" destId="{AFF8A30C-2772-4A9F-A949-2BCA15FF1F39}" srcOrd="1" destOrd="0" presId="urn:microsoft.com/office/officeart/2005/8/layout/cycle2"/>
    <dgm:cxn modelId="{7DE2D111-EC57-4821-9A03-8D841D7F5311}" srcId="{D9E0849A-B70C-4497-8DD1-7B011861B287}" destId="{FDB824E4-ED76-402E-B3C9-7D24BB2F83CE}" srcOrd="3" destOrd="0" parTransId="{BB3CA922-1AF2-4E2D-A861-D74743C51FCA}" sibTransId="{296E45D0-3FE7-45B4-B237-377B25D034DB}"/>
    <dgm:cxn modelId="{9EC1B82F-38F3-4B14-9C61-3BDE1AEEFF26}" type="presOf" srcId="{62535D4A-0A26-43E1-AEEB-3177868DD71F}" destId="{DA403242-54F6-4955-94B3-CAE3F039E89F}" srcOrd="0" destOrd="0" presId="urn:microsoft.com/office/officeart/2005/8/layout/cycle2"/>
    <dgm:cxn modelId="{FE379E19-07D2-4763-BE64-4016158FCF6E}" type="presOf" srcId="{FDB824E4-ED76-402E-B3C9-7D24BB2F83CE}" destId="{3F312248-B51F-444E-997B-FC321A37180C}" srcOrd="0" destOrd="0" presId="urn:microsoft.com/office/officeart/2005/8/layout/cycle2"/>
    <dgm:cxn modelId="{97F4F304-AB83-40D9-9A86-ADD98C5A7E43}" srcId="{D9E0849A-B70C-4497-8DD1-7B011861B287}" destId="{53384F02-43C2-4434-841A-3129FA829AB7}" srcOrd="1" destOrd="0" parTransId="{9EDA8F3D-EE3D-4DA9-9380-68C13FD3D5EF}" sibTransId="{B2B47EAB-4FD2-404D-B0F2-FBBD6921486E}"/>
    <dgm:cxn modelId="{FC14778B-8015-498D-9CB1-1EB2A1981B81}" type="presOf" srcId="{4F7F566F-2644-4D71-B767-3639CBB00D29}" destId="{AD9CC147-F4C6-40B0-9228-9684C62AAA40}" srcOrd="0" destOrd="0" presId="urn:microsoft.com/office/officeart/2005/8/layout/cycle2"/>
    <dgm:cxn modelId="{AC41497E-A13D-4133-81F5-EC4175CEB180}" type="presOf" srcId="{1153219F-4C54-497F-9717-E392DA4990A5}" destId="{BA032E8E-9B74-4268-BE42-F49E177A9660}" srcOrd="0" destOrd="0" presId="urn:microsoft.com/office/officeart/2005/8/layout/cycle2"/>
    <dgm:cxn modelId="{200BE110-B2EB-4085-B61C-720E62CDBB5D}" srcId="{D9E0849A-B70C-4497-8DD1-7B011861B287}" destId="{8E2A9DDC-CF72-47BF-9B40-AFC00D38BA70}" srcOrd="0" destOrd="0" parTransId="{F7C370D9-43E3-432F-86BA-CE8CA8AC9472}" sibTransId="{62535D4A-0A26-43E1-AEEB-3177868DD71F}"/>
    <dgm:cxn modelId="{3212FCC1-89BF-4CF0-BD6D-6AFE7A922ABC}" type="presOf" srcId="{1153219F-4C54-497F-9717-E392DA4990A5}" destId="{1CACE244-5A45-4FD7-AAD4-2A43C3371519}" srcOrd="1" destOrd="0" presId="urn:microsoft.com/office/officeart/2005/8/layout/cycle2"/>
    <dgm:cxn modelId="{85756FB1-C43B-4F67-A286-FF9FEB834D02}" srcId="{D9E0849A-B70C-4497-8DD1-7B011861B287}" destId="{8F0CA7E6-46C0-41B2-823B-9E49153A6326}" srcOrd="4" destOrd="0" parTransId="{2F4553A8-24EE-4246-A8C1-78044F492009}" sibTransId="{1153219F-4C54-497F-9717-E392DA4990A5}"/>
    <dgm:cxn modelId="{1E396E2E-9A13-4B8E-AA98-B860D69615C2}" type="presOf" srcId="{366AACEB-E466-4BC9-9007-961D4B02116A}" destId="{A1B3679D-6076-4704-943C-8F1CEE41233A}" srcOrd="1" destOrd="0" presId="urn:microsoft.com/office/officeart/2005/8/layout/cycle2"/>
    <dgm:cxn modelId="{39D4031B-4E4E-4BB0-A2B7-F532E89C34AE}" type="presOf" srcId="{814BCC34-1DD5-41A4-9301-173ABB37218B}" destId="{0F007F1E-8149-4234-87CE-DED2424975AC}" srcOrd="0" destOrd="0" presId="urn:microsoft.com/office/officeart/2005/8/layout/cycle2"/>
    <dgm:cxn modelId="{190593A1-2579-4838-BED6-C22DEA825062}" type="presOf" srcId="{8E2A9DDC-CF72-47BF-9B40-AFC00D38BA70}" destId="{D5D75E33-B52D-4A78-9577-C63DCBD3D37C}" srcOrd="0" destOrd="0" presId="urn:microsoft.com/office/officeart/2005/8/layout/cycle2"/>
    <dgm:cxn modelId="{AF1484B9-2E9C-4405-BB61-5CED06AD0034}" type="presOf" srcId="{964CDE34-656D-4942-9537-23E357023FA5}" destId="{507E6488-43EF-4B6B-BAD3-65CB758DA5E0}" srcOrd="1" destOrd="0" presId="urn:microsoft.com/office/officeart/2005/8/layout/cycle2"/>
    <dgm:cxn modelId="{4A890AB2-A3F0-497C-BA33-0E6C8C4E6E8B}" type="presOf" srcId="{62535D4A-0A26-43E1-AEEB-3177868DD71F}" destId="{65655508-005C-49D4-980C-C654A442DA1F}" srcOrd="1" destOrd="0" presId="urn:microsoft.com/office/officeart/2005/8/layout/cycle2"/>
    <dgm:cxn modelId="{B8F0E82C-256F-46F8-A421-C710EA08B04A}" srcId="{D9E0849A-B70C-4497-8DD1-7B011861B287}" destId="{4F7F566F-2644-4D71-B767-3639CBB00D29}" srcOrd="2" destOrd="0" parTransId="{F78ED669-56A4-47B8-A6BF-FCED8ADF9BA1}" sibTransId="{964CDE34-656D-4942-9537-23E357023FA5}"/>
    <dgm:cxn modelId="{B08A3426-16CE-45AF-8344-7E5011E7B867}" type="presOf" srcId="{964CDE34-656D-4942-9537-23E357023FA5}" destId="{DB9755EE-396D-4143-BF08-083CB2C74305}" srcOrd="0" destOrd="0" presId="urn:microsoft.com/office/officeart/2005/8/layout/cycle2"/>
    <dgm:cxn modelId="{078DD2CF-3256-41FF-B28E-57E5FC49BD01}" type="presOf" srcId="{8F0CA7E6-46C0-41B2-823B-9E49153A6326}" destId="{6CB6DE14-ADCF-4597-A1A1-B3F68A6639D8}" srcOrd="0" destOrd="0" presId="urn:microsoft.com/office/officeart/2005/8/layout/cycle2"/>
    <dgm:cxn modelId="{6488EE80-3898-45D6-B9D2-BBB1FA906FA9}" type="presOf" srcId="{366AACEB-E466-4BC9-9007-961D4B02116A}" destId="{716DBE4A-7EB8-47B7-9303-4A8963919F46}" srcOrd="0" destOrd="0" presId="urn:microsoft.com/office/officeart/2005/8/layout/cycle2"/>
    <dgm:cxn modelId="{F22360EB-FC8B-471F-B3E1-8F458C95F422}" type="presOf" srcId="{53384F02-43C2-4434-841A-3129FA829AB7}" destId="{C29D197D-4C82-4F61-B028-A637AABE69ED}" srcOrd="0" destOrd="0" presId="urn:microsoft.com/office/officeart/2005/8/layout/cycle2"/>
    <dgm:cxn modelId="{51BEDC13-6338-4255-9B17-16C1948AA2BE}" type="presParOf" srcId="{7255E29A-430C-4F28-B04E-3C9563E76F01}" destId="{D5D75E33-B52D-4A78-9577-C63DCBD3D37C}" srcOrd="0" destOrd="0" presId="urn:microsoft.com/office/officeart/2005/8/layout/cycle2"/>
    <dgm:cxn modelId="{ED5D3B26-7970-47A4-8131-E0F03CA68D67}" type="presParOf" srcId="{7255E29A-430C-4F28-B04E-3C9563E76F01}" destId="{DA403242-54F6-4955-94B3-CAE3F039E89F}" srcOrd="1" destOrd="0" presId="urn:microsoft.com/office/officeart/2005/8/layout/cycle2"/>
    <dgm:cxn modelId="{A2A9CE68-3D2D-43F1-BDF4-8D5BC8093640}" type="presParOf" srcId="{DA403242-54F6-4955-94B3-CAE3F039E89F}" destId="{65655508-005C-49D4-980C-C654A442DA1F}" srcOrd="0" destOrd="0" presId="urn:microsoft.com/office/officeart/2005/8/layout/cycle2"/>
    <dgm:cxn modelId="{23152D8B-FB18-4BD6-B156-FF762A813E89}" type="presParOf" srcId="{7255E29A-430C-4F28-B04E-3C9563E76F01}" destId="{C29D197D-4C82-4F61-B028-A637AABE69ED}" srcOrd="2" destOrd="0" presId="urn:microsoft.com/office/officeart/2005/8/layout/cycle2"/>
    <dgm:cxn modelId="{AAA51EB9-E8F3-4337-AEBE-3FBC34D6C857}" type="presParOf" srcId="{7255E29A-430C-4F28-B04E-3C9563E76F01}" destId="{E175CC85-E0C0-4374-8978-A189EB52CDB3}" srcOrd="3" destOrd="0" presId="urn:microsoft.com/office/officeart/2005/8/layout/cycle2"/>
    <dgm:cxn modelId="{58ABBB5F-D1FF-4E3F-B7E2-843E21F1AFB4}" type="presParOf" srcId="{E175CC85-E0C0-4374-8978-A189EB52CDB3}" destId="{AFF8A30C-2772-4A9F-A949-2BCA15FF1F39}" srcOrd="0" destOrd="0" presId="urn:microsoft.com/office/officeart/2005/8/layout/cycle2"/>
    <dgm:cxn modelId="{CA4E1F96-B747-4036-88BE-29D8762E0788}" type="presParOf" srcId="{7255E29A-430C-4F28-B04E-3C9563E76F01}" destId="{AD9CC147-F4C6-40B0-9228-9684C62AAA40}" srcOrd="4" destOrd="0" presId="urn:microsoft.com/office/officeart/2005/8/layout/cycle2"/>
    <dgm:cxn modelId="{B77FDEF9-291A-47D0-8E7D-2F32B84E1BDD}" type="presParOf" srcId="{7255E29A-430C-4F28-B04E-3C9563E76F01}" destId="{DB9755EE-396D-4143-BF08-083CB2C74305}" srcOrd="5" destOrd="0" presId="urn:microsoft.com/office/officeart/2005/8/layout/cycle2"/>
    <dgm:cxn modelId="{3E749A2A-289A-4B11-B7B3-368E57720ECF}" type="presParOf" srcId="{DB9755EE-396D-4143-BF08-083CB2C74305}" destId="{507E6488-43EF-4B6B-BAD3-65CB758DA5E0}" srcOrd="0" destOrd="0" presId="urn:microsoft.com/office/officeart/2005/8/layout/cycle2"/>
    <dgm:cxn modelId="{55671723-00B1-45B1-81CE-09FA8E1E2E2A}" type="presParOf" srcId="{7255E29A-430C-4F28-B04E-3C9563E76F01}" destId="{3F312248-B51F-444E-997B-FC321A37180C}" srcOrd="6" destOrd="0" presId="urn:microsoft.com/office/officeart/2005/8/layout/cycle2"/>
    <dgm:cxn modelId="{44A5174F-1E3A-4535-AD1A-188FE444B256}" type="presParOf" srcId="{7255E29A-430C-4F28-B04E-3C9563E76F01}" destId="{68D2A20B-3FCD-48BA-A48C-D7C9DDC291EA}" srcOrd="7" destOrd="0" presId="urn:microsoft.com/office/officeart/2005/8/layout/cycle2"/>
    <dgm:cxn modelId="{D9F0AFB6-8A3E-4054-9544-0953E5150FEF}" type="presParOf" srcId="{68D2A20B-3FCD-48BA-A48C-D7C9DDC291EA}" destId="{8EAE347B-C3D4-4B06-A4D3-BCDFB85972D3}" srcOrd="0" destOrd="0" presId="urn:microsoft.com/office/officeart/2005/8/layout/cycle2"/>
    <dgm:cxn modelId="{6C994314-741E-407D-87EC-97961AA186FD}" type="presParOf" srcId="{7255E29A-430C-4F28-B04E-3C9563E76F01}" destId="{6CB6DE14-ADCF-4597-A1A1-B3F68A6639D8}" srcOrd="8" destOrd="0" presId="urn:microsoft.com/office/officeart/2005/8/layout/cycle2"/>
    <dgm:cxn modelId="{B8150638-743C-4D84-AD5D-5DA2EC05D00A}" type="presParOf" srcId="{7255E29A-430C-4F28-B04E-3C9563E76F01}" destId="{BA032E8E-9B74-4268-BE42-F49E177A9660}" srcOrd="9" destOrd="0" presId="urn:microsoft.com/office/officeart/2005/8/layout/cycle2"/>
    <dgm:cxn modelId="{357CB0C5-511D-40F8-91C5-ED0A8C5956C5}" type="presParOf" srcId="{BA032E8E-9B74-4268-BE42-F49E177A9660}" destId="{1CACE244-5A45-4FD7-AAD4-2A43C3371519}" srcOrd="0" destOrd="0" presId="urn:microsoft.com/office/officeart/2005/8/layout/cycle2"/>
    <dgm:cxn modelId="{0ED63429-D22C-4E88-B900-F19AA0CBCBB2}" type="presParOf" srcId="{7255E29A-430C-4F28-B04E-3C9563E76F01}" destId="{0F007F1E-8149-4234-87CE-DED2424975AC}" srcOrd="10" destOrd="0" presId="urn:microsoft.com/office/officeart/2005/8/layout/cycle2"/>
    <dgm:cxn modelId="{D1E25DE1-289A-4416-B41D-779D10FE70A3}" type="presParOf" srcId="{7255E29A-430C-4F28-B04E-3C9563E76F01}" destId="{716DBE4A-7EB8-47B7-9303-4A8963919F46}" srcOrd="11" destOrd="0" presId="urn:microsoft.com/office/officeart/2005/8/layout/cycle2"/>
    <dgm:cxn modelId="{93A07FC3-3AE9-4D3C-9516-1FEEBAE09658}" type="presParOf" srcId="{716DBE4A-7EB8-47B7-9303-4A8963919F46}" destId="{A1B3679D-6076-4704-943C-8F1CEE41233A}" srcOrd="0" destOrd="0" presId="urn:microsoft.com/office/officeart/2005/8/layout/cycle2"/>
  </dgm:cxnLst>
  <dgm:bg/>
  <dgm:whole/>
</dgm:dataModel>
</file>

<file path=word/diagrams/data2.xml><?xml version="1.0" encoding="utf-8"?>
<dgm:dataModel xmlns:dgm="http://schemas.openxmlformats.org/drawingml/2006/diagram" xmlns:a="http://schemas.openxmlformats.org/drawingml/2006/main">
  <dgm:ptLst>
    <dgm:pt modelId="{33FA1879-1195-4AEF-AAC7-74B33483BF5C}" type="doc">
      <dgm:prSet loTypeId="urn:microsoft.com/office/officeart/2005/8/layout/cycle2" loCatId="cycle" qsTypeId="urn:microsoft.com/office/officeart/2005/8/quickstyle/3d1" qsCatId="3D" csTypeId="urn:microsoft.com/office/officeart/2005/8/colors/accent1_2" csCatId="accent1" phldr="1"/>
      <dgm:spPr/>
      <dgm:t>
        <a:bodyPr/>
        <a:lstStyle/>
        <a:p>
          <a:endParaRPr lang="fr-FR"/>
        </a:p>
      </dgm:t>
    </dgm:pt>
    <dgm:pt modelId="{0CFE59A4-99D3-4F7D-8168-B77F1D501C22}">
      <dgm:prSet phldrT="[Texte]" custT="1"/>
      <dgm:spPr>
        <a:blipFill rotWithShape="0">
          <a:blip xmlns:r="http://schemas.openxmlformats.org/officeDocument/2006/relationships" r:embed="rId1"/>
          <a:stretch>
            <a:fillRect/>
          </a:stretch>
        </a:blipFill>
      </dgm:spPr>
      <dgm:t>
        <a:bodyPr/>
        <a:lstStyle/>
        <a:p>
          <a:r>
            <a:rPr lang="fr-FR" sz="1200" dirty="0" smtClean="0">
              <a:latin typeface="Times New Roman" pitchFamily="18" charset="0"/>
              <a:cs typeface="Times New Roman" pitchFamily="18" charset="0"/>
            </a:rPr>
            <a:t>Semis</a:t>
          </a:r>
          <a:endParaRPr lang="fr-FR" sz="1200" dirty="0">
            <a:latin typeface="Times New Roman" pitchFamily="18" charset="0"/>
            <a:cs typeface="Times New Roman" pitchFamily="18" charset="0"/>
          </a:endParaRPr>
        </a:p>
      </dgm:t>
    </dgm:pt>
    <dgm:pt modelId="{9223D3D0-C8C0-4E3B-BB6C-E726107FFDF5}" type="parTrans" cxnId="{06219534-497F-4FBE-B37A-9E7EC8A35481}">
      <dgm:prSet/>
      <dgm:spPr/>
      <dgm:t>
        <a:bodyPr/>
        <a:lstStyle/>
        <a:p>
          <a:endParaRPr lang="fr-FR" sz="1200">
            <a:latin typeface="Times New Roman" pitchFamily="18" charset="0"/>
            <a:cs typeface="Times New Roman" pitchFamily="18" charset="0"/>
          </a:endParaRPr>
        </a:p>
      </dgm:t>
    </dgm:pt>
    <dgm:pt modelId="{8564CE2B-F88C-458F-8D1D-08D5276AD4EC}" type="sibTrans" cxnId="{06219534-497F-4FBE-B37A-9E7EC8A35481}">
      <dgm:prSet custT="1"/>
      <dgm:spPr/>
      <dgm:t>
        <a:bodyPr/>
        <a:lstStyle/>
        <a:p>
          <a:endParaRPr lang="fr-FR" sz="1200">
            <a:latin typeface="Times New Roman" pitchFamily="18" charset="0"/>
            <a:cs typeface="Times New Roman" pitchFamily="18" charset="0"/>
          </a:endParaRPr>
        </a:p>
      </dgm:t>
    </dgm:pt>
    <dgm:pt modelId="{F39DD6F9-7E97-4891-B383-9CEB5B08D62B}">
      <dgm:prSet phldrT="[Texte]" custT="1"/>
      <dgm:spPr>
        <a:blipFill rotWithShape="0">
          <a:blip xmlns:r="http://schemas.openxmlformats.org/officeDocument/2006/relationships" r:embed="rId2"/>
          <a:stretch>
            <a:fillRect/>
          </a:stretch>
        </a:blipFill>
      </dgm:spPr>
      <dgm:t>
        <a:bodyPr/>
        <a:lstStyle/>
        <a:p>
          <a:r>
            <a:rPr lang="fr-FR" sz="1200" dirty="0" smtClean="0">
              <a:latin typeface="Times New Roman" pitchFamily="18" charset="0"/>
              <a:cs typeface="Times New Roman" pitchFamily="18" charset="0"/>
            </a:rPr>
            <a:t>Floraison</a:t>
          </a:r>
          <a:endParaRPr lang="fr-FR" sz="1200" dirty="0">
            <a:latin typeface="Times New Roman" pitchFamily="18" charset="0"/>
            <a:cs typeface="Times New Roman" pitchFamily="18" charset="0"/>
          </a:endParaRPr>
        </a:p>
      </dgm:t>
    </dgm:pt>
    <dgm:pt modelId="{EDC457CF-86E4-4929-BAF7-066148C57D44}" type="parTrans" cxnId="{8B107190-FFB1-4D71-85F3-AD8348129333}">
      <dgm:prSet/>
      <dgm:spPr/>
      <dgm:t>
        <a:bodyPr/>
        <a:lstStyle/>
        <a:p>
          <a:endParaRPr lang="fr-FR" sz="1200">
            <a:latin typeface="Times New Roman" pitchFamily="18" charset="0"/>
            <a:cs typeface="Times New Roman" pitchFamily="18" charset="0"/>
          </a:endParaRPr>
        </a:p>
      </dgm:t>
    </dgm:pt>
    <dgm:pt modelId="{04B1BEEF-455B-44B6-AFBC-C38488B3F84D}" type="sibTrans" cxnId="{8B107190-FFB1-4D71-85F3-AD8348129333}">
      <dgm:prSet custT="1"/>
      <dgm:spPr/>
      <dgm:t>
        <a:bodyPr/>
        <a:lstStyle/>
        <a:p>
          <a:endParaRPr lang="fr-FR" sz="1200">
            <a:latin typeface="Times New Roman" pitchFamily="18" charset="0"/>
            <a:cs typeface="Times New Roman" pitchFamily="18" charset="0"/>
          </a:endParaRPr>
        </a:p>
      </dgm:t>
    </dgm:pt>
    <dgm:pt modelId="{B51CB860-213E-4C97-BD23-8E98CEC3964F}">
      <dgm:prSet phldrT="[Texte]" custT="1"/>
      <dgm:spPr>
        <a:blipFill rotWithShape="0">
          <a:blip xmlns:r="http://schemas.openxmlformats.org/officeDocument/2006/relationships" r:embed="rId3"/>
          <a:stretch>
            <a:fillRect/>
          </a:stretch>
        </a:blipFill>
      </dgm:spPr>
      <dgm:t>
        <a:bodyPr/>
        <a:lstStyle/>
        <a:p>
          <a:r>
            <a:rPr lang="fr-FR" sz="1200" dirty="0" smtClean="0">
              <a:latin typeface="Times New Roman" pitchFamily="18" charset="0"/>
              <a:cs typeface="Times New Roman" pitchFamily="18" charset="0"/>
            </a:rPr>
            <a:t>maturité</a:t>
          </a:r>
          <a:endParaRPr lang="fr-FR" sz="1200" dirty="0">
            <a:latin typeface="Times New Roman" pitchFamily="18" charset="0"/>
            <a:cs typeface="Times New Roman" pitchFamily="18" charset="0"/>
          </a:endParaRPr>
        </a:p>
      </dgm:t>
    </dgm:pt>
    <dgm:pt modelId="{D08C6ED3-C87E-4976-AA1F-DD108876FEA6}" type="parTrans" cxnId="{A48F859D-BC76-4949-8D21-02925FF03BE3}">
      <dgm:prSet/>
      <dgm:spPr/>
      <dgm:t>
        <a:bodyPr/>
        <a:lstStyle/>
        <a:p>
          <a:endParaRPr lang="fr-FR" sz="1200">
            <a:latin typeface="Times New Roman" pitchFamily="18" charset="0"/>
            <a:cs typeface="Times New Roman" pitchFamily="18" charset="0"/>
          </a:endParaRPr>
        </a:p>
      </dgm:t>
    </dgm:pt>
    <dgm:pt modelId="{FFC8250D-54E5-43D3-857B-735A82815914}" type="sibTrans" cxnId="{A48F859D-BC76-4949-8D21-02925FF03BE3}">
      <dgm:prSet custT="1"/>
      <dgm:spPr/>
      <dgm:t>
        <a:bodyPr/>
        <a:lstStyle/>
        <a:p>
          <a:endParaRPr lang="fr-FR" sz="1200">
            <a:latin typeface="Times New Roman" pitchFamily="18" charset="0"/>
            <a:cs typeface="Times New Roman" pitchFamily="18" charset="0"/>
          </a:endParaRPr>
        </a:p>
      </dgm:t>
    </dgm:pt>
    <dgm:pt modelId="{4448AE96-EA95-4D8B-8FB3-36922A73EE2E}">
      <dgm:prSet phldrT="[Texte]" custT="1"/>
      <dgm:spPr>
        <a:blipFill rotWithShape="0">
          <a:blip xmlns:r="http://schemas.openxmlformats.org/officeDocument/2006/relationships" r:embed="rId4"/>
          <a:stretch>
            <a:fillRect/>
          </a:stretch>
        </a:blipFill>
      </dgm:spPr>
      <dgm:t>
        <a:bodyPr/>
        <a:lstStyle/>
        <a:p>
          <a:r>
            <a:rPr lang="fr-FR" sz="1200" dirty="0" smtClean="0">
              <a:latin typeface="Times New Roman" pitchFamily="18" charset="0"/>
              <a:cs typeface="Times New Roman" pitchFamily="18" charset="0"/>
            </a:rPr>
            <a:t>Bouton floral</a:t>
          </a:r>
          <a:endParaRPr lang="fr-FR" sz="1200" dirty="0">
            <a:latin typeface="Times New Roman" pitchFamily="18" charset="0"/>
            <a:cs typeface="Times New Roman" pitchFamily="18" charset="0"/>
          </a:endParaRPr>
        </a:p>
      </dgm:t>
    </dgm:pt>
    <dgm:pt modelId="{79DBBA34-ABE1-4231-B17C-628F6891961C}" type="parTrans" cxnId="{1CA20CC9-B4D6-47BC-BC15-A1A39112260A}">
      <dgm:prSet/>
      <dgm:spPr/>
      <dgm:t>
        <a:bodyPr/>
        <a:lstStyle/>
        <a:p>
          <a:endParaRPr lang="fr-FR" sz="1200">
            <a:latin typeface="Times New Roman" pitchFamily="18" charset="0"/>
            <a:cs typeface="Times New Roman" pitchFamily="18" charset="0"/>
          </a:endParaRPr>
        </a:p>
      </dgm:t>
    </dgm:pt>
    <dgm:pt modelId="{251A5221-6480-4A75-A90F-EB79271B3EDA}" type="sibTrans" cxnId="{1CA20CC9-B4D6-47BC-BC15-A1A39112260A}">
      <dgm:prSet custT="1"/>
      <dgm:spPr/>
      <dgm:t>
        <a:bodyPr/>
        <a:lstStyle/>
        <a:p>
          <a:endParaRPr lang="fr-FR" sz="1200">
            <a:latin typeface="Times New Roman" pitchFamily="18" charset="0"/>
            <a:cs typeface="Times New Roman" pitchFamily="18" charset="0"/>
          </a:endParaRPr>
        </a:p>
      </dgm:t>
    </dgm:pt>
    <dgm:pt modelId="{501D7A01-4A86-4582-93AE-DA3C24EA12F1}">
      <dgm:prSet phldrT="[Texte]" custT="1"/>
      <dgm:spPr>
        <a:blipFill rotWithShape="0">
          <a:blip xmlns:r="http://schemas.openxmlformats.org/officeDocument/2006/relationships" r:embed="rId5"/>
          <a:stretch>
            <a:fillRect/>
          </a:stretch>
        </a:blipFill>
      </dgm:spPr>
      <dgm:t>
        <a:bodyPr/>
        <a:lstStyle/>
        <a:p>
          <a:r>
            <a:rPr lang="fr-FR" sz="1200" dirty="0" smtClean="0">
              <a:latin typeface="Times New Roman" pitchFamily="18" charset="0"/>
              <a:cs typeface="Times New Roman" pitchFamily="18" charset="0"/>
            </a:rPr>
            <a:t>Levée</a:t>
          </a:r>
          <a:endParaRPr lang="fr-FR" sz="1200" dirty="0">
            <a:latin typeface="Times New Roman" pitchFamily="18" charset="0"/>
            <a:cs typeface="Times New Roman" pitchFamily="18" charset="0"/>
          </a:endParaRPr>
        </a:p>
      </dgm:t>
    </dgm:pt>
    <dgm:pt modelId="{B02A6ED8-6BCD-45D3-9B88-041B42167679}" type="parTrans" cxnId="{13CE76CB-1B03-496B-BAD7-50229FCA7B55}">
      <dgm:prSet/>
      <dgm:spPr/>
      <dgm:t>
        <a:bodyPr/>
        <a:lstStyle/>
        <a:p>
          <a:endParaRPr lang="fr-FR" sz="1200">
            <a:latin typeface="Times New Roman" pitchFamily="18" charset="0"/>
            <a:cs typeface="Times New Roman" pitchFamily="18" charset="0"/>
          </a:endParaRPr>
        </a:p>
      </dgm:t>
    </dgm:pt>
    <dgm:pt modelId="{734AA2A6-EFCA-41D9-BE7F-900F21608E3B}" type="sibTrans" cxnId="{13CE76CB-1B03-496B-BAD7-50229FCA7B55}">
      <dgm:prSet custT="1"/>
      <dgm:spPr/>
      <dgm:t>
        <a:bodyPr/>
        <a:lstStyle/>
        <a:p>
          <a:endParaRPr lang="fr-FR" sz="1200">
            <a:latin typeface="Times New Roman" pitchFamily="18" charset="0"/>
            <a:cs typeface="Times New Roman" pitchFamily="18" charset="0"/>
          </a:endParaRPr>
        </a:p>
      </dgm:t>
    </dgm:pt>
    <dgm:pt modelId="{11BC8080-E05A-49FB-8B9B-6B71C318E933}">
      <dgm:prSet phldrT="[Texte]" custT="1"/>
      <dgm:spPr>
        <a:blipFill rotWithShape="0">
          <a:blip xmlns:r="http://schemas.openxmlformats.org/officeDocument/2006/relationships" r:embed="rId6"/>
          <a:stretch>
            <a:fillRect/>
          </a:stretch>
        </a:blipFill>
      </dgm:spPr>
      <dgm:t>
        <a:bodyPr/>
        <a:lstStyle/>
        <a:p>
          <a:r>
            <a:rPr lang="fr-FR" sz="1200" dirty="0" smtClean="0">
              <a:latin typeface="Times New Roman" pitchFamily="18" charset="0"/>
              <a:cs typeface="Times New Roman" pitchFamily="18" charset="0"/>
            </a:rPr>
            <a:t>Formation de capsules</a:t>
          </a:r>
          <a:endParaRPr lang="fr-FR" sz="1200" dirty="0">
            <a:latin typeface="Times New Roman" pitchFamily="18" charset="0"/>
            <a:cs typeface="Times New Roman" pitchFamily="18" charset="0"/>
          </a:endParaRPr>
        </a:p>
      </dgm:t>
    </dgm:pt>
    <dgm:pt modelId="{03B7844C-A009-4BA3-A069-FB87D44BAFC5}" type="parTrans" cxnId="{F4D21BCE-4443-4DF8-B30D-4ADD6CAE550B}">
      <dgm:prSet/>
      <dgm:spPr/>
      <dgm:t>
        <a:bodyPr/>
        <a:lstStyle/>
        <a:p>
          <a:endParaRPr lang="fr-FR" sz="1200">
            <a:latin typeface="Times New Roman" pitchFamily="18" charset="0"/>
            <a:cs typeface="Times New Roman" pitchFamily="18" charset="0"/>
          </a:endParaRPr>
        </a:p>
      </dgm:t>
    </dgm:pt>
    <dgm:pt modelId="{535F421F-4BBD-4071-AC70-A254CA92EBDB}" type="sibTrans" cxnId="{F4D21BCE-4443-4DF8-B30D-4ADD6CAE550B}">
      <dgm:prSet custT="1"/>
      <dgm:spPr/>
      <dgm:t>
        <a:bodyPr/>
        <a:lstStyle/>
        <a:p>
          <a:endParaRPr lang="fr-FR" sz="1200">
            <a:latin typeface="Times New Roman" pitchFamily="18" charset="0"/>
            <a:cs typeface="Times New Roman" pitchFamily="18" charset="0"/>
          </a:endParaRPr>
        </a:p>
      </dgm:t>
    </dgm:pt>
    <dgm:pt modelId="{7F08C6A7-12EB-4DF1-822D-43E8F938D4B4}" type="pres">
      <dgm:prSet presAssocID="{33FA1879-1195-4AEF-AAC7-74B33483BF5C}" presName="cycle" presStyleCnt="0">
        <dgm:presLayoutVars>
          <dgm:dir/>
          <dgm:resizeHandles val="exact"/>
        </dgm:presLayoutVars>
      </dgm:prSet>
      <dgm:spPr/>
      <dgm:t>
        <a:bodyPr/>
        <a:lstStyle/>
        <a:p>
          <a:endParaRPr lang="fr-FR"/>
        </a:p>
      </dgm:t>
    </dgm:pt>
    <dgm:pt modelId="{E054307F-2ABE-41AA-A1ED-7FDDBDDDE66D}" type="pres">
      <dgm:prSet presAssocID="{0CFE59A4-99D3-4F7D-8168-B77F1D501C22}" presName="node" presStyleLbl="node1" presStyleIdx="0" presStyleCnt="6">
        <dgm:presLayoutVars>
          <dgm:bulletEnabled val="1"/>
        </dgm:presLayoutVars>
      </dgm:prSet>
      <dgm:spPr/>
      <dgm:t>
        <a:bodyPr/>
        <a:lstStyle/>
        <a:p>
          <a:endParaRPr lang="fr-FR"/>
        </a:p>
      </dgm:t>
    </dgm:pt>
    <dgm:pt modelId="{B7179760-8E46-4D1F-AB9F-12ACC5584E71}" type="pres">
      <dgm:prSet presAssocID="{8564CE2B-F88C-458F-8D1D-08D5276AD4EC}" presName="sibTrans" presStyleLbl="sibTrans2D1" presStyleIdx="0" presStyleCnt="6"/>
      <dgm:spPr/>
      <dgm:t>
        <a:bodyPr/>
        <a:lstStyle/>
        <a:p>
          <a:endParaRPr lang="fr-FR"/>
        </a:p>
      </dgm:t>
    </dgm:pt>
    <dgm:pt modelId="{54D2133C-FBFD-4222-B51C-EF78DA0B3603}" type="pres">
      <dgm:prSet presAssocID="{8564CE2B-F88C-458F-8D1D-08D5276AD4EC}" presName="connectorText" presStyleLbl="sibTrans2D1" presStyleIdx="0" presStyleCnt="6"/>
      <dgm:spPr/>
      <dgm:t>
        <a:bodyPr/>
        <a:lstStyle/>
        <a:p>
          <a:endParaRPr lang="fr-FR"/>
        </a:p>
      </dgm:t>
    </dgm:pt>
    <dgm:pt modelId="{2972900E-CC4F-48B9-B710-C22CCAE64C84}" type="pres">
      <dgm:prSet presAssocID="{501D7A01-4A86-4582-93AE-DA3C24EA12F1}" presName="node" presStyleLbl="node1" presStyleIdx="1" presStyleCnt="6">
        <dgm:presLayoutVars>
          <dgm:bulletEnabled val="1"/>
        </dgm:presLayoutVars>
      </dgm:prSet>
      <dgm:spPr/>
      <dgm:t>
        <a:bodyPr/>
        <a:lstStyle/>
        <a:p>
          <a:endParaRPr lang="fr-FR"/>
        </a:p>
      </dgm:t>
    </dgm:pt>
    <dgm:pt modelId="{DA1856CA-A878-40DE-8F25-9685905C7E3D}" type="pres">
      <dgm:prSet presAssocID="{734AA2A6-EFCA-41D9-BE7F-900F21608E3B}" presName="sibTrans" presStyleLbl="sibTrans2D1" presStyleIdx="1" presStyleCnt="6"/>
      <dgm:spPr/>
      <dgm:t>
        <a:bodyPr/>
        <a:lstStyle/>
        <a:p>
          <a:endParaRPr lang="fr-FR"/>
        </a:p>
      </dgm:t>
    </dgm:pt>
    <dgm:pt modelId="{48277E6D-EE93-4191-8EBC-9F47404A60D8}" type="pres">
      <dgm:prSet presAssocID="{734AA2A6-EFCA-41D9-BE7F-900F21608E3B}" presName="connectorText" presStyleLbl="sibTrans2D1" presStyleIdx="1" presStyleCnt="6"/>
      <dgm:spPr/>
      <dgm:t>
        <a:bodyPr/>
        <a:lstStyle/>
        <a:p>
          <a:endParaRPr lang="fr-FR"/>
        </a:p>
      </dgm:t>
    </dgm:pt>
    <dgm:pt modelId="{EC96E70F-6E2B-4518-9D96-C99FC8F42CB4}" type="pres">
      <dgm:prSet presAssocID="{4448AE96-EA95-4D8B-8FB3-36922A73EE2E}" presName="node" presStyleLbl="node1" presStyleIdx="2" presStyleCnt="6">
        <dgm:presLayoutVars>
          <dgm:bulletEnabled val="1"/>
        </dgm:presLayoutVars>
      </dgm:prSet>
      <dgm:spPr/>
      <dgm:t>
        <a:bodyPr/>
        <a:lstStyle/>
        <a:p>
          <a:endParaRPr lang="fr-FR"/>
        </a:p>
      </dgm:t>
    </dgm:pt>
    <dgm:pt modelId="{50D8DE78-EFBD-43BD-98DE-25C083DFE67B}" type="pres">
      <dgm:prSet presAssocID="{251A5221-6480-4A75-A90F-EB79271B3EDA}" presName="sibTrans" presStyleLbl="sibTrans2D1" presStyleIdx="2" presStyleCnt="6"/>
      <dgm:spPr/>
      <dgm:t>
        <a:bodyPr/>
        <a:lstStyle/>
        <a:p>
          <a:endParaRPr lang="fr-FR"/>
        </a:p>
      </dgm:t>
    </dgm:pt>
    <dgm:pt modelId="{B88F3494-038F-4468-AC63-436499EC6BE8}" type="pres">
      <dgm:prSet presAssocID="{251A5221-6480-4A75-A90F-EB79271B3EDA}" presName="connectorText" presStyleLbl="sibTrans2D1" presStyleIdx="2" presStyleCnt="6"/>
      <dgm:spPr/>
      <dgm:t>
        <a:bodyPr/>
        <a:lstStyle/>
        <a:p>
          <a:endParaRPr lang="fr-FR"/>
        </a:p>
      </dgm:t>
    </dgm:pt>
    <dgm:pt modelId="{CB51B62B-7DC6-40B7-BB06-8EED79AFE04A}" type="pres">
      <dgm:prSet presAssocID="{F39DD6F9-7E97-4891-B383-9CEB5B08D62B}" presName="node" presStyleLbl="node1" presStyleIdx="3" presStyleCnt="6">
        <dgm:presLayoutVars>
          <dgm:bulletEnabled val="1"/>
        </dgm:presLayoutVars>
      </dgm:prSet>
      <dgm:spPr/>
      <dgm:t>
        <a:bodyPr/>
        <a:lstStyle/>
        <a:p>
          <a:endParaRPr lang="fr-FR"/>
        </a:p>
      </dgm:t>
    </dgm:pt>
    <dgm:pt modelId="{FD669056-E507-4B75-87ED-54DC16F5B7E4}" type="pres">
      <dgm:prSet presAssocID="{04B1BEEF-455B-44B6-AFBC-C38488B3F84D}" presName="sibTrans" presStyleLbl="sibTrans2D1" presStyleIdx="3" presStyleCnt="6"/>
      <dgm:spPr/>
      <dgm:t>
        <a:bodyPr/>
        <a:lstStyle/>
        <a:p>
          <a:endParaRPr lang="fr-FR"/>
        </a:p>
      </dgm:t>
    </dgm:pt>
    <dgm:pt modelId="{26E5BDC9-06C8-4833-88EC-BB122FE1D593}" type="pres">
      <dgm:prSet presAssocID="{04B1BEEF-455B-44B6-AFBC-C38488B3F84D}" presName="connectorText" presStyleLbl="sibTrans2D1" presStyleIdx="3" presStyleCnt="6"/>
      <dgm:spPr/>
      <dgm:t>
        <a:bodyPr/>
        <a:lstStyle/>
        <a:p>
          <a:endParaRPr lang="fr-FR"/>
        </a:p>
      </dgm:t>
    </dgm:pt>
    <dgm:pt modelId="{48EE749D-12F6-4A7E-9C80-B0EAB7F45B18}" type="pres">
      <dgm:prSet presAssocID="{11BC8080-E05A-49FB-8B9B-6B71C318E933}" presName="node" presStyleLbl="node1" presStyleIdx="4" presStyleCnt="6">
        <dgm:presLayoutVars>
          <dgm:bulletEnabled val="1"/>
        </dgm:presLayoutVars>
      </dgm:prSet>
      <dgm:spPr/>
      <dgm:t>
        <a:bodyPr/>
        <a:lstStyle/>
        <a:p>
          <a:endParaRPr lang="fr-FR"/>
        </a:p>
      </dgm:t>
    </dgm:pt>
    <dgm:pt modelId="{EE9078D5-C2CA-40F1-9A75-9D8EE937E80D}" type="pres">
      <dgm:prSet presAssocID="{535F421F-4BBD-4071-AC70-A254CA92EBDB}" presName="sibTrans" presStyleLbl="sibTrans2D1" presStyleIdx="4" presStyleCnt="6"/>
      <dgm:spPr/>
      <dgm:t>
        <a:bodyPr/>
        <a:lstStyle/>
        <a:p>
          <a:endParaRPr lang="fr-FR"/>
        </a:p>
      </dgm:t>
    </dgm:pt>
    <dgm:pt modelId="{301401A3-8249-41DD-B07A-1E36C193DEB9}" type="pres">
      <dgm:prSet presAssocID="{535F421F-4BBD-4071-AC70-A254CA92EBDB}" presName="connectorText" presStyleLbl="sibTrans2D1" presStyleIdx="4" presStyleCnt="6"/>
      <dgm:spPr/>
      <dgm:t>
        <a:bodyPr/>
        <a:lstStyle/>
        <a:p>
          <a:endParaRPr lang="fr-FR"/>
        </a:p>
      </dgm:t>
    </dgm:pt>
    <dgm:pt modelId="{DDA8A060-203C-4AEB-9F19-035E68B7B8C2}" type="pres">
      <dgm:prSet presAssocID="{B51CB860-213E-4C97-BD23-8E98CEC3964F}" presName="node" presStyleLbl="node1" presStyleIdx="5" presStyleCnt="6">
        <dgm:presLayoutVars>
          <dgm:bulletEnabled val="1"/>
        </dgm:presLayoutVars>
      </dgm:prSet>
      <dgm:spPr/>
      <dgm:t>
        <a:bodyPr/>
        <a:lstStyle/>
        <a:p>
          <a:endParaRPr lang="fr-FR"/>
        </a:p>
      </dgm:t>
    </dgm:pt>
    <dgm:pt modelId="{53BD79D6-87CB-493E-9FF2-24DA88F7F48C}" type="pres">
      <dgm:prSet presAssocID="{FFC8250D-54E5-43D3-857B-735A82815914}" presName="sibTrans" presStyleLbl="sibTrans2D1" presStyleIdx="5" presStyleCnt="6"/>
      <dgm:spPr/>
      <dgm:t>
        <a:bodyPr/>
        <a:lstStyle/>
        <a:p>
          <a:endParaRPr lang="fr-FR"/>
        </a:p>
      </dgm:t>
    </dgm:pt>
    <dgm:pt modelId="{3FFA8403-4D91-48C2-A454-4434F1DAFE74}" type="pres">
      <dgm:prSet presAssocID="{FFC8250D-54E5-43D3-857B-735A82815914}" presName="connectorText" presStyleLbl="sibTrans2D1" presStyleIdx="5" presStyleCnt="6"/>
      <dgm:spPr/>
      <dgm:t>
        <a:bodyPr/>
        <a:lstStyle/>
        <a:p>
          <a:endParaRPr lang="fr-FR"/>
        </a:p>
      </dgm:t>
    </dgm:pt>
  </dgm:ptLst>
  <dgm:cxnLst>
    <dgm:cxn modelId="{0027EEEF-0422-40D3-BBBC-1971E9FF0B58}" type="presOf" srcId="{B51CB860-213E-4C97-BD23-8E98CEC3964F}" destId="{DDA8A060-203C-4AEB-9F19-035E68B7B8C2}" srcOrd="0" destOrd="0" presId="urn:microsoft.com/office/officeart/2005/8/layout/cycle2"/>
    <dgm:cxn modelId="{F4D21BCE-4443-4DF8-B30D-4ADD6CAE550B}" srcId="{33FA1879-1195-4AEF-AAC7-74B33483BF5C}" destId="{11BC8080-E05A-49FB-8B9B-6B71C318E933}" srcOrd="4" destOrd="0" parTransId="{03B7844C-A009-4BA3-A069-FB87D44BAFC5}" sibTransId="{535F421F-4BBD-4071-AC70-A254CA92EBDB}"/>
    <dgm:cxn modelId="{A48F859D-BC76-4949-8D21-02925FF03BE3}" srcId="{33FA1879-1195-4AEF-AAC7-74B33483BF5C}" destId="{B51CB860-213E-4C97-BD23-8E98CEC3964F}" srcOrd="5" destOrd="0" parTransId="{D08C6ED3-C87E-4976-AA1F-DD108876FEA6}" sibTransId="{FFC8250D-54E5-43D3-857B-735A82815914}"/>
    <dgm:cxn modelId="{28B8F9CB-96AE-4BB7-8CA4-42292E02C2D1}" type="presOf" srcId="{251A5221-6480-4A75-A90F-EB79271B3EDA}" destId="{B88F3494-038F-4468-AC63-436499EC6BE8}" srcOrd="1" destOrd="0" presId="urn:microsoft.com/office/officeart/2005/8/layout/cycle2"/>
    <dgm:cxn modelId="{F1DC6BB2-FBEF-4F7E-B2AE-876C4D2E828B}" type="presOf" srcId="{535F421F-4BBD-4071-AC70-A254CA92EBDB}" destId="{EE9078D5-C2CA-40F1-9A75-9D8EE937E80D}" srcOrd="0" destOrd="0" presId="urn:microsoft.com/office/officeart/2005/8/layout/cycle2"/>
    <dgm:cxn modelId="{D4B27F5D-1E35-4CF3-8A4E-F7F3DDE8795F}" type="presOf" srcId="{734AA2A6-EFCA-41D9-BE7F-900F21608E3B}" destId="{DA1856CA-A878-40DE-8F25-9685905C7E3D}" srcOrd="0" destOrd="0" presId="urn:microsoft.com/office/officeart/2005/8/layout/cycle2"/>
    <dgm:cxn modelId="{75463EE6-3944-43B3-AD3C-F542CF00BED0}" type="presOf" srcId="{11BC8080-E05A-49FB-8B9B-6B71C318E933}" destId="{48EE749D-12F6-4A7E-9C80-B0EAB7F45B18}" srcOrd="0" destOrd="0" presId="urn:microsoft.com/office/officeart/2005/8/layout/cycle2"/>
    <dgm:cxn modelId="{35EFCFFC-7A74-4B2B-87A1-11D5739FADD0}" type="presOf" srcId="{734AA2A6-EFCA-41D9-BE7F-900F21608E3B}" destId="{48277E6D-EE93-4191-8EBC-9F47404A60D8}" srcOrd="1" destOrd="0" presId="urn:microsoft.com/office/officeart/2005/8/layout/cycle2"/>
    <dgm:cxn modelId="{4A3D06D3-8599-4607-91B2-AD55532A514E}" type="presOf" srcId="{535F421F-4BBD-4071-AC70-A254CA92EBDB}" destId="{301401A3-8249-41DD-B07A-1E36C193DEB9}" srcOrd="1" destOrd="0" presId="urn:microsoft.com/office/officeart/2005/8/layout/cycle2"/>
    <dgm:cxn modelId="{4136D43E-5D56-44FB-A5F5-B345141D3DF6}" type="presOf" srcId="{F39DD6F9-7E97-4891-B383-9CEB5B08D62B}" destId="{CB51B62B-7DC6-40B7-BB06-8EED79AFE04A}" srcOrd="0" destOrd="0" presId="urn:microsoft.com/office/officeart/2005/8/layout/cycle2"/>
    <dgm:cxn modelId="{7D7BA090-7167-4CD2-9148-C4324A9CC377}" type="presOf" srcId="{8564CE2B-F88C-458F-8D1D-08D5276AD4EC}" destId="{54D2133C-FBFD-4222-B51C-EF78DA0B3603}" srcOrd="1" destOrd="0" presId="urn:microsoft.com/office/officeart/2005/8/layout/cycle2"/>
    <dgm:cxn modelId="{8B107190-FFB1-4D71-85F3-AD8348129333}" srcId="{33FA1879-1195-4AEF-AAC7-74B33483BF5C}" destId="{F39DD6F9-7E97-4891-B383-9CEB5B08D62B}" srcOrd="3" destOrd="0" parTransId="{EDC457CF-86E4-4929-BAF7-066148C57D44}" sibTransId="{04B1BEEF-455B-44B6-AFBC-C38488B3F84D}"/>
    <dgm:cxn modelId="{3C212C70-D136-4564-B249-9C6043E43113}" type="presOf" srcId="{04B1BEEF-455B-44B6-AFBC-C38488B3F84D}" destId="{FD669056-E507-4B75-87ED-54DC16F5B7E4}" srcOrd="0" destOrd="0" presId="urn:microsoft.com/office/officeart/2005/8/layout/cycle2"/>
    <dgm:cxn modelId="{06219534-497F-4FBE-B37A-9E7EC8A35481}" srcId="{33FA1879-1195-4AEF-AAC7-74B33483BF5C}" destId="{0CFE59A4-99D3-4F7D-8168-B77F1D501C22}" srcOrd="0" destOrd="0" parTransId="{9223D3D0-C8C0-4E3B-BB6C-E726107FFDF5}" sibTransId="{8564CE2B-F88C-458F-8D1D-08D5276AD4EC}"/>
    <dgm:cxn modelId="{C6DF5918-16FB-49D2-9EB0-AAC1B03ED6AD}" type="presOf" srcId="{FFC8250D-54E5-43D3-857B-735A82815914}" destId="{3FFA8403-4D91-48C2-A454-4434F1DAFE74}" srcOrd="1" destOrd="0" presId="urn:microsoft.com/office/officeart/2005/8/layout/cycle2"/>
    <dgm:cxn modelId="{907FEAB7-75CC-4F14-A9B2-B772D6EE70FF}" type="presOf" srcId="{FFC8250D-54E5-43D3-857B-735A82815914}" destId="{53BD79D6-87CB-493E-9FF2-24DA88F7F48C}" srcOrd="0" destOrd="0" presId="urn:microsoft.com/office/officeart/2005/8/layout/cycle2"/>
    <dgm:cxn modelId="{13CE76CB-1B03-496B-BAD7-50229FCA7B55}" srcId="{33FA1879-1195-4AEF-AAC7-74B33483BF5C}" destId="{501D7A01-4A86-4582-93AE-DA3C24EA12F1}" srcOrd="1" destOrd="0" parTransId="{B02A6ED8-6BCD-45D3-9B88-041B42167679}" sibTransId="{734AA2A6-EFCA-41D9-BE7F-900F21608E3B}"/>
    <dgm:cxn modelId="{96EF1B40-8B85-4AC0-83DD-2C6B52719246}" type="presOf" srcId="{0CFE59A4-99D3-4F7D-8168-B77F1D501C22}" destId="{E054307F-2ABE-41AA-A1ED-7FDDBDDDE66D}" srcOrd="0" destOrd="0" presId="urn:microsoft.com/office/officeart/2005/8/layout/cycle2"/>
    <dgm:cxn modelId="{D9ACB0E3-CFA3-4A66-B119-0774E3F66EF2}" type="presOf" srcId="{4448AE96-EA95-4D8B-8FB3-36922A73EE2E}" destId="{EC96E70F-6E2B-4518-9D96-C99FC8F42CB4}" srcOrd="0" destOrd="0" presId="urn:microsoft.com/office/officeart/2005/8/layout/cycle2"/>
    <dgm:cxn modelId="{48433D0D-713C-4891-BAFB-19DE24103EA9}" type="presOf" srcId="{501D7A01-4A86-4582-93AE-DA3C24EA12F1}" destId="{2972900E-CC4F-48B9-B710-C22CCAE64C84}" srcOrd="0" destOrd="0" presId="urn:microsoft.com/office/officeart/2005/8/layout/cycle2"/>
    <dgm:cxn modelId="{405B9F2B-F294-4B57-A74B-49C6EAD41674}" type="presOf" srcId="{04B1BEEF-455B-44B6-AFBC-C38488B3F84D}" destId="{26E5BDC9-06C8-4833-88EC-BB122FE1D593}" srcOrd="1" destOrd="0" presId="urn:microsoft.com/office/officeart/2005/8/layout/cycle2"/>
    <dgm:cxn modelId="{4FEB1F87-DF8B-4F4F-AC02-18BFF877AE98}" type="presOf" srcId="{8564CE2B-F88C-458F-8D1D-08D5276AD4EC}" destId="{B7179760-8E46-4D1F-AB9F-12ACC5584E71}" srcOrd="0" destOrd="0" presId="urn:microsoft.com/office/officeart/2005/8/layout/cycle2"/>
    <dgm:cxn modelId="{1CA20CC9-B4D6-47BC-BC15-A1A39112260A}" srcId="{33FA1879-1195-4AEF-AAC7-74B33483BF5C}" destId="{4448AE96-EA95-4D8B-8FB3-36922A73EE2E}" srcOrd="2" destOrd="0" parTransId="{79DBBA34-ABE1-4231-B17C-628F6891961C}" sibTransId="{251A5221-6480-4A75-A90F-EB79271B3EDA}"/>
    <dgm:cxn modelId="{E67AE666-71E0-4A05-9912-C36C987458E6}" type="presOf" srcId="{33FA1879-1195-4AEF-AAC7-74B33483BF5C}" destId="{7F08C6A7-12EB-4DF1-822D-43E8F938D4B4}" srcOrd="0" destOrd="0" presId="urn:microsoft.com/office/officeart/2005/8/layout/cycle2"/>
    <dgm:cxn modelId="{21D5A321-5D9D-451F-BBDF-6BDAF826BAE4}" type="presOf" srcId="{251A5221-6480-4A75-A90F-EB79271B3EDA}" destId="{50D8DE78-EFBD-43BD-98DE-25C083DFE67B}" srcOrd="0" destOrd="0" presId="urn:microsoft.com/office/officeart/2005/8/layout/cycle2"/>
    <dgm:cxn modelId="{2D98C31D-25B5-4677-B52D-5996D97B9E00}" type="presParOf" srcId="{7F08C6A7-12EB-4DF1-822D-43E8F938D4B4}" destId="{E054307F-2ABE-41AA-A1ED-7FDDBDDDE66D}" srcOrd="0" destOrd="0" presId="urn:microsoft.com/office/officeart/2005/8/layout/cycle2"/>
    <dgm:cxn modelId="{A675D1D6-C53F-44DC-B03F-7ED3A52406C2}" type="presParOf" srcId="{7F08C6A7-12EB-4DF1-822D-43E8F938D4B4}" destId="{B7179760-8E46-4D1F-AB9F-12ACC5584E71}" srcOrd="1" destOrd="0" presId="urn:microsoft.com/office/officeart/2005/8/layout/cycle2"/>
    <dgm:cxn modelId="{C3245CA5-EE12-440B-8334-DC3EFBAD53C4}" type="presParOf" srcId="{B7179760-8E46-4D1F-AB9F-12ACC5584E71}" destId="{54D2133C-FBFD-4222-B51C-EF78DA0B3603}" srcOrd="0" destOrd="0" presId="urn:microsoft.com/office/officeart/2005/8/layout/cycle2"/>
    <dgm:cxn modelId="{BAF777AD-FB12-4683-B8C2-A20CDCF399D0}" type="presParOf" srcId="{7F08C6A7-12EB-4DF1-822D-43E8F938D4B4}" destId="{2972900E-CC4F-48B9-B710-C22CCAE64C84}" srcOrd="2" destOrd="0" presId="urn:microsoft.com/office/officeart/2005/8/layout/cycle2"/>
    <dgm:cxn modelId="{A5075926-4A3A-40B9-9366-B223E8F9B66C}" type="presParOf" srcId="{7F08C6A7-12EB-4DF1-822D-43E8F938D4B4}" destId="{DA1856CA-A878-40DE-8F25-9685905C7E3D}" srcOrd="3" destOrd="0" presId="urn:microsoft.com/office/officeart/2005/8/layout/cycle2"/>
    <dgm:cxn modelId="{95D420A5-6AB8-4308-86C1-5FA36D029F5B}" type="presParOf" srcId="{DA1856CA-A878-40DE-8F25-9685905C7E3D}" destId="{48277E6D-EE93-4191-8EBC-9F47404A60D8}" srcOrd="0" destOrd="0" presId="urn:microsoft.com/office/officeart/2005/8/layout/cycle2"/>
    <dgm:cxn modelId="{054B6F04-161B-46DF-8D08-C10C906B3119}" type="presParOf" srcId="{7F08C6A7-12EB-4DF1-822D-43E8F938D4B4}" destId="{EC96E70F-6E2B-4518-9D96-C99FC8F42CB4}" srcOrd="4" destOrd="0" presId="urn:microsoft.com/office/officeart/2005/8/layout/cycle2"/>
    <dgm:cxn modelId="{5B0CC755-074A-4CE9-A66F-57608738708B}" type="presParOf" srcId="{7F08C6A7-12EB-4DF1-822D-43E8F938D4B4}" destId="{50D8DE78-EFBD-43BD-98DE-25C083DFE67B}" srcOrd="5" destOrd="0" presId="urn:microsoft.com/office/officeart/2005/8/layout/cycle2"/>
    <dgm:cxn modelId="{C1BD59EF-2F3A-499E-AEAB-C3F71C2832E6}" type="presParOf" srcId="{50D8DE78-EFBD-43BD-98DE-25C083DFE67B}" destId="{B88F3494-038F-4468-AC63-436499EC6BE8}" srcOrd="0" destOrd="0" presId="urn:microsoft.com/office/officeart/2005/8/layout/cycle2"/>
    <dgm:cxn modelId="{ACC18BE3-6B86-400A-A3FE-48A98A0468C6}" type="presParOf" srcId="{7F08C6A7-12EB-4DF1-822D-43E8F938D4B4}" destId="{CB51B62B-7DC6-40B7-BB06-8EED79AFE04A}" srcOrd="6" destOrd="0" presId="urn:microsoft.com/office/officeart/2005/8/layout/cycle2"/>
    <dgm:cxn modelId="{38750030-CB58-4671-8785-0EEE9CE03E09}" type="presParOf" srcId="{7F08C6A7-12EB-4DF1-822D-43E8F938D4B4}" destId="{FD669056-E507-4B75-87ED-54DC16F5B7E4}" srcOrd="7" destOrd="0" presId="urn:microsoft.com/office/officeart/2005/8/layout/cycle2"/>
    <dgm:cxn modelId="{CE0AFEB3-B861-4223-B6B4-4B608D41904E}" type="presParOf" srcId="{FD669056-E507-4B75-87ED-54DC16F5B7E4}" destId="{26E5BDC9-06C8-4833-88EC-BB122FE1D593}" srcOrd="0" destOrd="0" presId="urn:microsoft.com/office/officeart/2005/8/layout/cycle2"/>
    <dgm:cxn modelId="{0C1CB395-26C6-4C5B-A8B8-9754ED6E8586}" type="presParOf" srcId="{7F08C6A7-12EB-4DF1-822D-43E8F938D4B4}" destId="{48EE749D-12F6-4A7E-9C80-B0EAB7F45B18}" srcOrd="8" destOrd="0" presId="urn:microsoft.com/office/officeart/2005/8/layout/cycle2"/>
    <dgm:cxn modelId="{6ADD8700-A374-4CCA-8DFF-780CBDBBD822}" type="presParOf" srcId="{7F08C6A7-12EB-4DF1-822D-43E8F938D4B4}" destId="{EE9078D5-C2CA-40F1-9A75-9D8EE937E80D}" srcOrd="9" destOrd="0" presId="urn:microsoft.com/office/officeart/2005/8/layout/cycle2"/>
    <dgm:cxn modelId="{C550AD1B-58F2-43A7-AA3A-14FB56FC28E3}" type="presParOf" srcId="{EE9078D5-C2CA-40F1-9A75-9D8EE937E80D}" destId="{301401A3-8249-41DD-B07A-1E36C193DEB9}" srcOrd="0" destOrd="0" presId="urn:microsoft.com/office/officeart/2005/8/layout/cycle2"/>
    <dgm:cxn modelId="{1C28F359-3B02-4052-BF31-32CC2F7B2B2C}" type="presParOf" srcId="{7F08C6A7-12EB-4DF1-822D-43E8F938D4B4}" destId="{DDA8A060-203C-4AEB-9F19-035E68B7B8C2}" srcOrd="10" destOrd="0" presId="urn:microsoft.com/office/officeart/2005/8/layout/cycle2"/>
    <dgm:cxn modelId="{FFDB8D8A-8589-4F8B-8323-B047DE88FDF0}" type="presParOf" srcId="{7F08C6A7-12EB-4DF1-822D-43E8F938D4B4}" destId="{53BD79D6-87CB-493E-9FF2-24DA88F7F48C}" srcOrd="11" destOrd="0" presId="urn:microsoft.com/office/officeart/2005/8/layout/cycle2"/>
    <dgm:cxn modelId="{FC444781-E522-40E7-A3FF-BA4F5DD1E7D2}" type="presParOf" srcId="{53BD79D6-87CB-493E-9FF2-24DA88F7F48C}" destId="{3FFA8403-4D91-48C2-A454-4434F1DAFE74}" srcOrd="0" destOrd="0" presId="urn:microsoft.com/office/officeart/2005/8/layout/cycle2"/>
  </dgm:cxnLst>
  <dgm:bg/>
  <dgm:whole/>
</dgm:dataModel>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0.3066</cdr:x>
      <cdr:y>0.32354</cdr:y>
    </cdr:from>
    <cdr:to>
      <cdr:x>0.3166</cdr:x>
      <cdr:y>0.43118</cdr:y>
    </cdr:to>
    <cdr:sp macro="" textlink="">
      <cdr:nvSpPr>
        <cdr:cNvPr id="2" name="ZoneTexte 1"/>
        <cdr:cNvSpPr txBox="1"/>
      </cdr:nvSpPr>
      <cdr:spPr>
        <a:xfrm xmlns:a="http://schemas.openxmlformats.org/drawingml/2006/main">
          <a:off x="1657965" y="758062"/>
          <a:ext cx="54076" cy="2522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0.39358</cdr:x>
      <cdr:y>0.33333</cdr:y>
    </cdr:from>
    <cdr:to>
      <cdr:x>0.43707</cdr:x>
      <cdr:y>0.38511</cdr:y>
    </cdr:to>
    <cdr:sp macro="" textlink="">
      <cdr:nvSpPr>
        <cdr:cNvPr id="3" name="ZoneTexte 2"/>
        <cdr:cNvSpPr txBox="1"/>
      </cdr:nvSpPr>
      <cdr:spPr>
        <a:xfrm xmlns:a="http://schemas.openxmlformats.org/drawingml/2006/main">
          <a:off x="2128296" y="781012"/>
          <a:ext cx="235173" cy="12132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AB</a:t>
          </a:r>
        </a:p>
      </cdr:txBody>
    </cdr:sp>
  </cdr:relSizeAnchor>
  <cdr:relSizeAnchor xmlns:cdr="http://schemas.openxmlformats.org/drawingml/2006/chartDrawing">
    <cdr:from>
      <cdr:x>0.51201</cdr:x>
      <cdr:y>0.35069</cdr:y>
    </cdr:from>
    <cdr:to>
      <cdr:x>0.52451</cdr:x>
      <cdr:y>0.42014</cdr:y>
    </cdr:to>
    <cdr:sp macro="" textlink="">
      <cdr:nvSpPr>
        <cdr:cNvPr id="4" name="ZoneTexte 3"/>
        <cdr:cNvSpPr txBox="1"/>
      </cdr:nvSpPr>
      <cdr:spPr>
        <a:xfrm xmlns:a="http://schemas.openxmlformats.org/drawingml/2006/main">
          <a:off x="2768719" y="821687"/>
          <a:ext cx="67594" cy="1627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AB</a:t>
          </a:r>
        </a:p>
      </cdr:txBody>
    </cdr:sp>
  </cdr:relSizeAnchor>
  <cdr:relSizeAnchor xmlns:cdr="http://schemas.openxmlformats.org/drawingml/2006/chartDrawing">
    <cdr:from>
      <cdr:x>0.61667</cdr:x>
      <cdr:y>0.41319</cdr:y>
    </cdr:from>
    <cdr:to>
      <cdr:x>0.62667</cdr:x>
      <cdr:y>0.48611</cdr:y>
    </cdr:to>
    <cdr:sp macro="" textlink="">
      <cdr:nvSpPr>
        <cdr:cNvPr id="5" name="ZoneTexte 4"/>
        <cdr:cNvSpPr txBox="1"/>
      </cdr:nvSpPr>
      <cdr:spPr>
        <a:xfrm xmlns:a="http://schemas.openxmlformats.org/drawingml/2006/main">
          <a:off x="2819400" y="1133475"/>
          <a:ext cx="45719"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C</a:t>
          </a:r>
        </a:p>
      </cdr:txBody>
    </cdr:sp>
  </cdr:relSizeAnchor>
  <cdr:relSizeAnchor xmlns:cdr="http://schemas.openxmlformats.org/drawingml/2006/chartDrawing">
    <cdr:from>
      <cdr:x>0.72917</cdr:x>
      <cdr:y>0.375</cdr:y>
    </cdr:from>
    <cdr:to>
      <cdr:x>0.74167</cdr:x>
      <cdr:y>0.47222</cdr:y>
    </cdr:to>
    <cdr:sp macro="" textlink="">
      <cdr:nvSpPr>
        <cdr:cNvPr id="6" name="ZoneTexte 5"/>
        <cdr:cNvSpPr txBox="1"/>
      </cdr:nvSpPr>
      <cdr:spPr>
        <a:xfrm xmlns:a="http://schemas.openxmlformats.org/drawingml/2006/main">
          <a:off x="3333750" y="1028700"/>
          <a:ext cx="5715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BC</a:t>
          </a:r>
        </a:p>
      </cdr:txBody>
    </cdr:sp>
  </cdr:relSizeAnchor>
  <cdr:relSizeAnchor xmlns:cdr="http://schemas.openxmlformats.org/drawingml/2006/chartDrawing">
    <cdr:from>
      <cdr:x>0.81818</cdr:x>
      <cdr:y>0.40625</cdr:y>
    </cdr:from>
    <cdr:to>
      <cdr:x>0.84792</cdr:x>
      <cdr:y>0.48696</cdr:y>
    </cdr:to>
    <cdr:sp macro="" textlink="">
      <cdr:nvSpPr>
        <cdr:cNvPr id="7" name="ZoneTexte 6"/>
        <cdr:cNvSpPr txBox="1"/>
      </cdr:nvSpPr>
      <cdr:spPr>
        <a:xfrm xmlns:a="http://schemas.openxmlformats.org/drawingml/2006/main" flipH="1">
          <a:off x="4514851" y="889993"/>
          <a:ext cx="164100" cy="1768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BC</a:t>
          </a:r>
        </a:p>
      </cdr:txBody>
    </cdr:sp>
  </cdr:relSizeAnchor>
</c:userShapes>
</file>

<file path=word/drawings/drawing10.xml><?xml version="1.0" encoding="utf-8"?>
<c:userShapes xmlns:c="http://schemas.openxmlformats.org/drawingml/2006/chart">
  <cdr:relSizeAnchor xmlns:cdr="http://schemas.openxmlformats.org/drawingml/2006/chartDrawing">
    <cdr:from>
      <cdr:x>0.28866</cdr:x>
      <cdr:y>0.32124</cdr:y>
    </cdr:from>
    <cdr:to>
      <cdr:x>0.3291</cdr:x>
      <cdr:y>0.42045</cdr:y>
    </cdr:to>
    <cdr:sp macro="" textlink="">
      <cdr:nvSpPr>
        <cdr:cNvPr id="2" name="ZoneTexte 1"/>
        <cdr:cNvSpPr txBox="1"/>
      </cdr:nvSpPr>
      <cdr:spPr>
        <a:xfrm xmlns:a="http://schemas.openxmlformats.org/drawingml/2006/main">
          <a:off x="1559942" y="728572"/>
          <a:ext cx="218539" cy="22500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0.59956</cdr:x>
      <cdr:y>0.33878</cdr:y>
    </cdr:from>
    <cdr:to>
      <cdr:x>0.63895</cdr:x>
      <cdr:y>0.44898</cdr:y>
    </cdr:to>
    <cdr:sp macro="" textlink="">
      <cdr:nvSpPr>
        <cdr:cNvPr id="3" name="ZoneTexte 2"/>
        <cdr:cNvSpPr txBox="1"/>
      </cdr:nvSpPr>
      <cdr:spPr>
        <a:xfrm xmlns:a="http://schemas.openxmlformats.org/drawingml/2006/main">
          <a:off x="2609851" y="790576"/>
          <a:ext cx="171450"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0.40883</cdr:x>
      <cdr:y>0.32918</cdr:y>
    </cdr:from>
    <cdr:to>
      <cdr:x>0.42476</cdr:x>
      <cdr:y>0.42614</cdr:y>
    </cdr:to>
    <cdr:sp macro="" textlink="">
      <cdr:nvSpPr>
        <cdr:cNvPr id="4" name="ZoneTexte 3"/>
        <cdr:cNvSpPr txBox="1"/>
      </cdr:nvSpPr>
      <cdr:spPr>
        <a:xfrm xmlns:a="http://schemas.openxmlformats.org/drawingml/2006/main">
          <a:off x="2209304" y="746580"/>
          <a:ext cx="86086" cy="21990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0.71384</cdr:x>
      <cdr:y>0.36911</cdr:y>
    </cdr:from>
    <cdr:to>
      <cdr:x>0.74666</cdr:x>
      <cdr:y>0.47523</cdr:y>
    </cdr:to>
    <cdr:sp macro="" textlink="">
      <cdr:nvSpPr>
        <cdr:cNvPr id="5" name="ZoneTexte 4"/>
        <cdr:cNvSpPr txBox="1"/>
      </cdr:nvSpPr>
      <cdr:spPr>
        <a:xfrm xmlns:a="http://schemas.openxmlformats.org/drawingml/2006/main">
          <a:off x="3857638" y="837141"/>
          <a:ext cx="177360" cy="2406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BC</a:t>
          </a:r>
        </a:p>
      </cdr:txBody>
    </cdr:sp>
  </cdr:relSizeAnchor>
  <cdr:relSizeAnchor xmlns:cdr="http://schemas.openxmlformats.org/drawingml/2006/chartDrawing">
    <cdr:from>
      <cdr:x>0.82641</cdr:x>
      <cdr:y>0.39357</cdr:y>
    </cdr:from>
    <cdr:to>
      <cdr:x>0.86621</cdr:x>
      <cdr:y>0.45028</cdr:y>
    </cdr:to>
    <cdr:sp macro="" textlink="">
      <cdr:nvSpPr>
        <cdr:cNvPr id="6" name="ZoneTexte 5"/>
        <cdr:cNvSpPr txBox="1"/>
      </cdr:nvSpPr>
      <cdr:spPr>
        <a:xfrm xmlns:a="http://schemas.openxmlformats.org/drawingml/2006/main">
          <a:off x="4465952" y="892628"/>
          <a:ext cx="215081" cy="1285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CD</a:t>
          </a:r>
        </a:p>
      </cdr:txBody>
    </cdr:sp>
  </cdr:relSizeAnchor>
  <cdr:relSizeAnchor xmlns:cdr="http://schemas.openxmlformats.org/drawingml/2006/chartDrawing">
    <cdr:from>
      <cdr:x>0.3523</cdr:x>
      <cdr:y>0.60816</cdr:y>
    </cdr:from>
    <cdr:to>
      <cdr:x>0.56236</cdr:x>
      <cdr:y>1</cdr:y>
    </cdr:to>
    <cdr:sp macro="" textlink="">
      <cdr:nvSpPr>
        <cdr:cNvPr id="7" name="ZoneTexte 6"/>
        <cdr:cNvSpPr txBox="1"/>
      </cdr:nvSpPr>
      <cdr:spPr>
        <a:xfrm xmlns:a="http://schemas.openxmlformats.org/drawingml/2006/main">
          <a:off x="1533526" y="195262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0.51532</cdr:x>
      <cdr:y>0.41241</cdr:y>
    </cdr:from>
    <cdr:to>
      <cdr:x>0.53283</cdr:x>
      <cdr:y>0.49812</cdr:y>
    </cdr:to>
    <cdr:sp macro="" textlink="">
      <cdr:nvSpPr>
        <cdr:cNvPr id="8" name="ZoneTexte 7"/>
        <cdr:cNvSpPr txBox="1"/>
      </cdr:nvSpPr>
      <cdr:spPr>
        <a:xfrm xmlns:a="http://schemas.openxmlformats.org/drawingml/2006/main">
          <a:off x="2784793" y="935346"/>
          <a:ext cx="94625" cy="1943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D</a:t>
          </a:r>
        </a:p>
      </cdr:txBody>
    </cdr:sp>
  </cdr:relSizeAnchor>
</c:userShapes>
</file>

<file path=word/drawings/drawing11.xml><?xml version="1.0" encoding="utf-8"?>
<c:userShapes xmlns:c="http://schemas.openxmlformats.org/drawingml/2006/chart">
  <cdr:relSizeAnchor xmlns:cdr="http://schemas.openxmlformats.org/drawingml/2006/chartDrawing">
    <cdr:from>
      <cdr:x>0.53729</cdr:x>
      <cdr:y>0.47046</cdr:y>
    </cdr:from>
    <cdr:to>
      <cdr:x>0.54717</cdr:x>
      <cdr:y>0.60649</cdr:y>
    </cdr:to>
    <cdr:sp macro="" textlink="">
      <cdr:nvSpPr>
        <cdr:cNvPr id="2" name="ZoneTexte 1"/>
        <cdr:cNvSpPr txBox="1"/>
      </cdr:nvSpPr>
      <cdr:spPr>
        <a:xfrm xmlns:a="http://schemas.openxmlformats.org/drawingml/2006/main">
          <a:off x="3183207" y="2778275"/>
          <a:ext cx="58534" cy="8033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A</a:t>
          </a:r>
        </a:p>
      </cdr:txBody>
    </cdr:sp>
  </cdr:relSizeAnchor>
  <cdr:relSizeAnchor xmlns:cdr="http://schemas.openxmlformats.org/drawingml/2006/chartDrawing">
    <cdr:from>
      <cdr:x>0.24759</cdr:x>
      <cdr:y>0.52012</cdr:y>
    </cdr:from>
    <cdr:to>
      <cdr:x>0.26902</cdr:x>
      <cdr:y>0.57895</cdr:y>
    </cdr:to>
    <cdr:sp macro="" textlink="">
      <cdr:nvSpPr>
        <cdr:cNvPr id="3" name="ZoneTexte 2"/>
        <cdr:cNvSpPr txBox="1"/>
      </cdr:nvSpPr>
      <cdr:spPr>
        <a:xfrm xmlns:a="http://schemas.openxmlformats.org/drawingml/2006/main">
          <a:off x="1466850" y="3071562"/>
          <a:ext cx="127000" cy="3474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AB</a:t>
          </a:r>
        </a:p>
      </cdr:txBody>
    </cdr:sp>
  </cdr:relSizeAnchor>
  <cdr:relSizeAnchor xmlns:cdr="http://schemas.openxmlformats.org/drawingml/2006/chartDrawing">
    <cdr:from>
      <cdr:x>0.11626</cdr:x>
      <cdr:y>0.51249</cdr:y>
    </cdr:from>
    <cdr:to>
      <cdr:x>0.12613</cdr:x>
      <cdr:y>0.59705</cdr:y>
    </cdr:to>
    <cdr:sp macro="" textlink="">
      <cdr:nvSpPr>
        <cdr:cNvPr id="4" name="ZoneTexte 3"/>
        <cdr:cNvSpPr txBox="1"/>
      </cdr:nvSpPr>
      <cdr:spPr>
        <a:xfrm xmlns:a="http://schemas.openxmlformats.org/drawingml/2006/main" flipH="1">
          <a:off x="688759" y="3026519"/>
          <a:ext cx="58534" cy="49936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ABC</a:t>
          </a:r>
        </a:p>
      </cdr:txBody>
    </cdr:sp>
  </cdr:relSizeAnchor>
  <cdr:relSizeAnchor xmlns:cdr="http://schemas.openxmlformats.org/drawingml/2006/chartDrawing">
    <cdr:from>
      <cdr:x>0.3972</cdr:x>
      <cdr:y>0.57069</cdr:y>
    </cdr:from>
    <cdr:to>
      <cdr:x>0.41736</cdr:x>
      <cdr:y>0.67363</cdr:y>
    </cdr:to>
    <cdr:sp macro="" textlink="">
      <cdr:nvSpPr>
        <cdr:cNvPr id="5" name="ZoneTexte 4"/>
        <cdr:cNvSpPr txBox="1"/>
      </cdr:nvSpPr>
      <cdr:spPr>
        <a:xfrm xmlns:a="http://schemas.openxmlformats.org/drawingml/2006/main" flipH="1">
          <a:off x="2353253" y="3370212"/>
          <a:ext cx="119439" cy="6079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BC</a:t>
          </a:r>
        </a:p>
      </cdr:txBody>
    </cdr:sp>
  </cdr:relSizeAnchor>
  <cdr:relSizeAnchor xmlns:cdr="http://schemas.openxmlformats.org/drawingml/2006/chartDrawing">
    <cdr:from>
      <cdr:x>0.67078</cdr:x>
      <cdr:y>0.52574</cdr:y>
    </cdr:from>
    <cdr:to>
      <cdr:x>0.68066</cdr:x>
      <cdr:y>0.60662</cdr:y>
    </cdr:to>
    <cdr:sp macro="" textlink="">
      <cdr:nvSpPr>
        <cdr:cNvPr id="6" name="ZoneTexte 5"/>
        <cdr:cNvSpPr txBox="1"/>
      </cdr:nvSpPr>
      <cdr:spPr>
        <a:xfrm xmlns:a="http://schemas.openxmlformats.org/drawingml/2006/main">
          <a:off x="3105149" y="1362075"/>
          <a:ext cx="45719"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C</a:t>
          </a:r>
        </a:p>
      </cdr:txBody>
    </cdr:sp>
  </cdr:relSizeAnchor>
  <cdr:relSizeAnchor xmlns:cdr="http://schemas.openxmlformats.org/drawingml/2006/chartDrawing">
    <cdr:from>
      <cdr:x>0.82046</cdr:x>
      <cdr:y>0.61418</cdr:y>
    </cdr:from>
    <cdr:to>
      <cdr:x>0.83033</cdr:x>
      <cdr:y>0.70242</cdr:y>
    </cdr:to>
    <cdr:sp macro="" textlink="">
      <cdr:nvSpPr>
        <cdr:cNvPr id="7" name="ZoneTexte 6"/>
        <cdr:cNvSpPr txBox="1"/>
      </cdr:nvSpPr>
      <cdr:spPr>
        <a:xfrm xmlns:a="http://schemas.openxmlformats.org/drawingml/2006/main">
          <a:off x="4860849" y="3627036"/>
          <a:ext cx="58475" cy="5211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C</a:t>
          </a:r>
        </a:p>
      </cdr:txBody>
    </cdr:sp>
  </cdr:relSizeAnchor>
  <cdr:relSizeAnchor xmlns:cdr="http://schemas.openxmlformats.org/drawingml/2006/chartDrawing">
    <cdr:from>
      <cdr:x>0.60751</cdr:x>
      <cdr:y>0.43667</cdr:y>
    </cdr:from>
    <cdr:to>
      <cdr:x>0.63014</cdr:x>
      <cdr:y>0.53594</cdr:y>
    </cdr:to>
    <cdr:sp macro="" textlink="">
      <cdr:nvSpPr>
        <cdr:cNvPr id="8" name="ZoneTexte 7"/>
        <cdr:cNvSpPr txBox="1"/>
      </cdr:nvSpPr>
      <cdr:spPr>
        <a:xfrm xmlns:a="http://schemas.openxmlformats.org/drawingml/2006/main">
          <a:off x="3599234" y="2578743"/>
          <a:ext cx="134072" cy="5862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A</a:t>
          </a:r>
        </a:p>
      </cdr:txBody>
    </cdr:sp>
  </cdr:relSizeAnchor>
  <cdr:relSizeAnchor xmlns:cdr="http://schemas.openxmlformats.org/drawingml/2006/chartDrawing">
    <cdr:from>
      <cdr:x>0.3355</cdr:x>
      <cdr:y>0.50917</cdr:y>
    </cdr:from>
    <cdr:to>
      <cdr:x>0.34388</cdr:x>
      <cdr:y>0.60108</cdr:y>
    </cdr:to>
    <cdr:sp macro="" textlink="">
      <cdr:nvSpPr>
        <cdr:cNvPr id="9" name="ZoneTexte 8"/>
        <cdr:cNvSpPr txBox="1"/>
      </cdr:nvSpPr>
      <cdr:spPr>
        <a:xfrm xmlns:a="http://schemas.openxmlformats.org/drawingml/2006/main">
          <a:off x="1987682" y="3006875"/>
          <a:ext cx="49658" cy="5427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AB</a:t>
          </a:r>
        </a:p>
      </cdr:txBody>
    </cdr:sp>
  </cdr:relSizeAnchor>
  <cdr:relSizeAnchor xmlns:cdr="http://schemas.openxmlformats.org/drawingml/2006/chartDrawing">
    <cdr:from>
      <cdr:x>0.17319</cdr:x>
      <cdr:y>0.49806</cdr:y>
    </cdr:from>
    <cdr:to>
      <cdr:x>0.20776</cdr:x>
      <cdr:y>0.66351</cdr:y>
    </cdr:to>
    <cdr:sp macro="" textlink="">
      <cdr:nvSpPr>
        <cdr:cNvPr id="10" name="ZoneTexte 9"/>
        <cdr:cNvSpPr txBox="1"/>
      </cdr:nvSpPr>
      <cdr:spPr>
        <a:xfrm xmlns:a="http://schemas.openxmlformats.org/drawingml/2006/main">
          <a:off x="1026053" y="2941286"/>
          <a:ext cx="204811" cy="9770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ABC</a:t>
          </a:r>
        </a:p>
      </cdr:txBody>
    </cdr:sp>
  </cdr:relSizeAnchor>
  <cdr:relSizeAnchor xmlns:cdr="http://schemas.openxmlformats.org/drawingml/2006/chartDrawing">
    <cdr:from>
      <cdr:x>0.46757</cdr:x>
      <cdr:y>0.54648</cdr:y>
    </cdr:from>
    <cdr:to>
      <cdr:x>0.47745</cdr:x>
      <cdr:y>0.62369</cdr:y>
    </cdr:to>
    <cdr:sp macro="" textlink="">
      <cdr:nvSpPr>
        <cdr:cNvPr id="11" name="ZoneTexte 10"/>
        <cdr:cNvSpPr txBox="1"/>
      </cdr:nvSpPr>
      <cdr:spPr>
        <a:xfrm xmlns:a="http://schemas.openxmlformats.org/drawingml/2006/main" flipH="1">
          <a:off x="2770163" y="3227237"/>
          <a:ext cx="58535" cy="4559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BC</a:t>
          </a:r>
        </a:p>
      </cdr:txBody>
    </cdr:sp>
  </cdr:relSizeAnchor>
  <cdr:relSizeAnchor xmlns:cdr="http://schemas.openxmlformats.org/drawingml/2006/chartDrawing">
    <cdr:from>
      <cdr:x>0.89509</cdr:x>
      <cdr:y>0.60948</cdr:y>
    </cdr:from>
    <cdr:to>
      <cdr:x>0.91361</cdr:x>
      <cdr:y>0.67933</cdr:y>
    </cdr:to>
    <cdr:sp macro="" textlink="">
      <cdr:nvSpPr>
        <cdr:cNvPr id="12" name="ZoneTexte 11"/>
        <cdr:cNvSpPr txBox="1"/>
      </cdr:nvSpPr>
      <cdr:spPr>
        <a:xfrm xmlns:a="http://schemas.openxmlformats.org/drawingml/2006/main" flipH="1">
          <a:off x="5302994" y="3599264"/>
          <a:ext cx="109722" cy="4124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BC</a:t>
          </a:r>
        </a:p>
      </cdr:txBody>
    </cdr:sp>
  </cdr:relSizeAnchor>
  <cdr:relSizeAnchor xmlns:cdr="http://schemas.openxmlformats.org/drawingml/2006/chartDrawing">
    <cdr:from>
      <cdr:x>0.75265</cdr:x>
      <cdr:y>0.61794</cdr:y>
    </cdr:from>
    <cdr:to>
      <cdr:x>0.76253</cdr:x>
      <cdr:y>0.70985</cdr:y>
    </cdr:to>
    <cdr:sp macro="" textlink="">
      <cdr:nvSpPr>
        <cdr:cNvPr id="13" name="ZoneTexte 12"/>
        <cdr:cNvSpPr txBox="1"/>
      </cdr:nvSpPr>
      <cdr:spPr>
        <a:xfrm xmlns:a="http://schemas.openxmlformats.org/drawingml/2006/main">
          <a:off x="4459111" y="3649220"/>
          <a:ext cx="58535" cy="54277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C</a:t>
          </a:r>
        </a:p>
      </cdr:txBody>
    </cdr:sp>
  </cdr:relSizeAnchor>
  <cdr:relSizeAnchor xmlns:cdr="http://schemas.openxmlformats.org/drawingml/2006/chartDrawing">
    <cdr:from>
      <cdr:x>0.55841</cdr:x>
      <cdr:y>0.74458</cdr:y>
    </cdr:from>
    <cdr:to>
      <cdr:x>0.59271</cdr:x>
      <cdr:y>0.8129</cdr:y>
    </cdr:to>
    <cdr:sp macro="" textlink="">
      <cdr:nvSpPr>
        <cdr:cNvPr id="14" name="ZoneTexte 13"/>
        <cdr:cNvSpPr txBox="1"/>
      </cdr:nvSpPr>
      <cdr:spPr>
        <a:xfrm xmlns:a="http://schemas.openxmlformats.org/drawingml/2006/main">
          <a:off x="3308350" y="4397089"/>
          <a:ext cx="203200" cy="40351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0.14086</cdr:x>
      <cdr:y>0.78938</cdr:y>
    </cdr:from>
    <cdr:to>
      <cdr:x>0.17471</cdr:x>
      <cdr:y>0.84678</cdr:y>
    </cdr:to>
    <cdr:sp macro="" textlink="">
      <cdr:nvSpPr>
        <cdr:cNvPr id="15" name="ZoneTexte 14"/>
        <cdr:cNvSpPr txBox="1"/>
      </cdr:nvSpPr>
      <cdr:spPr>
        <a:xfrm xmlns:a="http://schemas.openxmlformats.org/drawingml/2006/main">
          <a:off x="834541" y="4661691"/>
          <a:ext cx="200509" cy="338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0.29026</cdr:x>
      <cdr:y>0.77038</cdr:y>
    </cdr:from>
    <cdr:to>
      <cdr:x>0.29776</cdr:x>
      <cdr:y>0.81268</cdr:y>
    </cdr:to>
    <cdr:sp macro="" textlink="">
      <cdr:nvSpPr>
        <cdr:cNvPr id="16" name="ZoneTexte 15"/>
        <cdr:cNvSpPr txBox="1"/>
      </cdr:nvSpPr>
      <cdr:spPr>
        <a:xfrm xmlns:a="http://schemas.openxmlformats.org/drawingml/2006/main">
          <a:off x="1719675" y="4549489"/>
          <a:ext cx="44435" cy="24980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0.42553</cdr:x>
      <cdr:y>0.79194</cdr:y>
    </cdr:from>
    <cdr:to>
      <cdr:x>0.44173</cdr:x>
      <cdr:y>0.83424</cdr:y>
    </cdr:to>
    <cdr:sp macro="" textlink="">
      <cdr:nvSpPr>
        <cdr:cNvPr id="17" name="ZoneTexte 16"/>
        <cdr:cNvSpPr txBox="1"/>
      </cdr:nvSpPr>
      <cdr:spPr>
        <a:xfrm xmlns:a="http://schemas.openxmlformats.org/drawingml/2006/main">
          <a:off x="2521097" y="4676821"/>
          <a:ext cx="95977" cy="24980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0.71926</cdr:x>
      <cdr:y>0.8092</cdr:y>
    </cdr:from>
    <cdr:to>
      <cdr:x>0.73245</cdr:x>
      <cdr:y>0.85149</cdr:y>
    </cdr:to>
    <cdr:sp macro="" textlink="">
      <cdr:nvSpPr>
        <cdr:cNvPr id="18" name="ZoneTexte 17"/>
        <cdr:cNvSpPr txBox="1"/>
      </cdr:nvSpPr>
      <cdr:spPr>
        <a:xfrm xmlns:a="http://schemas.openxmlformats.org/drawingml/2006/main">
          <a:off x="4261312" y="4778753"/>
          <a:ext cx="78145" cy="2497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0.85499</cdr:x>
      <cdr:y>0.81089</cdr:y>
    </cdr:from>
    <cdr:to>
      <cdr:x>0.86849</cdr:x>
      <cdr:y>0.85923</cdr:y>
    </cdr:to>
    <cdr:sp macro="" textlink="">
      <cdr:nvSpPr>
        <cdr:cNvPr id="19" name="ZoneTexte 18"/>
        <cdr:cNvSpPr txBox="1"/>
      </cdr:nvSpPr>
      <cdr:spPr>
        <a:xfrm xmlns:a="http://schemas.openxmlformats.org/drawingml/2006/main" flipH="1">
          <a:off x="5065452" y="4788691"/>
          <a:ext cx="79982" cy="28547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12.xml><?xml version="1.0" encoding="utf-8"?>
<c:userShapes xmlns:c="http://schemas.openxmlformats.org/drawingml/2006/chart">
  <cdr:relSizeAnchor xmlns:cdr="http://schemas.openxmlformats.org/drawingml/2006/chartDrawing">
    <cdr:from>
      <cdr:x>0.09916</cdr:x>
      <cdr:y>0.56951</cdr:y>
    </cdr:from>
    <cdr:to>
      <cdr:x>0.12784</cdr:x>
      <cdr:y>0.65236</cdr:y>
    </cdr:to>
    <cdr:sp macro="" textlink="">
      <cdr:nvSpPr>
        <cdr:cNvPr id="2" name="ZoneTexte 1"/>
        <cdr:cNvSpPr txBox="1"/>
      </cdr:nvSpPr>
      <cdr:spPr>
        <a:xfrm xmlns:a="http://schemas.openxmlformats.org/drawingml/2006/main">
          <a:off x="527039" y="1685243"/>
          <a:ext cx="152432" cy="2451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0.23172</cdr:x>
      <cdr:y>0.56065</cdr:y>
    </cdr:from>
    <cdr:to>
      <cdr:x>0.26643</cdr:x>
      <cdr:y>0.64378</cdr:y>
    </cdr:to>
    <cdr:sp macro="" textlink="">
      <cdr:nvSpPr>
        <cdr:cNvPr id="3" name="ZoneTexte 2"/>
        <cdr:cNvSpPr txBox="1"/>
      </cdr:nvSpPr>
      <cdr:spPr>
        <a:xfrm xmlns:a="http://schemas.openxmlformats.org/drawingml/2006/main" flipH="1">
          <a:off x="1231580" y="1659012"/>
          <a:ext cx="184482" cy="2459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0.63923</cdr:x>
      <cdr:y>0.59228</cdr:y>
    </cdr:from>
    <cdr:to>
      <cdr:x>0.66308</cdr:x>
      <cdr:y>0.66524</cdr:y>
    </cdr:to>
    <cdr:sp macro="" textlink="">
      <cdr:nvSpPr>
        <cdr:cNvPr id="4" name="ZoneTexte 3"/>
        <cdr:cNvSpPr txBox="1"/>
      </cdr:nvSpPr>
      <cdr:spPr>
        <a:xfrm xmlns:a="http://schemas.openxmlformats.org/drawingml/2006/main">
          <a:off x="3397481" y="1752608"/>
          <a:ext cx="126762" cy="2158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0.37573</cdr:x>
      <cdr:y>0.57609</cdr:y>
    </cdr:from>
    <cdr:to>
      <cdr:x>0.38433</cdr:x>
      <cdr:y>0.66524</cdr:y>
    </cdr:to>
    <cdr:sp macro="" textlink="">
      <cdr:nvSpPr>
        <cdr:cNvPr id="5" name="ZoneTexte 4"/>
        <cdr:cNvSpPr txBox="1"/>
      </cdr:nvSpPr>
      <cdr:spPr>
        <a:xfrm xmlns:a="http://schemas.openxmlformats.org/drawingml/2006/main" flipH="1">
          <a:off x="1996976" y="1704708"/>
          <a:ext cx="45719" cy="26379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0.76822</cdr:x>
      <cdr:y>0.58798</cdr:y>
    </cdr:from>
    <cdr:to>
      <cdr:x>0.81123</cdr:x>
      <cdr:y>0.67382</cdr:y>
    </cdr:to>
    <cdr:sp macro="" textlink="">
      <cdr:nvSpPr>
        <cdr:cNvPr id="6" name="ZoneTexte 5"/>
        <cdr:cNvSpPr txBox="1"/>
      </cdr:nvSpPr>
      <cdr:spPr>
        <a:xfrm xmlns:a="http://schemas.openxmlformats.org/drawingml/2006/main" flipH="1">
          <a:off x="4083049" y="1739897"/>
          <a:ext cx="228600" cy="25400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0.50933</cdr:x>
      <cdr:y>0.61373</cdr:y>
    </cdr:from>
    <cdr:to>
      <cdr:x>0.53166</cdr:x>
      <cdr:y>0.69099</cdr:y>
    </cdr:to>
    <cdr:sp macro="" textlink="">
      <cdr:nvSpPr>
        <cdr:cNvPr id="7" name="ZoneTexte 6"/>
        <cdr:cNvSpPr txBox="1"/>
      </cdr:nvSpPr>
      <cdr:spPr>
        <a:xfrm xmlns:a="http://schemas.openxmlformats.org/drawingml/2006/main">
          <a:off x="2707063" y="1816100"/>
          <a:ext cx="118687"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13.xml><?xml version="1.0" encoding="utf-8"?>
<c:userShapes xmlns:c="http://schemas.openxmlformats.org/drawingml/2006/chart">
  <cdr:relSizeAnchor xmlns:cdr="http://schemas.openxmlformats.org/drawingml/2006/chartDrawing">
    <cdr:from>
      <cdr:x>0.27164</cdr:x>
      <cdr:y>0.41329</cdr:y>
    </cdr:from>
    <cdr:to>
      <cdr:x>0.32789</cdr:x>
      <cdr:y>0.50704</cdr:y>
    </cdr:to>
    <cdr:sp macro="" textlink="">
      <cdr:nvSpPr>
        <cdr:cNvPr id="8" name="ZoneTexte 7"/>
        <cdr:cNvSpPr txBox="1"/>
      </cdr:nvSpPr>
      <cdr:spPr>
        <a:xfrm xmlns:a="http://schemas.openxmlformats.org/drawingml/2006/main">
          <a:off x="1466876" y="965702"/>
          <a:ext cx="303750" cy="21905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0.13758</cdr:x>
      <cdr:y>0.43226</cdr:y>
    </cdr:from>
    <cdr:to>
      <cdr:x>0.18596</cdr:x>
      <cdr:y>0.54216</cdr:y>
    </cdr:to>
    <cdr:sp macro="" textlink="">
      <cdr:nvSpPr>
        <cdr:cNvPr id="10" name="ZoneTexte 9"/>
        <cdr:cNvSpPr txBox="1"/>
      </cdr:nvSpPr>
      <cdr:spPr>
        <a:xfrm xmlns:a="http://schemas.openxmlformats.org/drawingml/2006/main">
          <a:off x="742950" y="1010029"/>
          <a:ext cx="261252" cy="2567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strike="sngStrike">
              <a:latin typeface="Times New Roman" pitchFamily="18" charset="0"/>
              <a:cs typeface="Times New Roman" pitchFamily="18" charset="0"/>
            </a:rPr>
            <a:t>B</a:t>
          </a:r>
        </a:p>
      </cdr:txBody>
    </cdr:sp>
  </cdr:relSizeAnchor>
  <cdr:relSizeAnchor xmlns:cdr="http://schemas.openxmlformats.org/drawingml/2006/chartDrawing">
    <cdr:from>
      <cdr:x>0.40833</cdr:x>
      <cdr:y>0.42014</cdr:y>
    </cdr:from>
    <cdr:to>
      <cdr:x>0.60833</cdr:x>
      <cdr:y>0.75347</cdr:y>
    </cdr:to>
    <cdr:sp macro="" textlink="">
      <cdr:nvSpPr>
        <cdr:cNvPr id="11" name="ZoneTexte 10"/>
        <cdr:cNvSpPr txBox="1"/>
      </cdr:nvSpPr>
      <cdr:spPr>
        <a:xfrm xmlns:a="http://schemas.openxmlformats.org/drawingml/2006/main">
          <a:off x="1866900" y="11525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0.39583</cdr:x>
      <cdr:y>0.36458</cdr:y>
    </cdr:from>
    <cdr:to>
      <cdr:x>0.42069</cdr:x>
      <cdr:y>0.43256</cdr:y>
    </cdr:to>
    <cdr:sp macro="" textlink="">
      <cdr:nvSpPr>
        <cdr:cNvPr id="12" name="ZoneTexte 11"/>
        <cdr:cNvSpPr txBox="1"/>
      </cdr:nvSpPr>
      <cdr:spPr>
        <a:xfrm xmlns:a="http://schemas.openxmlformats.org/drawingml/2006/main">
          <a:off x="1640072" y="746615"/>
          <a:ext cx="103003" cy="13921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0.70208</cdr:x>
      <cdr:y>0.71528</cdr:y>
    </cdr:from>
    <cdr:to>
      <cdr:x>0.75208</cdr:x>
      <cdr:y>0.79861</cdr:y>
    </cdr:to>
    <cdr:sp macro="" textlink="">
      <cdr:nvSpPr>
        <cdr:cNvPr id="13" name="ZoneTexte 12"/>
        <cdr:cNvSpPr txBox="1"/>
      </cdr:nvSpPr>
      <cdr:spPr>
        <a:xfrm xmlns:a="http://schemas.openxmlformats.org/drawingml/2006/main">
          <a:off x="3209925" y="1962150"/>
          <a:ext cx="228600" cy="2286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0.51146</cdr:x>
      <cdr:y>0.45969</cdr:y>
    </cdr:from>
    <cdr:to>
      <cdr:x>0.54626</cdr:x>
      <cdr:y>0.55397</cdr:y>
    </cdr:to>
    <cdr:sp macro="" textlink="">
      <cdr:nvSpPr>
        <cdr:cNvPr id="14" name="ZoneTexte 13"/>
        <cdr:cNvSpPr txBox="1"/>
      </cdr:nvSpPr>
      <cdr:spPr>
        <a:xfrm xmlns:a="http://schemas.openxmlformats.org/drawingml/2006/main">
          <a:off x="2761872" y="1074115"/>
          <a:ext cx="187910" cy="2202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0.8</cdr:x>
      <cdr:y>0.44792</cdr:y>
    </cdr:from>
    <cdr:to>
      <cdr:x>1</cdr:x>
      <cdr:y>0.78125</cdr:y>
    </cdr:to>
    <cdr:sp macro="" textlink="">
      <cdr:nvSpPr>
        <cdr:cNvPr id="15" name="ZoneTexte 14"/>
        <cdr:cNvSpPr txBox="1"/>
      </cdr:nvSpPr>
      <cdr:spPr>
        <a:xfrm xmlns:a="http://schemas.openxmlformats.org/drawingml/2006/main">
          <a:off x="3800475" y="12287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0.32511</cdr:x>
      <cdr:y>0.49178</cdr:y>
    </cdr:from>
    <cdr:to>
      <cdr:x>0.34753</cdr:x>
      <cdr:y>0.52915</cdr:y>
    </cdr:to>
    <cdr:sp macro="" textlink="">
      <cdr:nvSpPr>
        <cdr:cNvPr id="18" name="ZoneTexte 17"/>
        <cdr:cNvSpPr txBox="1"/>
      </cdr:nvSpPr>
      <cdr:spPr>
        <a:xfrm xmlns:a="http://schemas.openxmlformats.org/drawingml/2006/main">
          <a:off x="1381125" y="1253490"/>
          <a:ext cx="95250" cy="952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0.18834</cdr:x>
      <cdr:y>0.54623</cdr:y>
    </cdr:from>
    <cdr:to>
      <cdr:x>0.23178</cdr:x>
      <cdr:y>0.61495</cdr:y>
    </cdr:to>
    <cdr:sp macro="" textlink="">
      <cdr:nvSpPr>
        <cdr:cNvPr id="19" name="ZoneTexte 18"/>
        <cdr:cNvSpPr txBox="1"/>
      </cdr:nvSpPr>
      <cdr:spPr>
        <a:xfrm xmlns:a="http://schemas.openxmlformats.org/drawingml/2006/main">
          <a:off x="1017036" y="1276334"/>
          <a:ext cx="234574" cy="1605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C</a:t>
          </a:r>
        </a:p>
      </cdr:txBody>
    </cdr:sp>
  </cdr:relSizeAnchor>
  <cdr:relSizeAnchor xmlns:cdr="http://schemas.openxmlformats.org/drawingml/2006/chartDrawing">
    <cdr:from>
      <cdr:x>0.42601</cdr:x>
      <cdr:y>0.50673</cdr:y>
    </cdr:from>
    <cdr:to>
      <cdr:x>0.49776</cdr:x>
      <cdr:y>0.62631</cdr:y>
    </cdr:to>
    <cdr:sp macro="" textlink="">
      <cdr:nvSpPr>
        <cdr:cNvPr id="20" name="ZoneTexte 19"/>
        <cdr:cNvSpPr txBox="1"/>
      </cdr:nvSpPr>
      <cdr:spPr>
        <a:xfrm xmlns:a="http://schemas.openxmlformats.org/drawingml/2006/main">
          <a:off x="1809750" y="1291589"/>
          <a:ext cx="3048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C</a:t>
          </a:r>
        </a:p>
      </cdr:txBody>
    </cdr:sp>
  </cdr:relSizeAnchor>
  <cdr:relSizeAnchor xmlns:cdr="http://schemas.openxmlformats.org/drawingml/2006/chartDrawing">
    <cdr:from>
      <cdr:x>0.5579</cdr:x>
      <cdr:y>0.5235</cdr:y>
    </cdr:from>
    <cdr:to>
      <cdr:x>0.59602</cdr:x>
      <cdr:y>0.58703</cdr:y>
    </cdr:to>
    <cdr:sp macro="" textlink="">
      <cdr:nvSpPr>
        <cdr:cNvPr id="21" name="ZoneTexte 20"/>
        <cdr:cNvSpPr txBox="1"/>
      </cdr:nvSpPr>
      <cdr:spPr>
        <a:xfrm xmlns:a="http://schemas.openxmlformats.org/drawingml/2006/main">
          <a:off x="2311581" y="1072068"/>
          <a:ext cx="157945" cy="1301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0.81839</cdr:x>
      <cdr:y>0.51163</cdr:y>
    </cdr:from>
    <cdr:to>
      <cdr:x>0.83908</cdr:x>
      <cdr:y>0.57209</cdr:y>
    </cdr:to>
    <cdr:sp macro="" textlink="">
      <cdr:nvSpPr>
        <cdr:cNvPr id="22" name="ZoneTexte 21"/>
        <cdr:cNvSpPr txBox="1"/>
      </cdr:nvSpPr>
      <cdr:spPr>
        <a:xfrm xmlns:a="http://schemas.openxmlformats.org/drawingml/2006/main">
          <a:off x="3390901" y="1047750"/>
          <a:ext cx="85724" cy="1238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0.73094</cdr:x>
      <cdr:y>0.62631</cdr:y>
    </cdr:from>
    <cdr:to>
      <cdr:x>0.94619</cdr:x>
      <cdr:y>0.98505</cdr:y>
    </cdr:to>
    <cdr:sp macro="" textlink="">
      <cdr:nvSpPr>
        <cdr:cNvPr id="23" name="ZoneTexte 22"/>
        <cdr:cNvSpPr txBox="1"/>
      </cdr:nvSpPr>
      <cdr:spPr>
        <a:xfrm xmlns:a="http://schemas.openxmlformats.org/drawingml/2006/main">
          <a:off x="3105150" y="159639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0.69701</cdr:x>
      <cdr:y>0.55904</cdr:y>
    </cdr:from>
    <cdr:to>
      <cdr:x>0.70805</cdr:x>
      <cdr:y>0.6</cdr:y>
    </cdr:to>
    <cdr:sp macro="" textlink="">
      <cdr:nvSpPr>
        <cdr:cNvPr id="24" name="ZoneTexte 23"/>
        <cdr:cNvSpPr txBox="1"/>
      </cdr:nvSpPr>
      <cdr:spPr>
        <a:xfrm xmlns:a="http://schemas.openxmlformats.org/drawingml/2006/main">
          <a:off x="2887981" y="1144845"/>
          <a:ext cx="45719" cy="838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C</a:t>
          </a:r>
        </a:p>
      </cdr:txBody>
    </cdr:sp>
  </cdr:relSizeAnchor>
  <cdr:relSizeAnchor xmlns:cdr="http://schemas.openxmlformats.org/drawingml/2006/chartDrawing">
    <cdr:from>
      <cdr:x>0.64414</cdr:x>
      <cdr:y>0.50233</cdr:y>
    </cdr:from>
    <cdr:to>
      <cdr:x>0.65517</cdr:x>
      <cdr:y>0.55814</cdr:y>
    </cdr:to>
    <cdr:sp macro="" textlink="">
      <cdr:nvSpPr>
        <cdr:cNvPr id="25" name="ZoneTexte 24"/>
        <cdr:cNvSpPr txBox="1"/>
      </cdr:nvSpPr>
      <cdr:spPr>
        <a:xfrm xmlns:a="http://schemas.openxmlformats.org/drawingml/2006/main" flipH="1">
          <a:off x="2668906" y="1028700"/>
          <a:ext cx="45719" cy="1143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0.76782</cdr:x>
      <cdr:y>0.46047</cdr:y>
    </cdr:from>
    <cdr:to>
      <cdr:x>0.7931</cdr:x>
      <cdr:y>0.54419</cdr:y>
    </cdr:to>
    <cdr:sp macro="" textlink="">
      <cdr:nvSpPr>
        <cdr:cNvPr id="26" name="ZoneTexte 25"/>
        <cdr:cNvSpPr txBox="1"/>
      </cdr:nvSpPr>
      <cdr:spPr>
        <a:xfrm xmlns:a="http://schemas.openxmlformats.org/drawingml/2006/main">
          <a:off x="3181351" y="942976"/>
          <a:ext cx="104774" cy="171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userShapes>
</file>

<file path=word/drawings/drawing14.xml><?xml version="1.0" encoding="utf-8"?>
<c:userShapes xmlns:c="http://schemas.openxmlformats.org/drawingml/2006/chart">
  <cdr:relSizeAnchor xmlns:cdr="http://schemas.openxmlformats.org/drawingml/2006/chartDrawing">
    <cdr:from>
      <cdr:x>0.83054</cdr:x>
      <cdr:y>0.34028</cdr:y>
    </cdr:from>
    <cdr:to>
      <cdr:x>0.84721</cdr:x>
      <cdr:y>0.40625</cdr:y>
    </cdr:to>
    <cdr:sp macro="" textlink="">
      <cdr:nvSpPr>
        <cdr:cNvPr id="2" name="ZoneTexte 1"/>
        <cdr:cNvSpPr txBox="1"/>
      </cdr:nvSpPr>
      <cdr:spPr>
        <a:xfrm xmlns:a="http://schemas.openxmlformats.org/drawingml/2006/main">
          <a:off x="4546124" y="816774"/>
          <a:ext cx="91246" cy="1583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0.39105</cdr:x>
      <cdr:y>0.36557</cdr:y>
    </cdr:from>
    <cdr:to>
      <cdr:x>0.43152</cdr:x>
      <cdr:y>0.42274</cdr:y>
    </cdr:to>
    <cdr:sp macro="" textlink="">
      <cdr:nvSpPr>
        <cdr:cNvPr id="3" name="ZoneTexte 2"/>
        <cdr:cNvSpPr txBox="1"/>
      </cdr:nvSpPr>
      <cdr:spPr>
        <a:xfrm xmlns:a="http://schemas.openxmlformats.org/drawingml/2006/main">
          <a:off x="2140491" y="877482"/>
          <a:ext cx="221521" cy="1372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0.30092</cdr:x>
      <cdr:y>0.44586</cdr:y>
    </cdr:from>
    <cdr:to>
      <cdr:x>0.30939</cdr:x>
      <cdr:y>0.58342</cdr:y>
    </cdr:to>
    <cdr:sp macro="" textlink="">
      <cdr:nvSpPr>
        <cdr:cNvPr id="4" name="ZoneTexte 3"/>
        <cdr:cNvSpPr txBox="1"/>
      </cdr:nvSpPr>
      <cdr:spPr>
        <a:xfrm xmlns:a="http://schemas.openxmlformats.org/drawingml/2006/main" flipH="1">
          <a:off x="1624261" y="1044173"/>
          <a:ext cx="45719" cy="32215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BC</a:t>
          </a:r>
        </a:p>
      </cdr:txBody>
    </cdr:sp>
  </cdr:relSizeAnchor>
  <cdr:relSizeAnchor xmlns:cdr="http://schemas.openxmlformats.org/drawingml/2006/chartDrawing">
    <cdr:from>
      <cdr:x>0.60833</cdr:x>
      <cdr:y>0.41799</cdr:y>
    </cdr:from>
    <cdr:to>
      <cdr:x>0.64617</cdr:x>
      <cdr:y>0.60069</cdr:y>
    </cdr:to>
    <cdr:sp macro="" textlink="">
      <cdr:nvSpPr>
        <cdr:cNvPr id="5" name="ZoneTexte 4"/>
        <cdr:cNvSpPr txBox="1"/>
      </cdr:nvSpPr>
      <cdr:spPr>
        <a:xfrm xmlns:a="http://schemas.openxmlformats.org/drawingml/2006/main">
          <a:off x="3329816" y="1003300"/>
          <a:ext cx="207134" cy="4385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BC</a:t>
          </a:r>
        </a:p>
      </cdr:txBody>
    </cdr:sp>
  </cdr:relSizeAnchor>
  <cdr:relSizeAnchor xmlns:cdr="http://schemas.openxmlformats.org/drawingml/2006/chartDrawing">
    <cdr:from>
      <cdr:x>0.73125</cdr:x>
      <cdr:y>0.45503</cdr:y>
    </cdr:from>
    <cdr:to>
      <cdr:x>0.7396</cdr:x>
      <cdr:y>0.57292</cdr:y>
    </cdr:to>
    <cdr:sp macro="" textlink="">
      <cdr:nvSpPr>
        <cdr:cNvPr id="6" name="ZoneTexte 5"/>
        <cdr:cNvSpPr txBox="1"/>
      </cdr:nvSpPr>
      <cdr:spPr>
        <a:xfrm xmlns:a="http://schemas.openxmlformats.org/drawingml/2006/main" flipH="1">
          <a:off x="4002642" y="1092201"/>
          <a:ext cx="45719" cy="2829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BC</a:t>
          </a:r>
        </a:p>
      </cdr:txBody>
    </cdr:sp>
  </cdr:relSizeAnchor>
  <cdr:relSizeAnchor xmlns:cdr="http://schemas.openxmlformats.org/drawingml/2006/chartDrawing">
    <cdr:from>
      <cdr:x>0.49583</cdr:x>
      <cdr:y>0.51852</cdr:y>
    </cdr:from>
    <cdr:to>
      <cdr:x>0.5232</cdr:x>
      <cdr:y>0.67014</cdr:y>
    </cdr:to>
    <cdr:sp macro="" textlink="">
      <cdr:nvSpPr>
        <cdr:cNvPr id="7" name="ZoneTexte 6"/>
        <cdr:cNvSpPr txBox="1"/>
      </cdr:nvSpPr>
      <cdr:spPr>
        <a:xfrm xmlns:a="http://schemas.openxmlformats.org/drawingml/2006/main" flipH="1">
          <a:off x="2714025" y="1244600"/>
          <a:ext cx="149825" cy="36393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C</a:t>
          </a:r>
        </a:p>
      </cdr:txBody>
    </cdr:sp>
  </cdr:relSizeAnchor>
</c:userShapes>
</file>

<file path=word/drawings/drawing15.xml><?xml version="1.0" encoding="utf-8"?>
<c:userShapes xmlns:c="http://schemas.openxmlformats.org/drawingml/2006/chart">
  <cdr:relSizeAnchor xmlns:cdr="http://schemas.openxmlformats.org/drawingml/2006/chartDrawing">
    <cdr:from>
      <cdr:x>0.34963</cdr:x>
      <cdr:y>0.4205</cdr:y>
    </cdr:from>
    <cdr:to>
      <cdr:x>0.38562</cdr:x>
      <cdr:y>0.52466</cdr:y>
    </cdr:to>
    <cdr:sp macro="" textlink="">
      <cdr:nvSpPr>
        <cdr:cNvPr id="2" name="ZoneTexte 1"/>
        <cdr:cNvSpPr txBox="1"/>
      </cdr:nvSpPr>
      <cdr:spPr>
        <a:xfrm xmlns:a="http://schemas.openxmlformats.org/drawingml/2006/main" flipH="1">
          <a:off x="1375397" y="805065"/>
          <a:ext cx="141578" cy="1994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0.81255</cdr:x>
      <cdr:y>0.35764</cdr:y>
    </cdr:from>
    <cdr:to>
      <cdr:x>0.82297</cdr:x>
      <cdr:y>0.48611</cdr:y>
    </cdr:to>
    <cdr:sp macro="" textlink="">
      <cdr:nvSpPr>
        <cdr:cNvPr id="3" name="ZoneTexte 2"/>
        <cdr:cNvSpPr txBox="1"/>
      </cdr:nvSpPr>
      <cdr:spPr>
        <a:xfrm xmlns:a="http://schemas.openxmlformats.org/drawingml/2006/main">
          <a:off x="3196438" y="684710"/>
          <a:ext cx="40990" cy="24595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0.24086</cdr:x>
      <cdr:y>0.42667</cdr:y>
    </cdr:from>
    <cdr:to>
      <cdr:x>0.26377</cdr:x>
      <cdr:y>0.52389</cdr:y>
    </cdr:to>
    <cdr:sp macro="" textlink="">
      <cdr:nvSpPr>
        <cdr:cNvPr id="4" name="ZoneTexte 3"/>
        <cdr:cNvSpPr txBox="1"/>
      </cdr:nvSpPr>
      <cdr:spPr>
        <a:xfrm xmlns:a="http://schemas.openxmlformats.org/drawingml/2006/main">
          <a:off x="947499" y="816863"/>
          <a:ext cx="90124" cy="18613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0.67579</cdr:x>
      <cdr:y>0.40698</cdr:y>
    </cdr:from>
    <cdr:to>
      <cdr:x>0.71632</cdr:x>
      <cdr:y>0.51114</cdr:y>
    </cdr:to>
    <cdr:sp macro="" textlink="">
      <cdr:nvSpPr>
        <cdr:cNvPr id="5" name="ZoneTexte 4"/>
        <cdr:cNvSpPr txBox="1"/>
      </cdr:nvSpPr>
      <cdr:spPr>
        <a:xfrm xmlns:a="http://schemas.openxmlformats.org/drawingml/2006/main">
          <a:off x="2658428" y="779169"/>
          <a:ext cx="159437" cy="1994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0.57364</cdr:x>
      <cdr:y>0.38754</cdr:y>
    </cdr:from>
    <cdr:to>
      <cdr:x>0.6172</cdr:x>
      <cdr:y>0.49866</cdr:y>
    </cdr:to>
    <cdr:sp macro="" textlink="">
      <cdr:nvSpPr>
        <cdr:cNvPr id="6" name="ZoneTexte 5"/>
        <cdr:cNvSpPr txBox="1"/>
      </cdr:nvSpPr>
      <cdr:spPr>
        <a:xfrm xmlns:a="http://schemas.openxmlformats.org/drawingml/2006/main">
          <a:off x="2256618" y="741949"/>
          <a:ext cx="171358" cy="2127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0.46529</cdr:x>
      <cdr:y>0.5101</cdr:y>
    </cdr:from>
    <cdr:to>
      <cdr:x>0.48612</cdr:x>
      <cdr:y>0.58649</cdr:y>
    </cdr:to>
    <cdr:sp macro="" textlink="">
      <cdr:nvSpPr>
        <cdr:cNvPr id="7" name="ZoneTexte 6"/>
        <cdr:cNvSpPr txBox="1"/>
      </cdr:nvSpPr>
      <cdr:spPr>
        <a:xfrm xmlns:a="http://schemas.openxmlformats.org/drawingml/2006/main">
          <a:off x="1830368" y="976603"/>
          <a:ext cx="81941" cy="14625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16.xml><?xml version="1.0" encoding="utf-8"?>
<c:userShapes xmlns:c="http://schemas.openxmlformats.org/drawingml/2006/chart">
  <cdr:relSizeAnchor xmlns:cdr="http://schemas.openxmlformats.org/drawingml/2006/chartDrawing">
    <cdr:from>
      <cdr:x>0.25331</cdr:x>
      <cdr:y>0.44407</cdr:y>
    </cdr:from>
    <cdr:to>
      <cdr:x>0.30123</cdr:x>
      <cdr:y>0.53435</cdr:y>
    </cdr:to>
    <cdr:sp macro="" textlink="">
      <cdr:nvSpPr>
        <cdr:cNvPr id="2" name="ZoneTexte 1"/>
        <cdr:cNvSpPr txBox="1"/>
      </cdr:nvSpPr>
      <cdr:spPr>
        <a:xfrm xmlns:a="http://schemas.openxmlformats.org/drawingml/2006/main">
          <a:off x="1391357" y="1449414"/>
          <a:ext cx="263212" cy="2946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0.78958</cdr:x>
      <cdr:y>0.43056</cdr:y>
    </cdr:from>
    <cdr:to>
      <cdr:x>0.80833</cdr:x>
      <cdr:y>0.44792</cdr:y>
    </cdr:to>
    <cdr:sp macro="" textlink="">
      <cdr:nvSpPr>
        <cdr:cNvPr id="3" name="ZoneTexte 2"/>
        <cdr:cNvSpPr txBox="1"/>
      </cdr:nvSpPr>
      <cdr:spPr>
        <a:xfrm xmlns:a="http://schemas.openxmlformats.org/drawingml/2006/main">
          <a:off x="3609975" y="1181100"/>
          <a:ext cx="85725" cy="47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0.79258</cdr:x>
      <cdr:y>0.45599</cdr:y>
    </cdr:from>
    <cdr:to>
      <cdr:x>0.81133</cdr:x>
      <cdr:y>0.52891</cdr:y>
    </cdr:to>
    <cdr:sp macro="" textlink="">
      <cdr:nvSpPr>
        <cdr:cNvPr id="4" name="ZoneTexte 3"/>
        <cdr:cNvSpPr txBox="1"/>
      </cdr:nvSpPr>
      <cdr:spPr>
        <a:xfrm xmlns:a="http://schemas.openxmlformats.org/drawingml/2006/main" flipH="1">
          <a:off x="4353436" y="1488311"/>
          <a:ext cx="102989" cy="23800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0.14236</cdr:x>
      <cdr:y>0.48545</cdr:y>
    </cdr:from>
    <cdr:to>
      <cdr:x>0.15145</cdr:x>
      <cdr:y>0.61479</cdr:y>
    </cdr:to>
    <cdr:sp macro="" textlink="">
      <cdr:nvSpPr>
        <cdr:cNvPr id="5" name="ZoneTexte 4"/>
        <cdr:cNvSpPr txBox="1"/>
      </cdr:nvSpPr>
      <cdr:spPr>
        <a:xfrm xmlns:a="http://schemas.openxmlformats.org/drawingml/2006/main">
          <a:off x="781928" y="1584446"/>
          <a:ext cx="49922" cy="42215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0.39861</cdr:x>
      <cdr:y>0.49641</cdr:y>
    </cdr:from>
    <cdr:to>
      <cdr:x>0.42152</cdr:x>
      <cdr:y>0.59363</cdr:y>
    </cdr:to>
    <cdr:sp macro="" textlink="">
      <cdr:nvSpPr>
        <cdr:cNvPr id="6" name="ZoneTexte 5"/>
        <cdr:cNvSpPr txBox="1"/>
      </cdr:nvSpPr>
      <cdr:spPr>
        <a:xfrm xmlns:a="http://schemas.openxmlformats.org/drawingml/2006/main">
          <a:off x="2189445" y="1620227"/>
          <a:ext cx="125839" cy="3173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0.53564</cdr:x>
      <cdr:y>0.52975</cdr:y>
    </cdr:from>
    <cdr:to>
      <cdr:x>0.54564</cdr:x>
      <cdr:y>0.58183</cdr:y>
    </cdr:to>
    <cdr:sp macro="" textlink="">
      <cdr:nvSpPr>
        <cdr:cNvPr id="7" name="ZoneTexte 6"/>
        <cdr:cNvSpPr txBox="1"/>
      </cdr:nvSpPr>
      <cdr:spPr>
        <a:xfrm xmlns:a="http://schemas.openxmlformats.org/drawingml/2006/main">
          <a:off x="2942148" y="1729063"/>
          <a:ext cx="54928" cy="1699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0.65833</cdr:x>
      <cdr:y>0.51042</cdr:y>
    </cdr:from>
    <cdr:to>
      <cdr:x>0.67399</cdr:x>
      <cdr:y>0.58755</cdr:y>
    </cdr:to>
    <cdr:sp macro="" textlink="">
      <cdr:nvSpPr>
        <cdr:cNvPr id="8" name="ZoneTexte 7"/>
        <cdr:cNvSpPr txBox="1"/>
      </cdr:nvSpPr>
      <cdr:spPr>
        <a:xfrm xmlns:a="http://schemas.openxmlformats.org/drawingml/2006/main">
          <a:off x="3616042" y="1665960"/>
          <a:ext cx="86008" cy="2517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0.29492</cdr:x>
      <cdr:y>0.47545</cdr:y>
    </cdr:from>
    <cdr:to>
      <cdr:x>0.31158</cdr:x>
      <cdr:y>0.53795</cdr:y>
    </cdr:to>
    <cdr:sp macro="" textlink="">
      <cdr:nvSpPr>
        <cdr:cNvPr id="9" name="ZoneTexte 8"/>
        <cdr:cNvSpPr txBox="1"/>
      </cdr:nvSpPr>
      <cdr:spPr>
        <a:xfrm xmlns:a="http://schemas.openxmlformats.org/drawingml/2006/main">
          <a:off x="1619930" y="1551811"/>
          <a:ext cx="91509" cy="2039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0.83125</cdr:x>
      <cdr:y>0.45486</cdr:y>
    </cdr:from>
    <cdr:to>
      <cdr:x>0.84125</cdr:x>
      <cdr:y>0.52083</cdr:y>
    </cdr:to>
    <cdr:sp macro="" textlink="">
      <cdr:nvSpPr>
        <cdr:cNvPr id="10" name="ZoneTexte 9"/>
        <cdr:cNvSpPr txBox="1"/>
      </cdr:nvSpPr>
      <cdr:spPr>
        <a:xfrm xmlns:a="http://schemas.openxmlformats.org/drawingml/2006/main">
          <a:off x="3800475" y="1247775"/>
          <a:ext cx="45719" cy="180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0.43542</cdr:x>
      <cdr:y>0.48264</cdr:y>
    </cdr:from>
    <cdr:to>
      <cdr:x>0.44542</cdr:x>
      <cdr:y>0.55903</cdr:y>
    </cdr:to>
    <cdr:sp macro="" textlink="">
      <cdr:nvSpPr>
        <cdr:cNvPr id="11" name="ZoneTexte 10"/>
        <cdr:cNvSpPr txBox="1"/>
      </cdr:nvSpPr>
      <cdr:spPr>
        <a:xfrm xmlns:a="http://schemas.openxmlformats.org/drawingml/2006/main">
          <a:off x="1990725" y="1323975"/>
          <a:ext cx="45719"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BC</a:t>
          </a:r>
        </a:p>
      </cdr:txBody>
    </cdr:sp>
  </cdr:relSizeAnchor>
  <cdr:relSizeAnchor xmlns:cdr="http://schemas.openxmlformats.org/drawingml/2006/chartDrawing">
    <cdr:from>
      <cdr:x>0.17292</cdr:x>
      <cdr:y>0.47917</cdr:y>
    </cdr:from>
    <cdr:to>
      <cdr:x>0.18292</cdr:x>
      <cdr:y>0.55903</cdr:y>
    </cdr:to>
    <cdr:sp macro="" textlink="">
      <cdr:nvSpPr>
        <cdr:cNvPr id="12" name="ZoneTexte 11"/>
        <cdr:cNvSpPr txBox="1"/>
      </cdr:nvSpPr>
      <cdr:spPr>
        <a:xfrm xmlns:a="http://schemas.openxmlformats.org/drawingml/2006/main">
          <a:off x="790575" y="1314450"/>
          <a:ext cx="45719" cy="219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BC</a:t>
          </a:r>
        </a:p>
      </cdr:txBody>
    </cdr:sp>
  </cdr:relSizeAnchor>
  <cdr:relSizeAnchor xmlns:cdr="http://schemas.openxmlformats.org/drawingml/2006/chartDrawing">
    <cdr:from>
      <cdr:x>0.56689</cdr:x>
      <cdr:y>0.53335</cdr:y>
    </cdr:from>
    <cdr:to>
      <cdr:x>0.57939</cdr:x>
      <cdr:y>0.58196</cdr:y>
    </cdr:to>
    <cdr:sp macro="" textlink="">
      <cdr:nvSpPr>
        <cdr:cNvPr id="13" name="ZoneTexte 12"/>
        <cdr:cNvSpPr txBox="1"/>
      </cdr:nvSpPr>
      <cdr:spPr>
        <a:xfrm xmlns:a="http://schemas.openxmlformats.org/drawingml/2006/main">
          <a:off x="3113797" y="1740786"/>
          <a:ext cx="68659" cy="1586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C</a:t>
          </a:r>
        </a:p>
      </cdr:txBody>
    </cdr:sp>
  </cdr:relSizeAnchor>
  <cdr:relSizeAnchor xmlns:cdr="http://schemas.openxmlformats.org/drawingml/2006/chartDrawing">
    <cdr:from>
      <cdr:x>0.68958</cdr:x>
      <cdr:y>0.57986</cdr:y>
    </cdr:from>
    <cdr:to>
      <cdr:x>0.70417</cdr:x>
      <cdr:y>0.64583</cdr:y>
    </cdr:to>
    <cdr:sp macro="" textlink="">
      <cdr:nvSpPr>
        <cdr:cNvPr id="14" name="ZoneTexte 13"/>
        <cdr:cNvSpPr txBox="1"/>
      </cdr:nvSpPr>
      <cdr:spPr>
        <a:xfrm xmlns:a="http://schemas.openxmlformats.org/drawingml/2006/main" flipH="1">
          <a:off x="3152775" y="1590674"/>
          <a:ext cx="66675" cy="180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D</a:t>
          </a:r>
        </a:p>
      </cdr:txBody>
    </cdr:sp>
  </cdr:relSizeAnchor>
  <cdr:relSizeAnchor xmlns:cdr="http://schemas.openxmlformats.org/drawingml/2006/chartDrawing">
    <cdr:from>
      <cdr:x>0.73333</cdr:x>
      <cdr:y>0.64931</cdr:y>
    </cdr:from>
    <cdr:to>
      <cdr:x>0.74333</cdr:x>
      <cdr:y>0.72222</cdr:y>
    </cdr:to>
    <cdr:sp macro="" textlink="">
      <cdr:nvSpPr>
        <cdr:cNvPr id="15" name="ZoneTexte 14"/>
        <cdr:cNvSpPr txBox="1"/>
      </cdr:nvSpPr>
      <cdr:spPr>
        <a:xfrm xmlns:a="http://schemas.openxmlformats.org/drawingml/2006/main">
          <a:off x="3352800" y="1781175"/>
          <a:ext cx="45719"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0.21042</cdr:x>
      <cdr:y>0.68056</cdr:y>
    </cdr:from>
    <cdr:to>
      <cdr:x>0.22458</cdr:x>
      <cdr:y>0.70764</cdr:y>
    </cdr:to>
    <cdr:sp macro="" textlink="">
      <cdr:nvSpPr>
        <cdr:cNvPr id="16" name="ZoneTexte 15"/>
        <cdr:cNvSpPr txBox="1"/>
      </cdr:nvSpPr>
      <cdr:spPr>
        <a:xfrm xmlns:a="http://schemas.openxmlformats.org/drawingml/2006/main">
          <a:off x="962025" y="1866901"/>
          <a:ext cx="64769" cy="742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0.34167</cdr:x>
      <cdr:y>0.6875</cdr:y>
    </cdr:from>
    <cdr:to>
      <cdr:x>0.35167</cdr:x>
      <cdr:y>0.70417</cdr:y>
    </cdr:to>
    <cdr:sp macro="" textlink="">
      <cdr:nvSpPr>
        <cdr:cNvPr id="17" name="ZoneTexte 16"/>
        <cdr:cNvSpPr txBox="1"/>
      </cdr:nvSpPr>
      <cdr:spPr>
        <a:xfrm xmlns:a="http://schemas.openxmlformats.org/drawingml/2006/main">
          <a:off x="1562100" y="1885950"/>
          <a:ext cx="45719" cy="457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0.47292</cdr:x>
      <cdr:y>0.68056</cdr:y>
    </cdr:from>
    <cdr:to>
      <cdr:x>0.48292</cdr:x>
      <cdr:y>0.71181</cdr:y>
    </cdr:to>
    <cdr:sp macro="" textlink="">
      <cdr:nvSpPr>
        <cdr:cNvPr id="18" name="ZoneTexte 17"/>
        <cdr:cNvSpPr txBox="1"/>
      </cdr:nvSpPr>
      <cdr:spPr>
        <a:xfrm xmlns:a="http://schemas.openxmlformats.org/drawingml/2006/main">
          <a:off x="2162176" y="1866900"/>
          <a:ext cx="45719" cy="857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0.59792</cdr:x>
      <cdr:y>0.67014</cdr:y>
    </cdr:from>
    <cdr:to>
      <cdr:x>0.61042</cdr:x>
      <cdr:y>0.69444</cdr:y>
    </cdr:to>
    <cdr:sp macro="" textlink="">
      <cdr:nvSpPr>
        <cdr:cNvPr id="19" name="ZoneTexte 18"/>
        <cdr:cNvSpPr txBox="1"/>
      </cdr:nvSpPr>
      <cdr:spPr>
        <a:xfrm xmlns:a="http://schemas.openxmlformats.org/drawingml/2006/main">
          <a:off x="2733676" y="1838325"/>
          <a:ext cx="57150" cy="666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0.85833</cdr:x>
      <cdr:y>0.6875</cdr:y>
    </cdr:from>
    <cdr:to>
      <cdr:x>0.875</cdr:x>
      <cdr:y>0.70833</cdr:y>
    </cdr:to>
    <cdr:sp macro="" textlink="">
      <cdr:nvSpPr>
        <cdr:cNvPr id="20" name="ZoneTexte 19"/>
        <cdr:cNvSpPr txBox="1"/>
      </cdr:nvSpPr>
      <cdr:spPr>
        <a:xfrm xmlns:a="http://schemas.openxmlformats.org/drawingml/2006/main">
          <a:off x="3924301" y="1885950"/>
          <a:ext cx="76199" cy="571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17.xml><?xml version="1.0" encoding="utf-8"?>
<c:userShapes xmlns:c="http://schemas.openxmlformats.org/drawingml/2006/chart">
  <cdr:relSizeAnchor xmlns:cdr="http://schemas.openxmlformats.org/drawingml/2006/chartDrawing">
    <cdr:from>
      <cdr:x>0.82776</cdr:x>
      <cdr:y>0.36806</cdr:y>
    </cdr:from>
    <cdr:to>
      <cdr:x>0.84443</cdr:x>
      <cdr:y>0.47569</cdr:y>
    </cdr:to>
    <cdr:sp macro="" textlink="">
      <cdr:nvSpPr>
        <cdr:cNvPr id="2" name="ZoneTexte 1"/>
        <cdr:cNvSpPr txBox="1"/>
      </cdr:nvSpPr>
      <cdr:spPr>
        <a:xfrm xmlns:a="http://schemas.openxmlformats.org/drawingml/2006/main">
          <a:off x="4468004" y="862441"/>
          <a:ext cx="89980" cy="2521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mj-lt"/>
            </a:rPr>
            <a:t>A</a:t>
          </a:r>
        </a:p>
      </cdr:txBody>
    </cdr:sp>
  </cdr:relSizeAnchor>
  <cdr:relSizeAnchor xmlns:cdr="http://schemas.openxmlformats.org/drawingml/2006/chartDrawing">
    <cdr:from>
      <cdr:x>0.61356</cdr:x>
      <cdr:y>0.41907</cdr:y>
    </cdr:from>
    <cdr:to>
      <cdr:x>0.62815</cdr:x>
      <cdr:y>0.53365</cdr:y>
    </cdr:to>
    <cdr:sp macro="" textlink="">
      <cdr:nvSpPr>
        <cdr:cNvPr id="3" name="ZoneTexte 2"/>
        <cdr:cNvSpPr txBox="1"/>
      </cdr:nvSpPr>
      <cdr:spPr>
        <a:xfrm xmlns:a="http://schemas.openxmlformats.org/drawingml/2006/main">
          <a:off x="3311804" y="981973"/>
          <a:ext cx="78752" cy="2684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B</a:t>
          </a:r>
        </a:p>
      </cdr:txBody>
    </cdr:sp>
  </cdr:relSizeAnchor>
  <cdr:relSizeAnchor xmlns:cdr="http://schemas.openxmlformats.org/drawingml/2006/chartDrawing">
    <cdr:from>
      <cdr:x>0.39171</cdr:x>
      <cdr:y>0.42361</cdr:y>
    </cdr:from>
    <cdr:to>
      <cdr:x>0.40213</cdr:x>
      <cdr:y>0.49653</cdr:y>
    </cdr:to>
    <cdr:sp macro="" textlink="">
      <cdr:nvSpPr>
        <cdr:cNvPr id="4" name="ZoneTexte 3"/>
        <cdr:cNvSpPr txBox="1"/>
      </cdr:nvSpPr>
      <cdr:spPr>
        <a:xfrm xmlns:a="http://schemas.openxmlformats.org/drawingml/2006/main">
          <a:off x="2114317" y="992606"/>
          <a:ext cx="56244" cy="17086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C</a:t>
          </a:r>
        </a:p>
      </cdr:txBody>
    </cdr:sp>
  </cdr:relSizeAnchor>
  <cdr:relSizeAnchor xmlns:cdr="http://schemas.openxmlformats.org/drawingml/2006/chartDrawing">
    <cdr:from>
      <cdr:x>0.28258</cdr:x>
      <cdr:y>0.40865</cdr:y>
    </cdr:from>
    <cdr:to>
      <cdr:x>0.29925</cdr:x>
      <cdr:y>0.5024</cdr:y>
    </cdr:to>
    <cdr:sp macro="" textlink="">
      <cdr:nvSpPr>
        <cdr:cNvPr id="5" name="ZoneTexte 4"/>
        <cdr:cNvSpPr txBox="1"/>
      </cdr:nvSpPr>
      <cdr:spPr>
        <a:xfrm xmlns:a="http://schemas.openxmlformats.org/drawingml/2006/main">
          <a:off x="1525259" y="957557"/>
          <a:ext cx="89980" cy="2196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D</a:t>
          </a:r>
        </a:p>
      </cdr:txBody>
    </cdr:sp>
  </cdr:relSizeAnchor>
  <cdr:relSizeAnchor xmlns:cdr="http://schemas.openxmlformats.org/drawingml/2006/chartDrawing">
    <cdr:from>
      <cdr:x>0.71875</cdr:x>
      <cdr:y>0.43056</cdr:y>
    </cdr:from>
    <cdr:to>
      <cdr:x>0.72917</cdr:x>
      <cdr:y>0.51042</cdr:y>
    </cdr:to>
    <cdr:sp macro="" textlink="">
      <cdr:nvSpPr>
        <cdr:cNvPr id="6" name="ZoneTexte 5"/>
        <cdr:cNvSpPr txBox="1"/>
      </cdr:nvSpPr>
      <cdr:spPr>
        <a:xfrm xmlns:a="http://schemas.openxmlformats.org/drawingml/2006/main">
          <a:off x="3286125" y="1181100"/>
          <a:ext cx="47625" cy="219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D</a:t>
          </a:r>
        </a:p>
      </cdr:txBody>
    </cdr:sp>
  </cdr:relSizeAnchor>
  <cdr:relSizeAnchor xmlns:cdr="http://schemas.openxmlformats.org/drawingml/2006/chartDrawing">
    <cdr:from>
      <cdr:x>0.50292</cdr:x>
      <cdr:y>0.46768</cdr:y>
    </cdr:from>
    <cdr:to>
      <cdr:x>0.5175</cdr:x>
      <cdr:y>0.53365</cdr:y>
    </cdr:to>
    <cdr:sp macro="" textlink="">
      <cdr:nvSpPr>
        <cdr:cNvPr id="7" name="ZoneTexte 6"/>
        <cdr:cNvSpPr txBox="1"/>
      </cdr:nvSpPr>
      <cdr:spPr>
        <a:xfrm xmlns:a="http://schemas.openxmlformats.org/drawingml/2006/main">
          <a:off x="2714601" y="1095876"/>
          <a:ext cx="78698" cy="1545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mj-lt"/>
            </a:rPr>
            <a:t>D</a:t>
          </a:r>
        </a:p>
      </cdr:txBody>
    </cdr:sp>
  </cdr:relSizeAnchor>
</c:userShapes>
</file>

<file path=word/drawings/drawing18.xml><?xml version="1.0" encoding="utf-8"?>
<c:userShapes xmlns:c="http://schemas.openxmlformats.org/drawingml/2006/chart">
  <cdr:relSizeAnchor xmlns:cdr="http://schemas.openxmlformats.org/drawingml/2006/chartDrawing">
    <cdr:from>
      <cdr:x>0.33581</cdr:x>
      <cdr:y>0.48053</cdr:y>
    </cdr:from>
    <cdr:to>
      <cdr:x>0.3629</cdr:x>
      <cdr:y>0.60901</cdr:y>
    </cdr:to>
    <cdr:sp macro="" textlink="">
      <cdr:nvSpPr>
        <cdr:cNvPr id="2" name="ZoneTexte 1"/>
        <cdr:cNvSpPr txBox="1"/>
      </cdr:nvSpPr>
      <cdr:spPr>
        <a:xfrm xmlns:a="http://schemas.openxmlformats.org/drawingml/2006/main">
          <a:off x="1812628" y="1122755"/>
          <a:ext cx="146170" cy="3001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0.47983</cdr:x>
      <cdr:y>0.51354</cdr:y>
    </cdr:from>
    <cdr:to>
      <cdr:x>0.50941</cdr:x>
      <cdr:y>0.59927</cdr:y>
    </cdr:to>
    <cdr:sp macro="" textlink="">
      <cdr:nvSpPr>
        <cdr:cNvPr id="3" name="ZoneTexte 1"/>
        <cdr:cNvSpPr txBox="1"/>
      </cdr:nvSpPr>
      <cdr:spPr>
        <a:xfrm xmlns:a="http://schemas.openxmlformats.org/drawingml/2006/main">
          <a:off x="2589980" y="1199891"/>
          <a:ext cx="159664" cy="2003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t>B</a:t>
          </a:r>
        </a:p>
      </cdr:txBody>
    </cdr:sp>
  </cdr:relSizeAnchor>
  <cdr:relSizeAnchor xmlns:cdr="http://schemas.openxmlformats.org/drawingml/2006/chartDrawing">
    <cdr:from>
      <cdr:x>0.76743</cdr:x>
      <cdr:y>0.51797</cdr:y>
    </cdr:from>
    <cdr:to>
      <cdr:x>0.81939</cdr:x>
      <cdr:y>0.64644</cdr:y>
    </cdr:to>
    <cdr:sp macro="" textlink="">
      <cdr:nvSpPr>
        <cdr:cNvPr id="4" name="ZoneTexte 1"/>
        <cdr:cNvSpPr txBox="1"/>
      </cdr:nvSpPr>
      <cdr:spPr>
        <a:xfrm xmlns:a="http://schemas.openxmlformats.org/drawingml/2006/main">
          <a:off x="4142352" y="1210243"/>
          <a:ext cx="280465" cy="3001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t>B</a:t>
          </a:r>
        </a:p>
      </cdr:txBody>
    </cdr:sp>
  </cdr:relSizeAnchor>
  <cdr:relSizeAnchor xmlns:cdr="http://schemas.openxmlformats.org/drawingml/2006/chartDrawing">
    <cdr:from>
      <cdr:x>0.62195</cdr:x>
      <cdr:y>0.35069</cdr:y>
    </cdr:from>
    <cdr:to>
      <cdr:x>0.67245</cdr:x>
      <cdr:y>0.47917</cdr:y>
    </cdr:to>
    <cdr:sp macro="" textlink="">
      <cdr:nvSpPr>
        <cdr:cNvPr id="5" name="ZoneTexte 1"/>
        <cdr:cNvSpPr txBox="1"/>
      </cdr:nvSpPr>
      <cdr:spPr>
        <a:xfrm xmlns:a="http://schemas.openxmlformats.org/drawingml/2006/main">
          <a:off x="3357083" y="819390"/>
          <a:ext cx="272584" cy="3001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t>A</a:t>
          </a:r>
        </a:p>
      </cdr:txBody>
    </cdr:sp>
  </cdr:relSizeAnchor>
</c:userShapes>
</file>

<file path=word/drawings/drawing19.xml><?xml version="1.0" encoding="utf-8"?>
<c:userShapes xmlns:c="http://schemas.openxmlformats.org/drawingml/2006/chart">
  <cdr:relSizeAnchor xmlns:cdr="http://schemas.openxmlformats.org/drawingml/2006/chartDrawing">
    <cdr:from>
      <cdr:x>0.30598</cdr:x>
      <cdr:y>0.38499</cdr:y>
    </cdr:from>
    <cdr:to>
      <cdr:x>0.36094</cdr:x>
      <cdr:y>0.49928</cdr:y>
    </cdr:to>
    <cdr:sp macro="" textlink="">
      <cdr:nvSpPr>
        <cdr:cNvPr id="2" name="ZoneTexte 1"/>
        <cdr:cNvSpPr txBox="1"/>
      </cdr:nvSpPr>
      <cdr:spPr>
        <a:xfrm xmlns:a="http://schemas.openxmlformats.org/drawingml/2006/main">
          <a:off x="1651593" y="899539"/>
          <a:ext cx="296657" cy="2670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0.63705</cdr:x>
      <cdr:y>0.34656</cdr:y>
    </cdr:from>
    <cdr:to>
      <cdr:x>0.65608</cdr:x>
      <cdr:y>0.45728</cdr:y>
    </cdr:to>
    <cdr:sp macro="" textlink="">
      <cdr:nvSpPr>
        <cdr:cNvPr id="3" name="ZoneTexte 2"/>
        <cdr:cNvSpPr txBox="1"/>
      </cdr:nvSpPr>
      <cdr:spPr>
        <a:xfrm xmlns:a="http://schemas.openxmlformats.org/drawingml/2006/main">
          <a:off x="3438607" y="809747"/>
          <a:ext cx="102718" cy="25869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0.46395</cdr:x>
      <cdr:y>0.43188</cdr:y>
    </cdr:from>
    <cdr:to>
      <cdr:x>0.51046</cdr:x>
      <cdr:y>0.53545</cdr:y>
    </cdr:to>
    <cdr:sp macro="" textlink="">
      <cdr:nvSpPr>
        <cdr:cNvPr id="4" name="ZoneTexte 3"/>
        <cdr:cNvSpPr txBox="1"/>
      </cdr:nvSpPr>
      <cdr:spPr>
        <a:xfrm xmlns:a="http://schemas.openxmlformats.org/drawingml/2006/main">
          <a:off x="2504266" y="1009091"/>
          <a:ext cx="251047" cy="24199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0.76617</cdr:x>
      <cdr:y>0.46243</cdr:y>
    </cdr:from>
    <cdr:to>
      <cdr:x>0.79475</cdr:x>
      <cdr:y>0.56538</cdr:y>
    </cdr:to>
    <cdr:sp macro="" textlink="">
      <cdr:nvSpPr>
        <cdr:cNvPr id="5" name="ZoneTexte 4"/>
        <cdr:cNvSpPr txBox="1"/>
      </cdr:nvSpPr>
      <cdr:spPr>
        <a:xfrm xmlns:a="http://schemas.openxmlformats.org/drawingml/2006/main">
          <a:off x="4137313" y="1080655"/>
          <a:ext cx="154346" cy="2405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0.29242</cdr:x>
      <cdr:y>0.32711</cdr:y>
    </cdr:from>
    <cdr:to>
      <cdr:x>0.3137</cdr:x>
      <cdr:y>0.43822</cdr:y>
    </cdr:to>
    <cdr:sp macro="" textlink="">
      <cdr:nvSpPr>
        <cdr:cNvPr id="2" name="ZoneTexte 1"/>
        <cdr:cNvSpPr txBox="1"/>
      </cdr:nvSpPr>
      <cdr:spPr>
        <a:xfrm xmlns:a="http://schemas.openxmlformats.org/drawingml/2006/main">
          <a:off x="1579078" y="767723"/>
          <a:ext cx="114912" cy="26077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0.39208</cdr:x>
      <cdr:y>0.33951</cdr:y>
    </cdr:from>
    <cdr:to>
      <cdr:x>0.41585</cdr:x>
      <cdr:y>0.42631</cdr:y>
    </cdr:to>
    <cdr:sp macro="" textlink="">
      <cdr:nvSpPr>
        <cdr:cNvPr id="3" name="ZoneTexte 2"/>
        <cdr:cNvSpPr txBox="1"/>
      </cdr:nvSpPr>
      <cdr:spPr>
        <a:xfrm xmlns:a="http://schemas.openxmlformats.org/drawingml/2006/main">
          <a:off x="2119485" y="794463"/>
          <a:ext cx="128495" cy="20311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0.50261</cdr:x>
      <cdr:y>0.35806</cdr:y>
    </cdr:from>
    <cdr:to>
      <cdr:x>0.53594</cdr:x>
      <cdr:y>0.44487</cdr:y>
    </cdr:to>
    <cdr:sp macro="" textlink="">
      <cdr:nvSpPr>
        <cdr:cNvPr id="4" name="ZoneTexte 3"/>
        <cdr:cNvSpPr txBox="1"/>
      </cdr:nvSpPr>
      <cdr:spPr>
        <a:xfrm xmlns:a="http://schemas.openxmlformats.org/drawingml/2006/main">
          <a:off x="2716994" y="837857"/>
          <a:ext cx="180174" cy="2031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0.62034</cdr:x>
      <cdr:y>0.4968</cdr:y>
    </cdr:from>
    <cdr:to>
      <cdr:x>0.63034</cdr:x>
      <cdr:y>0.57666</cdr:y>
    </cdr:to>
    <cdr:sp macro="" textlink="">
      <cdr:nvSpPr>
        <cdr:cNvPr id="5" name="ZoneTexte 4"/>
        <cdr:cNvSpPr txBox="1"/>
      </cdr:nvSpPr>
      <cdr:spPr>
        <a:xfrm xmlns:a="http://schemas.openxmlformats.org/drawingml/2006/main">
          <a:off x="3353396" y="1162515"/>
          <a:ext cx="54058" cy="1868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0.70934</cdr:x>
      <cdr:y>0.4054</cdr:y>
    </cdr:from>
    <cdr:to>
      <cdr:x>0.74622</cdr:x>
      <cdr:y>0.50262</cdr:y>
    </cdr:to>
    <cdr:sp macro="" textlink="">
      <cdr:nvSpPr>
        <cdr:cNvPr id="6" name="ZoneTexte 5"/>
        <cdr:cNvSpPr txBox="1"/>
      </cdr:nvSpPr>
      <cdr:spPr>
        <a:xfrm xmlns:a="http://schemas.openxmlformats.org/drawingml/2006/main">
          <a:off x="3834529" y="948629"/>
          <a:ext cx="199365" cy="2274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0.81718</cdr:x>
      <cdr:y>0.32323</cdr:y>
    </cdr:from>
    <cdr:to>
      <cdr:x>0.86828</cdr:x>
      <cdr:y>0.43751</cdr:y>
    </cdr:to>
    <cdr:sp macro="" textlink="">
      <cdr:nvSpPr>
        <cdr:cNvPr id="7" name="ZoneTexte 6"/>
        <cdr:cNvSpPr txBox="1"/>
      </cdr:nvSpPr>
      <cdr:spPr>
        <a:xfrm xmlns:a="http://schemas.openxmlformats.org/drawingml/2006/main">
          <a:off x="4417482" y="756355"/>
          <a:ext cx="276239" cy="26741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userShapes>
</file>

<file path=word/drawings/drawing20.xml><?xml version="1.0" encoding="utf-8"?>
<c:userShapes xmlns:c="http://schemas.openxmlformats.org/drawingml/2006/chart">
  <cdr:relSizeAnchor xmlns:cdr="http://schemas.openxmlformats.org/drawingml/2006/chartDrawing">
    <cdr:from>
      <cdr:x>0.60444</cdr:x>
      <cdr:y>0.35465</cdr:y>
    </cdr:from>
    <cdr:to>
      <cdr:x>0.65649</cdr:x>
      <cdr:y>0.49007</cdr:y>
    </cdr:to>
    <cdr:sp macro="" textlink="">
      <cdr:nvSpPr>
        <cdr:cNvPr id="2" name="ZoneTexte 1"/>
        <cdr:cNvSpPr txBox="1"/>
      </cdr:nvSpPr>
      <cdr:spPr>
        <a:xfrm xmlns:a="http://schemas.openxmlformats.org/drawingml/2006/main">
          <a:off x="3263985" y="828777"/>
          <a:ext cx="281070" cy="31646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0.29506</cdr:x>
      <cdr:y>0.48591</cdr:y>
    </cdr:from>
    <cdr:to>
      <cdr:x>0.34506</cdr:x>
      <cdr:y>0.57272</cdr:y>
    </cdr:to>
    <cdr:sp macro="" textlink="">
      <cdr:nvSpPr>
        <cdr:cNvPr id="3" name="ZoneTexte 2"/>
        <cdr:cNvSpPr txBox="1"/>
      </cdr:nvSpPr>
      <cdr:spPr>
        <a:xfrm xmlns:a="http://schemas.openxmlformats.org/drawingml/2006/main">
          <a:off x="1593301" y="1135515"/>
          <a:ext cx="270000" cy="2028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0.45065</cdr:x>
      <cdr:y>0.52702</cdr:y>
    </cdr:from>
    <cdr:to>
      <cdr:x>0.48256</cdr:x>
      <cdr:y>0.57927</cdr:y>
    </cdr:to>
    <cdr:sp macro="" textlink="">
      <cdr:nvSpPr>
        <cdr:cNvPr id="4" name="ZoneTexte 3"/>
        <cdr:cNvSpPr txBox="1"/>
      </cdr:nvSpPr>
      <cdr:spPr>
        <a:xfrm xmlns:a="http://schemas.openxmlformats.org/drawingml/2006/main">
          <a:off x="2433510" y="1231589"/>
          <a:ext cx="172314" cy="12210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0.75922</cdr:x>
      <cdr:y>0.54277</cdr:y>
    </cdr:from>
    <cdr:to>
      <cdr:x>0.79738</cdr:x>
      <cdr:y>0.59331</cdr:y>
    </cdr:to>
    <cdr:sp macro="" textlink="">
      <cdr:nvSpPr>
        <cdr:cNvPr id="5" name="ZoneTexte 4"/>
        <cdr:cNvSpPr txBox="1"/>
      </cdr:nvSpPr>
      <cdr:spPr>
        <a:xfrm xmlns:a="http://schemas.openxmlformats.org/drawingml/2006/main">
          <a:off x="4099777" y="1268410"/>
          <a:ext cx="206064" cy="1180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userShapes>
</file>

<file path=word/drawings/drawing21.xml><?xml version="1.0" encoding="utf-8"?>
<c:userShapes xmlns:c="http://schemas.openxmlformats.org/drawingml/2006/chart">
  <cdr:relSizeAnchor xmlns:cdr="http://schemas.openxmlformats.org/drawingml/2006/chartDrawing">
    <cdr:from>
      <cdr:x>0.58414</cdr:x>
      <cdr:y>0.36199</cdr:y>
    </cdr:from>
    <cdr:to>
      <cdr:x>0.61509</cdr:x>
      <cdr:y>0.52941</cdr:y>
    </cdr:to>
    <cdr:sp macro="" textlink="">
      <cdr:nvSpPr>
        <cdr:cNvPr id="2" name="ZoneTexte 1"/>
        <cdr:cNvSpPr txBox="1"/>
      </cdr:nvSpPr>
      <cdr:spPr>
        <a:xfrm xmlns:a="http://schemas.openxmlformats.org/drawingml/2006/main">
          <a:off x="2876549" y="762001"/>
          <a:ext cx="152400" cy="3524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0.24952</cdr:x>
      <cdr:y>0.58371</cdr:y>
    </cdr:from>
    <cdr:to>
      <cdr:x>0.27466</cdr:x>
      <cdr:y>0.67421</cdr:y>
    </cdr:to>
    <cdr:sp macro="" textlink="">
      <cdr:nvSpPr>
        <cdr:cNvPr id="3" name="ZoneTexte 2"/>
        <cdr:cNvSpPr txBox="1"/>
      </cdr:nvSpPr>
      <cdr:spPr>
        <a:xfrm xmlns:a="http://schemas.openxmlformats.org/drawingml/2006/main">
          <a:off x="1228724" y="1228726"/>
          <a:ext cx="123825"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0.4178</cdr:x>
      <cdr:y>0.54299</cdr:y>
    </cdr:from>
    <cdr:to>
      <cdr:x>0.44294</cdr:x>
      <cdr:y>0.63348</cdr:y>
    </cdr:to>
    <cdr:sp macro="" textlink="">
      <cdr:nvSpPr>
        <cdr:cNvPr id="4" name="ZoneTexte 1"/>
        <cdr:cNvSpPr txBox="1"/>
      </cdr:nvSpPr>
      <cdr:spPr>
        <a:xfrm xmlns:a="http://schemas.openxmlformats.org/drawingml/2006/main">
          <a:off x="2057400" y="1143000"/>
          <a:ext cx="123825"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t>B</a:t>
          </a:r>
        </a:p>
      </cdr:txBody>
    </cdr:sp>
  </cdr:relSizeAnchor>
  <cdr:relSizeAnchor xmlns:cdr="http://schemas.openxmlformats.org/drawingml/2006/chartDrawing">
    <cdr:from>
      <cdr:x>0.75629</cdr:x>
      <cdr:y>0.54751</cdr:y>
    </cdr:from>
    <cdr:to>
      <cdr:x>0.78143</cdr:x>
      <cdr:y>0.63801</cdr:y>
    </cdr:to>
    <cdr:sp macro="" textlink="">
      <cdr:nvSpPr>
        <cdr:cNvPr id="5" name="ZoneTexte 1"/>
        <cdr:cNvSpPr txBox="1"/>
      </cdr:nvSpPr>
      <cdr:spPr>
        <a:xfrm xmlns:a="http://schemas.openxmlformats.org/drawingml/2006/main">
          <a:off x="3724275" y="1152525"/>
          <a:ext cx="123825"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t>B</a:t>
          </a:r>
        </a:p>
      </cdr:txBody>
    </cdr:sp>
  </cdr:relSizeAnchor>
</c:userShapes>
</file>

<file path=word/drawings/drawing22.xml><?xml version="1.0" encoding="utf-8"?>
<c:userShapes xmlns:c="http://schemas.openxmlformats.org/drawingml/2006/chart">
  <cdr:relSizeAnchor xmlns:cdr="http://schemas.openxmlformats.org/drawingml/2006/chartDrawing">
    <cdr:from>
      <cdr:x>0.14699</cdr:x>
      <cdr:y>0.73611</cdr:y>
    </cdr:from>
    <cdr:to>
      <cdr:x>0.19074</cdr:x>
      <cdr:y>0.77083</cdr:y>
    </cdr:to>
    <cdr:sp macro="" textlink="">
      <cdr:nvSpPr>
        <cdr:cNvPr id="2" name="ZoneTexte 1"/>
        <cdr:cNvSpPr txBox="1"/>
      </cdr:nvSpPr>
      <cdr:spPr>
        <a:xfrm xmlns:a="http://schemas.openxmlformats.org/drawingml/2006/main">
          <a:off x="784974" y="1579913"/>
          <a:ext cx="233641" cy="745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latin typeface="Times New Roman" pitchFamily="18" charset="0"/>
              <a:cs typeface="Times New Roman" pitchFamily="18" charset="0"/>
            </a:rPr>
            <a:t>AB</a:t>
          </a:r>
        </a:p>
      </cdr:txBody>
    </cdr:sp>
  </cdr:relSizeAnchor>
  <cdr:relSizeAnchor xmlns:cdr="http://schemas.openxmlformats.org/drawingml/2006/chartDrawing">
    <cdr:from>
      <cdr:x>0.33958</cdr:x>
      <cdr:y>0.77431</cdr:y>
    </cdr:from>
    <cdr:to>
      <cdr:x>0.36667</cdr:x>
      <cdr:y>0.79861</cdr:y>
    </cdr:to>
    <cdr:sp macro="" textlink="">
      <cdr:nvSpPr>
        <cdr:cNvPr id="3" name="ZoneTexte 2"/>
        <cdr:cNvSpPr txBox="1"/>
      </cdr:nvSpPr>
      <cdr:spPr>
        <a:xfrm xmlns:a="http://schemas.openxmlformats.org/drawingml/2006/main">
          <a:off x="1552575" y="2124075"/>
          <a:ext cx="123825" cy="666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0.34167</cdr:x>
      <cdr:y>0.76736</cdr:y>
    </cdr:from>
    <cdr:to>
      <cdr:x>0.37455</cdr:x>
      <cdr:y>0.78866</cdr:y>
    </cdr:to>
    <cdr:sp macro="" textlink="">
      <cdr:nvSpPr>
        <cdr:cNvPr id="4" name="ZoneTexte 3"/>
        <cdr:cNvSpPr txBox="1"/>
      </cdr:nvSpPr>
      <cdr:spPr>
        <a:xfrm xmlns:a="http://schemas.openxmlformats.org/drawingml/2006/main">
          <a:off x="1824637" y="1646984"/>
          <a:ext cx="175613" cy="457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0.54816</cdr:x>
      <cdr:y>0.72189</cdr:y>
    </cdr:from>
    <cdr:to>
      <cdr:x>0.55767</cdr:x>
      <cdr:y>0.74319</cdr:y>
    </cdr:to>
    <cdr:sp macro="" textlink="">
      <cdr:nvSpPr>
        <cdr:cNvPr id="5" name="ZoneTexte 4"/>
        <cdr:cNvSpPr txBox="1"/>
      </cdr:nvSpPr>
      <cdr:spPr>
        <a:xfrm xmlns:a="http://schemas.openxmlformats.org/drawingml/2006/main">
          <a:off x="2927350" y="1549400"/>
          <a:ext cx="50800" cy="457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0.73958</cdr:x>
      <cdr:y>0.73958</cdr:y>
    </cdr:from>
    <cdr:to>
      <cdr:x>0.75625</cdr:x>
      <cdr:y>0.76042</cdr:y>
    </cdr:to>
    <cdr:sp macro="" textlink="">
      <cdr:nvSpPr>
        <cdr:cNvPr id="6" name="ZoneTexte 5"/>
        <cdr:cNvSpPr txBox="1"/>
      </cdr:nvSpPr>
      <cdr:spPr>
        <a:xfrm xmlns:a="http://schemas.openxmlformats.org/drawingml/2006/main">
          <a:off x="3381376" y="2028826"/>
          <a:ext cx="76199" cy="571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0.57232</cdr:x>
      <cdr:y>0.68711</cdr:y>
    </cdr:from>
    <cdr:to>
      <cdr:x>0.60761</cdr:x>
      <cdr:y>0.70841</cdr:y>
    </cdr:to>
    <cdr:sp macro="" textlink="">
      <cdr:nvSpPr>
        <cdr:cNvPr id="7" name="ZoneTexte 6"/>
        <cdr:cNvSpPr txBox="1"/>
      </cdr:nvSpPr>
      <cdr:spPr>
        <a:xfrm xmlns:a="http://schemas.openxmlformats.org/drawingml/2006/main">
          <a:off x="3056409" y="1474739"/>
          <a:ext cx="188441" cy="457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0.77408</cdr:x>
      <cdr:y>0.68047</cdr:y>
    </cdr:from>
    <cdr:to>
      <cdr:x>0.78898</cdr:x>
      <cdr:y>0.72727</cdr:y>
    </cdr:to>
    <cdr:sp macro="" textlink="">
      <cdr:nvSpPr>
        <cdr:cNvPr id="8" name="ZoneTexte 7"/>
        <cdr:cNvSpPr txBox="1"/>
      </cdr:nvSpPr>
      <cdr:spPr>
        <a:xfrm xmlns:a="http://schemas.openxmlformats.org/drawingml/2006/main">
          <a:off x="4192843" y="1663578"/>
          <a:ext cx="80707" cy="11442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0.19375</cdr:x>
      <cdr:y>0.69823</cdr:y>
    </cdr:from>
    <cdr:to>
      <cdr:x>0.20333</cdr:x>
      <cdr:y>0.77083</cdr:y>
    </cdr:to>
    <cdr:sp macro="" textlink="">
      <cdr:nvSpPr>
        <cdr:cNvPr id="9" name="ZoneTexte 8"/>
        <cdr:cNvSpPr txBox="1"/>
      </cdr:nvSpPr>
      <cdr:spPr>
        <a:xfrm xmlns:a="http://schemas.openxmlformats.org/drawingml/2006/main" flipH="1">
          <a:off x="1034693" y="1498601"/>
          <a:ext cx="51157" cy="1558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0.38333</cdr:x>
      <cdr:y>0.69822</cdr:y>
    </cdr:from>
    <cdr:to>
      <cdr:x>0.40071</cdr:x>
      <cdr:y>0.76389</cdr:y>
    </cdr:to>
    <cdr:sp macro="" textlink="">
      <cdr:nvSpPr>
        <cdr:cNvPr id="10" name="ZoneTexte 9"/>
        <cdr:cNvSpPr txBox="1"/>
      </cdr:nvSpPr>
      <cdr:spPr>
        <a:xfrm xmlns:a="http://schemas.openxmlformats.org/drawingml/2006/main">
          <a:off x="2047116" y="1498600"/>
          <a:ext cx="92834" cy="14093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0.22481</cdr:x>
      <cdr:y>0.62242</cdr:y>
    </cdr:from>
    <cdr:to>
      <cdr:x>0.23481</cdr:x>
      <cdr:y>0.70575</cdr:y>
    </cdr:to>
    <cdr:sp macro="" textlink="">
      <cdr:nvSpPr>
        <cdr:cNvPr id="11" name="ZoneTexte 10"/>
        <cdr:cNvSpPr txBox="1"/>
      </cdr:nvSpPr>
      <cdr:spPr>
        <a:xfrm xmlns:a="http://schemas.openxmlformats.org/drawingml/2006/main" flipH="1">
          <a:off x="1217695" y="1521655"/>
          <a:ext cx="54165" cy="20372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0.41708</cdr:x>
      <cdr:y>0.66272</cdr:y>
    </cdr:from>
    <cdr:to>
      <cdr:x>0.43494</cdr:x>
      <cdr:y>0.68142</cdr:y>
    </cdr:to>
    <cdr:sp macro="" textlink="">
      <cdr:nvSpPr>
        <cdr:cNvPr id="12" name="ZoneTexte 11"/>
        <cdr:cNvSpPr txBox="1"/>
      </cdr:nvSpPr>
      <cdr:spPr>
        <a:xfrm xmlns:a="http://schemas.openxmlformats.org/drawingml/2006/main">
          <a:off x="2259135" y="1620185"/>
          <a:ext cx="96715" cy="457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0.61547</cdr:x>
      <cdr:y>0.57143</cdr:y>
    </cdr:from>
    <cdr:to>
      <cdr:x>0.63148</cdr:x>
      <cdr:y>0.69097</cdr:y>
    </cdr:to>
    <cdr:sp macro="" textlink="">
      <cdr:nvSpPr>
        <cdr:cNvPr id="13" name="ZoneTexte 12"/>
        <cdr:cNvSpPr txBox="1"/>
      </cdr:nvSpPr>
      <cdr:spPr>
        <a:xfrm xmlns:a="http://schemas.openxmlformats.org/drawingml/2006/main" flipH="1">
          <a:off x="3333750" y="1397000"/>
          <a:ext cx="86693" cy="2922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0.80737</cdr:x>
      <cdr:y>0.6026</cdr:y>
    </cdr:from>
    <cdr:to>
      <cdr:x>0.83118</cdr:x>
      <cdr:y>0.72189</cdr:y>
    </cdr:to>
    <cdr:sp macro="" textlink="">
      <cdr:nvSpPr>
        <cdr:cNvPr id="14" name="ZoneTexte 13"/>
        <cdr:cNvSpPr txBox="1"/>
      </cdr:nvSpPr>
      <cdr:spPr>
        <a:xfrm xmlns:a="http://schemas.openxmlformats.org/drawingml/2006/main">
          <a:off x="4373160" y="1473200"/>
          <a:ext cx="128990" cy="29164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userShapes>
</file>

<file path=word/drawings/drawing23.xml><?xml version="1.0" encoding="utf-8"?>
<c:userShapes xmlns:c="http://schemas.openxmlformats.org/drawingml/2006/chart">
  <cdr:relSizeAnchor xmlns:cdr="http://schemas.openxmlformats.org/drawingml/2006/chartDrawing">
    <cdr:from>
      <cdr:x>0.32672</cdr:x>
      <cdr:y>0.30445</cdr:y>
    </cdr:from>
    <cdr:to>
      <cdr:x>0.39756</cdr:x>
      <cdr:y>0.45838</cdr:y>
    </cdr:to>
    <cdr:sp macro="" textlink="">
      <cdr:nvSpPr>
        <cdr:cNvPr id="2" name="ZoneTexte 1"/>
        <cdr:cNvSpPr txBox="1"/>
      </cdr:nvSpPr>
      <cdr:spPr>
        <a:xfrm xmlns:a="http://schemas.openxmlformats.org/drawingml/2006/main">
          <a:off x="1763550" y="711350"/>
          <a:ext cx="382373" cy="35965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0.47566</cdr:x>
      <cdr:y>0.34375</cdr:y>
    </cdr:from>
    <cdr:to>
      <cdr:x>0.54302</cdr:x>
      <cdr:y>0.46181</cdr:y>
    </cdr:to>
    <cdr:sp macro="" textlink="">
      <cdr:nvSpPr>
        <cdr:cNvPr id="3" name="ZoneTexte 1"/>
        <cdr:cNvSpPr txBox="1"/>
      </cdr:nvSpPr>
      <cdr:spPr>
        <a:xfrm xmlns:a="http://schemas.openxmlformats.org/drawingml/2006/main">
          <a:off x="2567454" y="803175"/>
          <a:ext cx="363589" cy="2758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t>A</a:t>
          </a:r>
        </a:p>
      </cdr:txBody>
    </cdr:sp>
  </cdr:relSizeAnchor>
  <cdr:relSizeAnchor xmlns:cdr="http://schemas.openxmlformats.org/drawingml/2006/chartDrawing">
    <cdr:from>
      <cdr:x>0.62259</cdr:x>
      <cdr:y>0.46663</cdr:y>
    </cdr:from>
    <cdr:to>
      <cdr:x>0.65384</cdr:x>
      <cdr:y>0.58468</cdr:y>
    </cdr:to>
    <cdr:sp macro="" textlink="">
      <cdr:nvSpPr>
        <cdr:cNvPr id="4" name="ZoneTexte 1"/>
        <cdr:cNvSpPr txBox="1"/>
      </cdr:nvSpPr>
      <cdr:spPr>
        <a:xfrm xmlns:a="http://schemas.openxmlformats.org/drawingml/2006/main">
          <a:off x="3360578" y="1090288"/>
          <a:ext cx="168679" cy="2758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t>B</a:t>
          </a:r>
        </a:p>
      </cdr:txBody>
    </cdr:sp>
  </cdr:relSizeAnchor>
  <cdr:relSizeAnchor xmlns:cdr="http://schemas.openxmlformats.org/drawingml/2006/chartDrawing">
    <cdr:from>
      <cdr:x>0.78461</cdr:x>
      <cdr:y>0.35869</cdr:y>
    </cdr:from>
    <cdr:to>
      <cdr:x>0.81933</cdr:x>
      <cdr:y>0.47675</cdr:y>
    </cdr:to>
    <cdr:sp macro="" textlink="">
      <cdr:nvSpPr>
        <cdr:cNvPr id="5" name="ZoneTexte 1"/>
        <cdr:cNvSpPr txBox="1"/>
      </cdr:nvSpPr>
      <cdr:spPr>
        <a:xfrm xmlns:a="http://schemas.openxmlformats.org/drawingml/2006/main">
          <a:off x="4235106" y="838091"/>
          <a:ext cx="187408" cy="2758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t>A</a:t>
          </a:r>
        </a:p>
      </cdr:txBody>
    </cdr:sp>
  </cdr:relSizeAnchor>
</c:userShapes>
</file>

<file path=word/drawings/drawing24.xml><?xml version="1.0" encoding="utf-8"?>
<c:userShapes xmlns:c="http://schemas.openxmlformats.org/drawingml/2006/chart">
  <cdr:relSizeAnchor xmlns:cdr="http://schemas.openxmlformats.org/drawingml/2006/chartDrawing">
    <cdr:from>
      <cdr:x>0.61936</cdr:x>
      <cdr:y>0.37673</cdr:y>
    </cdr:from>
    <cdr:to>
      <cdr:x>0.66028</cdr:x>
      <cdr:y>0.49132</cdr:y>
    </cdr:to>
    <cdr:sp macro="" textlink="">
      <cdr:nvSpPr>
        <cdr:cNvPr id="2" name="ZoneTexte 1"/>
        <cdr:cNvSpPr txBox="1"/>
      </cdr:nvSpPr>
      <cdr:spPr>
        <a:xfrm xmlns:a="http://schemas.openxmlformats.org/drawingml/2006/main">
          <a:off x="3354784" y="918622"/>
          <a:ext cx="221645" cy="2794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0.32227</cdr:x>
      <cdr:y>0.35031</cdr:y>
    </cdr:from>
    <cdr:to>
      <cdr:x>0.34519</cdr:x>
      <cdr:y>0.56906</cdr:y>
    </cdr:to>
    <cdr:sp macro="" textlink="">
      <cdr:nvSpPr>
        <cdr:cNvPr id="3" name="ZoneTexte 2"/>
        <cdr:cNvSpPr txBox="1"/>
      </cdr:nvSpPr>
      <cdr:spPr>
        <a:xfrm xmlns:a="http://schemas.openxmlformats.org/drawingml/2006/main">
          <a:off x="1745573" y="854200"/>
          <a:ext cx="124148" cy="533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0.45938</cdr:x>
      <cdr:y>0.35039</cdr:y>
    </cdr:from>
    <cdr:to>
      <cdr:x>0.50522</cdr:x>
      <cdr:y>0.50664</cdr:y>
    </cdr:to>
    <cdr:sp macro="" textlink="">
      <cdr:nvSpPr>
        <cdr:cNvPr id="4" name="ZoneTexte 3"/>
        <cdr:cNvSpPr txBox="1"/>
      </cdr:nvSpPr>
      <cdr:spPr>
        <a:xfrm xmlns:a="http://schemas.openxmlformats.org/drawingml/2006/main">
          <a:off x="2488255" y="854403"/>
          <a:ext cx="248294" cy="381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0.77491</cdr:x>
      <cdr:y>0.43149</cdr:y>
    </cdr:from>
    <cdr:to>
      <cdr:x>0.82184</cdr:x>
      <cdr:y>0.55997</cdr:y>
    </cdr:to>
    <cdr:sp macro="" textlink="">
      <cdr:nvSpPr>
        <cdr:cNvPr id="5" name="ZoneTexte 4"/>
        <cdr:cNvSpPr txBox="1"/>
      </cdr:nvSpPr>
      <cdr:spPr>
        <a:xfrm xmlns:a="http://schemas.openxmlformats.org/drawingml/2006/main">
          <a:off x="4197350" y="1052145"/>
          <a:ext cx="254187" cy="31328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25.xml><?xml version="1.0" encoding="utf-8"?>
<c:userShapes xmlns:c="http://schemas.openxmlformats.org/drawingml/2006/chart">
  <cdr:relSizeAnchor xmlns:cdr="http://schemas.openxmlformats.org/drawingml/2006/chartDrawing">
    <cdr:from>
      <cdr:x>0.61514</cdr:x>
      <cdr:y>0.37727</cdr:y>
    </cdr:from>
    <cdr:to>
      <cdr:x>0.63845</cdr:x>
      <cdr:y>0.61131</cdr:y>
    </cdr:to>
    <cdr:sp macro="" textlink="">
      <cdr:nvSpPr>
        <cdr:cNvPr id="2" name="ZoneTexte 1"/>
        <cdr:cNvSpPr txBox="1"/>
      </cdr:nvSpPr>
      <cdr:spPr>
        <a:xfrm xmlns:a="http://schemas.openxmlformats.org/drawingml/2006/main">
          <a:off x="3308499" y="910358"/>
          <a:ext cx="125371" cy="5647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0.662</cdr:x>
      <cdr:y>0.4078</cdr:y>
    </cdr:from>
    <cdr:to>
      <cdr:x>0.88578</cdr:x>
      <cdr:y>0.74823</cdr:y>
    </cdr:to>
    <cdr:sp macro="" textlink="">
      <cdr:nvSpPr>
        <cdr:cNvPr id="3" name="ZoneTexte 2"/>
        <cdr:cNvSpPr txBox="1"/>
      </cdr:nvSpPr>
      <cdr:spPr>
        <a:xfrm xmlns:a="http://schemas.openxmlformats.org/drawingml/2006/main">
          <a:off x="2705100" y="10953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0.303</cdr:x>
      <cdr:y>0.47303</cdr:y>
    </cdr:from>
    <cdr:to>
      <cdr:x>0.31699</cdr:x>
      <cdr:y>0.58295</cdr:y>
    </cdr:to>
    <cdr:sp macro="" textlink="">
      <cdr:nvSpPr>
        <cdr:cNvPr id="4" name="ZoneTexte 3"/>
        <cdr:cNvSpPr txBox="1"/>
      </cdr:nvSpPr>
      <cdr:spPr>
        <a:xfrm xmlns:a="http://schemas.openxmlformats.org/drawingml/2006/main">
          <a:off x="1629669" y="1141413"/>
          <a:ext cx="75245" cy="2652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0.44749</cdr:x>
      <cdr:y>0.48269</cdr:y>
    </cdr:from>
    <cdr:to>
      <cdr:x>0.49178</cdr:x>
      <cdr:y>0.62454</cdr:y>
    </cdr:to>
    <cdr:sp macro="" textlink="">
      <cdr:nvSpPr>
        <cdr:cNvPr id="5" name="ZoneTexte 4"/>
        <cdr:cNvSpPr txBox="1"/>
      </cdr:nvSpPr>
      <cdr:spPr>
        <a:xfrm xmlns:a="http://schemas.openxmlformats.org/drawingml/2006/main">
          <a:off x="2406788" y="1164721"/>
          <a:ext cx="238211" cy="3422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0.79</cdr:x>
      <cdr:y>0.46958</cdr:y>
    </cdr:from>
    <cdr:to>
      <cdr:x>0.80119</cdr:x>
      <cdr:y>0.57951</cdr:y>
    </cdr:to>
    <cdr:sp macro="" textlink="">
      <cdr:nvSpPr>
        <cdr:cNvPr id="6" name="ZoneTexte 5"/>
        <cdr:cNvSpPr txBox="1"/>
      </cdr:nvSpPr>
      <cdr:spPr>
        <a:xfrm xmlns:a="http://schemas.openxmlformats.org/drawingml/2006/main">
          <a:off x="4248976" y="1133086"/>
          <a:ext cx="60184" cy="2652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26.xml><?xml version="1.0" encoding="utf-8"?>
<c:userShapes xmlns:c="http://schemas.openxmlformats.org/drawingml/2006/chart">
  <cdr:relSizeAnchor xmlns:cdr="http://schemas.openxmlformats.org/drawingml/2006/chartDrawing">
    <cdr:from>
      <cdr:x>0.6125</cdr:x>
      <cdr:y>0.34375</cdr:y>
    </cdr:from>
    <cdr:to>
      <cdr:x>0.65417</cdr:x>
      <cdr:y>0.44792</cdr:y>
    </cdr:to>
    <cdr:sp macro="" textlink="">
      <cdr:nvSpPr>
        <cdr:cNvPr id="2" name="ZoneTexte 1"/>
        <cdr:cNvSpPr txBox="1"/>
      </cdr:nvSpPr>
      <cdr:spPr>
        <a:xfrm xmlns:a="http://schemas.openxmlformats.org/drawingml/2006/main">
          <a:off x="2800350" y="942975"/>
          <a:ext cx="190500"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0.31409</cdr:x>
      <cdr:y>0.46528</cdr:y>
    </cdr:from>
    <cdr:to>
      <cdr:x>0.32659</cdr:x>
      <cdr:y>0.57292</cdr:y>
    </cdr:to>
    <cdr:sp macro="" textlink="">
      <cdr:nvSpPr>
        <cdr:cNvPr id="3" name="ZoneTexte 2"/>
        <cdr:cNvSpPr txBox="1"/>
      </cdr:nvSpPr>
      <cdr:spPr>
        <a:xfrm xmlns:a="http://schemas.openxmlformats.org/drawingml/2006/main">
          <a:off x="1669393" y="1134539"/>
          <a:ext cx="66437" cy="26246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0.45281</cdr:x>
      <cdr:y>0.45833</cdr:y>
    </cdr:from>
    <cdr:to>
      <cdr:x>0.49582</cdr:x>
      <cdr:y>0.53125</cdr:y>
    </cdr:to>
    <cdr:sp macro="" textlink="">
      <cdr:nvSpPr>
        <cdr:cNvPr id="4" name="ZoneTexte 3"/>
        <cdr:cNvSpPr txBox="1"/>
      </cdr:nvSpPr>
      <cdr:spPr>
        <a:xfrm xmlns:a="http://schemas.openxmlformats.org/drawingml/2006/main">
          <a:off x="2406650" y="1117592"/>
          <a:ext cx="228600" cy="1778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0.78388</cdr:x>
      <cdr:y>0.45833</cdr:y>
    </cdr:from>
    <cdr:to>
      <cdr:x>0.79638</cdr:x>
      <cdr:y>0.54514</cdr:y>
    </cdr:to>
    <cdr:sp macro="" textlink="">
      <cdr:nvSpPr>
        <cdr:cNvPr id="5" name="ZoneTexte 4"/>
        <cdr:cNvSpPr txBox="1"/>
      </cdr:nvSpPr>
      <cdr:spPr>
        <a:xfrm xmlns:a="http://schemas.openxmlformats.org/drawingml/2006/main">
          <a:off x="4166297" y="1117592"/>
          <a:ext cx="66437" cy="2116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27.xml><?xml version="1.0" encoding="utf-8"?>
<c:userShapes xmlns:c="http://schemas.openxmlformats.org/drawingml/2006/chart">
  <cdr:relSizeAnchor xmlns:cdr="http://schemas.openxmlformats.org/drawingml/2006/chartDrawing">
    <cdr:from>
      <cdr:x>0.56501</cdr:x>
      <cdr:y>0.51249</cdr:y>
    </cdr:from>
    <cdr:to>
      <cdr:x>0.57543</cdr:x>
      <cdr:y>0.5993</cdr:y>
    </cdr:to>
    <cdr:sp macro="" textlink="">
      <cdr:nvSpPr>
        <cdr:cNvPr id="3" name="ZoneTexte 2"/>
        <cdr:cNvSpPr txBox="1"/>
      </cdr:nvSpPr>
      <cdr:spPr>
        <a:xfrm xmlns:a="http://schemas.openxmlformats.org/drawingml/2006/main">
          <a:off x="3275687" y="1828920"/>
          <a:ext cx="60411" cy="3097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0.36416</cdr:x>
      <cdr:y>0.48281</cdr:y>
    </cdr:from>
    <cdr:to>
      <cdr:x>0.38082</cdr:x>
      <cdr:y>0.58004</cdr:y>
    </cdr:to>
    <cdr:sp macro="" textlink="">
      <cdr:nvSpPr>
        <cdr:cNvPr id="4" name="ZoneTexte 3"/>
        <cdr:cNvSpPr txBox="1"/>
      </cdr:nvSpPr>
      <cdr:spPr>
        <a:xfrm xmlns:a="http://schemas.openxmlformats.org/drawingml/2006/main">
          <a:off x="2111222" y="1722995"/>
          <a:ext cx="96588" cy="3469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0.16667</cdr:x>
      <cdr:y>0.50347</cdr:y>
    </cdr:from>
    <cdr:to>
      <cdr:x>0.18125</cdr:x>
      <cdr:y>0.60764</cdr:y>
    </cdr:to>
    <cdr:sp macro="" textlink="">
      <cdr:nvSpPr>
        <cdr:cNvPr id="5" name="ZoneTexte 4"/>
        <cdr:cNvSpPr txBox="1"/>
      </cdr:nvSpPr>
      <cdr:spPr>
        <a:xfrm xmlns:a="http://schemas.openxmlformats.org/drawingml/2006/main">
          <a:off x="762000" y="1381125"/>
          <a:ext cx="66675"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0.74145</cdr:x>
      <cdr:y>0.51901</cdr:y>
    </cdr:from>
    <cdr:to>
      <cdr:x>0.78094</cdr:x>
      <cdr:y>0.6548</cdr:y>
    </cdr:to>
    <cdr:sp macro="" textlink="">
      <cdr:nvSpPr>
        <cdr:cNvPr id="6" name="ZoneTexte 5"/>
        <cdr:cNvSpPr txBox="1"/>
      </cdr:nvSpPr>
      <cdr:spPr>
        <a:xfrm xmlns:a="http://schemas.openxmlformats.org/drawingml/2006/main">
          <a:off x="4298586" y="1852174"/>
          <a:ext cx="228964" cy="484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0.24092</cdr:x>
      <cdr:y>0.43645</cdr:y>
    </cdr:from>
    <cdr:to>
      <cdr:x>0.25092</cdr:x>
      <cdr:y>0.58922</cdr:y>
    </cdr:to>
    <cdr:sp macro="" textlink="">
      <cdr:nvSpPr>
        <cdr:cNvPr id="7" name="ZoneTexte 6"/>
        <cdr:cNvSpPr txBox="1"/>
      </cdr:nvSpPr>
      <cdr:spPr>
        <a:xfrm xmlns:a="http://schemas.openxmlformats.org/drawingml/2006/main">
          <a:off x="1396722" y="1557574"/>
          <a:ext cx="57976" cy="5451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0.42634</cdr:x>
      <cdr:y>0.4664</cdr:y>
    </cdr:from>
    <cdr:to>
      <cdr:x>0.44092</cdr:x>
      <cdr:y>0.58098</cdr:y>
    </cdr:to>
    <cdr:sp macro="" textlink="">
      <cdr:nvSpPr>
        <cdr:cNvPr id="8" name="ZoneTexte 7"/>
        <cdr:cNvSpPr txBox="1"/>
      </cdr:nvSpPr>
      <cdr:spPr>
        <a:xfrm xmlns:a="http://schemas.openxmlformats.org/drawingml/2006/main">
          <a:off x="2471704" y="1664454"/>
          <a:ext cx="84528" cy="4089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0.83542</cdr:x>
      <cdr:y>0.42361</cdr:y>
    </cdr:from>
    <cdr:to>
      <cdr:x>0.84542</cdr:x>
      <cdr:y>0.54167</cdr:y>
    </cdr:to>
    <cdr:sp macro="" textlink="">
      <cdr:nvSpPr>
        <cdr:cNvPr id="9" name="ZoneTexte 8"/>
        <cdr:cNvSpPr txBox="1"/>
      </cdr:nvSpPr>
      <cdr:spPr>
        <a:xfrm xmlns:a="http://schemas.openxmlformats.org/drawingml/2006/main">
          <a:off x="3819525" y="1162050"/>
          <a:ext cx="45719"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0.62906</cdr:x>
      <cdr:y>0.51857</cdr:y>
    </cdr:from>
    <cdr:to>
      <cdr:x>0.63906</cdr:x>
      <cdr:y>0.59843</cdr:y>
    </cdr:to>
    <cdr:sp macro="" textlink="">
      <cdr:nvSpPr>
        <cdr:cNvPr id="10" name="ZoneTexte 9"/>
        <cdr:cNvSpPr txBox="1"/>
      </cdr:nvSpPr>
      <cdr:spPr>
        <a:xfrm xmlns:a="http://schemas.openxmlformats.org/drawingml/2006/main">
          <a:off x="3647003" y="1850628"/>
          <a:ext cx="57976" cy="28499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C</a:t>
          </a:r>
        </a:p>
      </cdr:txBody>
    </cdr:sp>
  </cdr:relSizeAnchor>
</c:userShapes>
</file>

<file path=word/drawings/drawing28.xml><?xml version="1.0" encoding="utf-8"?>
<c:userShapes xmlns:c="http://schemas.openxmlformats.org/drawingml/2006/chart">
  <cdr:relSizeAnchor xmlns:cdr="http://schemas.openxmlformats.org/drawingml/2006/chartDrawing">
    <cdr:from>
      <cdr:x>0.13349</cdr:x>
      <cdr:y>0.46163</cdr:y>
    </cdr:from>
    <cdr:to>
      <cdr:x>0.14349</cdr:x>
      <cdr:y>0.55885</cdr:y>
    </cdr:to>
    <cdr:sp macro="" textlink="">
      <cdr:nvSpPr>
        <cdr:cNvPr id="2" name="ZoneTexte 1"/>
        <cdr:cNvSpPr txBox="1"/>
      </cdr:nvSpPr>
      <cdr:spPr>
        <a:xfrm xmlns:a="http://schemas.openxmlformats.org/drawingml/2006/main">
          <a:off x="692944" y="2598632"/>
          <a:ext cx="51911" cy="5472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0.34683</cdr:x>
      <cdr:y>0.53313</cdr:y>
    </cdr:from>
    <cdr:to>
      <cdr:x>0.35683</cdr:x>
      <cdr:y>0.62341</cdr:y>
    </cdr:to>
    <cdr:sp macro="" textlink="">
      <cdr:nvSpPr>
        <cdr:cNvPr id="3" name="ZoneTexte 2"/>
        <cdr:cNvSpPr txBox="1"/>
      </cdr:nvSpPr>
      <cdr:spPr>
        <a:xfrm xmlns:a="http://schemas.openxmlformats.org/drawingml/2006/main">
          <a:off x="1800441" y="3001156"/>
          <a:ext cx="51911" cy="50821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0.55125</cdr:x>
      <cdr:y>0.59179</cdr:y>
    </cdr:from>
    <cdr:to>
      <cdr:x>0.56125</cdr:x>
      <cdr:y>0.6786</cdr:y>
    </cdr:to>
    <cdr:sp macro="" textlink="">
      <cdr:nvSpPr>
        <cdr:cNvPr id="4" name="ZoneTexte 3"/>
        <cdr:cNvSpPr txBox="1"/>
      </cdr:nvSpPr>
      <cdr:spPr>
        <a:xfrm xmlns:a="http://schemas.openxmlformats.org/drawingml/2006/main" flipH="1">
          <a:off x="2861630" y="3331350"/>
          <a:ext cx="51911" cy="4886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0.74935</cdr:x>
      <cdr:y>0.59375</cdr:y>
    </cdr:from>
    <cdr:to>
      <cdr:x>0.78476</cdr:x>
      <cdr:y>0.67708</cdr:y>
    </cdr:to>
    <cdr:sp macro="" textlink="">
      <cdr:nvSpPr>
        <cdr:cNvPr id="5" name="ZoneTexte 4"/>
        <cdr:cNvSpPr txBox="1"/>
      </cdr:nvSpPr>
      <cdr:spPr>
        <a:xfrm xmlns:a="http://schemas.openxmlformats.org/drawingml/2006/main">
          <a:off x="3889988" y="3342382"/>
          <a:ext cx="183817" cy="46908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0.17982</cdr:x>
      <cdr:y>0.76042</cdr:y>
    </cdr:from>
    <cdr:to>
      <cdr:x>0.1945</cdr:x>
      <cdr:y>0.78342</cdr:y>
    </cdr:to>
    <cdr:sp macro="" textlink="">
      <cdr:nvSpPr>
        <cdr:cNvPr id="6" name="ZoneTexte 5"/>
        <cdr:cNvSpPr txBox="1"/>
      </cdr:nvSpPr>
      <cdr:spPr>
        <a:xfrm xmlns:a="http://schemas.openxmlformats.org/drawingml/2006/main">
          <a:off x="933451" y="4280612"/>
          <a:ext cx="76200" cy="12946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AB</a:t>
          </a:r>
        </a:p>
      </cdr:txBody>
    </cdr:sp>
  </cdr:relSizeAnchor>
  <cdr:relSizeAnchor xmlns:cdr="http://schemas.openxmlformats.org/drawingml/2006/chartDrawing">
    <cdr:from>
      <cdr:x>0.39367</cdr:x>
      <cdr:y>0.75837</cdr:y>
    </cdr:from>
    <cdr:to>
      <cdr:x>0.40734</cdr:x>
      <cdr:y>0.79357</cdr:y>
    </cdr:to>
    <cdr:sp macro="" textlink="">
      <cdr:nvSpPr>
        <cdr:cNvPr id="8" name="ZoneTexte 7"/>
        <cdr:cNvSpPr txBox="1"/>
      </cdr:nvSpPr>
      <cdr:spPr>
        <a:xfrm xmlns:a="http://schemas.openxmlformats.org/drawingml/2006/main" flipH="1">
          <a:off x="2043588" y="4269098"/>
          <a:ext cx="70961" cy="19812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0.80417</cdr:x>
      <cdr:y>0.76042</cdr:y>
    </cdr:from>
    <cdr:to>
      <cdr:x>0.81417</cdr:x>
      <cdr:y>0.78819</cdr:y>
    </cdr:to>
    <cdr:sp macro="" textlink="">
      <cdr:nvSpPr>
        <cdr:cNvPr id="9" name="ZoneTexte 8"/>
        <cdr:cNvSpPr txBox="1"/>
      </cdr:nvSpPr>
      <cdr:spPr>
        <a:xfrm xmlns:a="http://schemas.openxmlformats.org/drawingml/2006/main">
          <a:off x="3676650" y="2085975"/>
          <a:ext cx="45719" cy="76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0.58958</cdr:x>
      <cdr:y>0.78125</cdr:y>
    </cdr:from>
    <cdr:to>
      <cdr:x>0.60417</cdr:x>
      <cdr:y>0.79792</cdr:y>
    </cdr:to>
    <cdr:sp macro="" textlink="">
      <cdr:nvSpPr>
        <cdr:cNvPr id="10" name="ZoneTexte 9"/>
        <cdr:cNvSpPr txBox="1"/>
      </cdr:nvSpPr>
      <cdr:spPr>
        <a:xfrm xmlns:a="http://schemas.openxmlformats.org/drawingml/2006/main">
          <a:off x="2695575" y="2143124"/>
          <a:ext cx="66675" cy="457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C</a:t>
          </a:r>
        </a:p>
      </cdr:txBody>
    </cdr:sp>
  </cdr:relSizeAnchor>
  <cdr:relSizeAnchor xmlns:cdr="http://schemas.openxmlformats.org/drawingml/2006/chartDrawing">
    <cdr:from>
      <cdr:x>0.8501</cdr:x>
      <cdr:y>0.70807</cdr:y>
    </cdr:from>
    <cdr:to>
      <cdr:x>0.8601</cdr:x>
      <cdr:y>0.74279</cdr:y>
    </cdr:to>
    <cdr:sp macro="" textlink="">
      <cdr:nvSpPr>
        <cdr:cNvPr id="11" name="ZoneTexte 10"/>
        <cdr:cNvSpPr txBox="1"/>
      </cdr:nvSpPr>
      <cdr:spPr>
        <a:xfrm xmlns:a="http://schemas.openxmlformats.org/drawingml/2006/main">
          <a:off x="4412970" y="3985934"/>
          <a:ext cx="51911" cy="1954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C</a:t>
          </a:r>
        </a:p>
      </cdr:txBody>
    </cdr:sp>
  </cdr:relSizeAnchor>
  <cdr:relSizeAnchor xmlns:cdr="http://schemas.openxmlformats.org/drawingml/2006/chartDrawing">
    <cdr:from>
      <cdr:x>0.22202</cdr:x>
      <cdr:y>0.68403</cdr:y>
    </cdr:from>
    <cdr:to>
      <cdr:x>0.24464</cdr:x>
      <cdr:y>0.75</cdr:y>
    </cdr:to>
    <cdr:sp macro="" textlink="">
      <cdr:nvSpPr>
        <cdr:cNvPr id="12" name="ZoneTexte 11"/>
        <cdr:cNvSpPr txBox="1"/>
      </cdr:nvSpPr>
      <cdr:spPr>
        <a:xfrm xmlns:a="http://schemas.openxmlformats.org/drawingml/2006/main" flipH="1">
          <a:off x="1152525" y="3850593"/>
          <a:ext cx="117416" cy="37136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0.43408</cdr:x>
      <cdr:y>0.70246</cdr:y>
    </cdr:from>
    <cdr:to>
      <cdr:x>0.44408</cdr:x>
      <cdr:y>0.76496</cdr:y>
    </cdr:to>
    <cdr:sp macro="" textlink="">
      <cdr:nvSpPr>
        <cdr:cNvPr id="13" name="ZoneTexte 12"/>
        <cdr:cNvSpPr txBox="1"/>
      </cdr:nvSpPr>
      <cdr:spPr>
        <a:xfrm xmlns:a="http://schemas.openxmlformats.org/drawingml/2006/main">
          <a:off x="2253340" y="3954345"/>
          <a:ext cx="51911" cy="35182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0.63583</cdr:x>
      <cdr:y>0.73059</cdr:y>
    </cdr:from>
    <cdr:to>
      <cdr:x>0.66055</cdr:x>
      <cdr:y>0.77573</cdr:y>
    </cdr:to>
    <cdr:sp macro="" textlink="">
      <cdr:nvSpPr>
        <cdr:cNvPr id="14" name="ZoneTexte 13"/>
        <cdr:cNvSpPr txBox="1"/>
      </cdr:nvSpPr>
      <cdr:spPr>
        <a:xfrm xmlns:a="http://schemas.openxmlformats.org/drawingml/2006/main" flipH="1">
          <a:off x="3300672" y="4112716"/>
          <a:ext cx="128327" cy="25410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0.27049</cdr:x>
      <cdr:y>0.40207</cdr:y>
    </cdr:from>
    <cdr:to>
      <cdr:x>0.28049</cdr:x>
      <cdr:y>0.49582</cdr:y>
    </cdr:to>
    <cdr:sp macro="" textlink="">
      <cdr:nvSpPr>
        <cdr:cNvPr id="15" name="ZoneTexte 14"/>
        <cdr:cNvSpPr txBox="1"/>
      </cdr:nvSpPr>
      <cdr:spPr>
        <a:xfrm xmlns:a="http://schemas.openxmlformats.org/drawingml/2006/main">
          <a:off x="1404126" y="2263378"/>
          <a:ext cx="51912" cy="5277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0.47708</cdr:x>
      <cdr:y>0.35497</cdr:y>
    </cdr:from>
    <cdr:to>
      <cdr:x>0.49792</cdr:x>
      <cdr:y>0.47303</cdr:y>
    </cdr:to>
    <cdr:sp macro="" textlink="">
      <cdr:nvSpPr>
        <cdr:cNvPr id="16" name="ZoneTexte 15"/>
        <cdr:cNvSpPr txBox="1"/>
      </cdr:nvSpPr>
      <cdr:spPr>
        <a:xfrm xmlns:a="http://schemas.openxmlformats.org/drawingml/2006/main">
          <a:off x="2476582" y="1998241"/>
          <a:ext cx="108183" cy="66459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0.69067</cdr:x>
      <cdr:y>0.57997</cdr:y>
    </cdr:from>
    <cdr:to>
      <cdr:x>0.70067</cdr:x>
      <cdr:y>0.66678</cdr:y>
    </cdr:to>
    <cdr:sp macro="" textlink="">
      <cdr:nvSpPr>
        <cdr:cNvPr id="17" name="ZoneTexte 16"/>
        <cdr:cNvSpPr txBox="1"/>
      </cdr:nvSpPr>
      <cdr:spPr>
        <a:xfrm xmlns:a="http://schemas.openxmlformats.org/drawingml/2006/main">
          <a:off x="3585351" y="3264787"/>
          <a:ext cx="51912" cy="4886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C</a:t>
          </a:r>
        </a:p>
      </cdr:txBody>
    </cdr:sp>
  </cdr:relSizeAnchor>
  <cdr:relSizeAnchor xmlns:cdr="http://schemas.openxmlformats.org/drawingml/2006/chartDrawing">
    <cdr:from>
      <cdr:x>0.90411</cdr:x>
      <cdr:y>0.49885</cdr:y>
    </cdr:from>
    <cdr:to>
      <cdr:x>0.92077</cdr:x>
      <cdr:y>0.57524</cdr:y>
    </cdr:to>
    <cdr:sp macro="" textlink="">
      <cdr:nvSpPr>
        <cdr:cNvPr id="18" name="ZoneTexte 17"/>
        <cdr:cNvSpPr txBox="1"/>
      </cdr:nvSpPr>
      <cdr:spPr>
        <a:xfrm xmlns:a="http://schemas.openxmlformats.org/drawingml/2006/main">
          <a:off x="4693362" y="2808182"/>
          <a:ext cx="86484" cy="4300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C</a:t>
          </a:r>
        </a:p>
      </cdr:txBody>
    </cdr:sp>
  </cdr:relSizeAnchor>
</c:userShapes>
</file>

<file path=word/drawings/drawing29.xml><?xml version="1.0" encoding="utf-8"?>
<c:userShapes xmlns:c="http://schemas.openxmlformats.org/drawingml/2006/chart">
  <cdr:relSizeAnchor xmlns:cdr="http://schemas.openxmlformats.org/drawingml/2006/chartDrawing">
    <cdr:from>
      <cdr:x>0.17708</cdr:x>
      <cdr:y>0.42014</cdr:y>
    </cdr:from>
    <cdr:to>
      <cdr:x>0.19792</cdr:x>
      <cdr:y>0.54514</cdr:y>
    </cdr:to>
    <cdr:sp macro="" textlink="">
      <cdr:nvSpPr>
        <cdr:cNvPr id="2" name="ZoneTexte 1"/>
        <cdr:cNvSpPr txBox="1"/>
      </cdr:nvSpPr>
      <cdr:spPr>
        <a:xfrm xmlns:a="http://schemas.openxmlformats.org/drawingml/2006/main">
          <a:off x="809626" y="1152525"/>
          <a:ext cx="9525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0.36875</cdr:x>
      <cdr:y>0.48264</cdr:y>
    </cdr:from>
    <cdr:to>
      <cdr:x>0.38333</cdr:x>
      <cdr:y>0.60764</cdr:y>
    </cdr:to>
    <cdr:sp macro="" textlink="">
      <cdr:nvSpPr>
        <cdr:cNvPr id="3" name="ZoneTexte 2"/>
        <cdr:cNvSpPr txBox="1"/>
      </cdr:nvSpPr>
      <cdr:spPr>
        <a:xfrm xmlns:a="http://schemas.openxmlformats.org/drawingml/2006/main">
          <a:off x="1685925" y="1323976"/>
          <a:ext cx="66675"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0.73542</cdr:x>
      <cdr:y>0.44097</cdr:y>
    </cdr:from>
    <cdr:to>
      <cdr:x>0.76875</cdr:x>
      <cdr:y>0.56597</cdr:y>
    </cdr:to>
    <cdr:sp macro="" textlink="">
      <cdr:nvSpPr>
        <cdr:cNvPr id="4" name="ZoneTexte 3"/>
        <cdr:cNvSpPr txBox="1"/>
      </cdr:nvSpPr>
      <cdr:spPr>
        <a:xfrm xmlns:a="http://schemas.openxmlformats.org/drawingml/2006/main">
          <a:off x="3362325" y="1209675"/>
          <a:ext cx="15240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0.55625</cdr:x>
      <cdr:y>0.48611</cdr:y>
    </cdr:from>
    <cdr:to>
      <cdr:x>0.57708</cdr:x>
      <cdr:y>0.63194</cdr:y>
    </cdr:to>
    <cdr:sp macro="" textlink="">
      <cdr:nvSpPr>
        <cdr:cNvPr id="5" name="ZoneTexte 4"/>
        <cdr:cNvSpPr txBox="1"/>
      </cdr:nvSpPr>
      <cdr:spPr>
        <a:xfrm xmlns:a="http://schemas.openxmlformats.org/drawingml/2006/main">
          <a:off x="2543175" y="1333500"/>
          <a:ext cx="95250" cy="4000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0.23752</cdr:x>
      <cdr:y>0.35245</cdr:y>
    </cdr:from>
    <cdr:to>
      <cdr:x>0.25835</cdr:x>
      <cdr:y>0.46009</cdr:y>
    </cdr:to>
    <cdr:sp macro="" textlink="">
      <cdr:nvSpPr>
        <cdr:cNvPr id="2" name="ZoneTexte 1"/>
        <cdr:cNvSpPr txBox="1"/>
      </cdr:nvSpPr>
      <cdr:spPr>
        <a:xfrm xmlns:a="http://schemas.openxmlformats.org/drawingml/2006/main">
          <a:off x="1283996" y="824730"/>
          <a:ext cx="112603" cy="2518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0.46665</cdr:x>
      <cdr:y>0.36093</cdr:y>
    </cdr:from>
    <cdr:to>
      <cdr:x>0.47915</cdr:x>
      <cdr:y>0.4512</cdr:y>
    </cdr:to>
    <cdr:sp macro="" textlink="">
      <cdr:nvSpPr>
        <cdr:cNvPr id="3" name="ZoneTexte 2"/>
        <cdr:cNvSpPr txBox="1"/>
      </cdr:nvSpPr>
      <cdr:spPr>
        <a:xfrm xmlns:a="http://schemas.openxmlformats.org/drawingml/2006/main">
          <a:off x="2522622" y="844580"/>
          <a:ext cx="67572" cy="2112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0.36254</cdr:x>
      <cdr:y>0.4489</cdr:y>
    </cdr:from>
    <cdr:to>
      <cdr:x>0.37295</cdr:x>
      <cdr:y>0.53224</cdr:y>
    </cdr:to>
    <cdr:sp macro="" textlink="">
      <cdr:nvSpPr>
        <cdr:cNvPr id="4" name="ZoneTexte 3"/>
        <cdr:cNvSpPr txBox="1"/>
      </cdr:nvSpPr>
      <cdr:spPr>
        <a:xfrm xmlns:a="http://schemas.openxmlformats.org/drawingml/2006/main">
          <a:off x="1959797" y="1050420"/>
          <a:ext cx="56275" cy="1950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0.79789</cdr:x>
      <cdr:y>0.46298</cdr:y>
    </cdr:from>
    <cdr:to>
      <cdr:x>0.82289</cdr:x>
      <cdr:y>0.54978</cdr:y>
    </cdr:to>
    <cdr:sp macro="" textlink="">
      <cdr:nvSpPr>
        <cdr:cNvPr id="5" name="ZoneTexte 4"/>
        <cdr:cNvSpPr txBox="1"/>
      </cdr:nvSpPr>
      <cdr:spPr>
        <a:xfrm xmlns:a="http://schemas.openxmlformats.org/drawingml/2006/main">
          <a:off x="4313211" y="1083364"/>
          <a:ext cx="135144" cy="20311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0.58125</cdr:x>
      <cdr:y>0.53125</cdr:y>
    </cdr:from>
    <cdr:to>
      <cdr:x>0.59125</cdr:x>
      <cdr:y>0.59722</cdr:y>
    </cdr:to>
    <cdr:sp macro="" textlink="">
      <cdr:nvSpPr>
        <cdr:cNvPr id="6" name="ZoneTexte 5"/>
        <cdr:cNvSpPr txBox="1"/>
      </cdr:nvSpPr>
      <cdr:spPr>
        <a:xfrm xmlns:a="http://schemas.openxmlformats.org/drawingml/2006/main">
          <a:off x="2657475" y="1457325"/>
          <a:ext cx="45719" cy="180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latin typeface="Times New Roman" pitchFamily="18" charset="0"/>
              <a:cs typeface="Times New Roman" pitchFamily="18" charset="0"/>
            </a:rPr>
            <a:t>C</a:t>
          </a:r>
        </a:p>
      </cdr:txBody>
    </cdr:sp>
  </cdr:relSizeAnchor>
  <cdr:relSizeAnchor xmlns:cdr="http://schemas.openxmlformats.org/drawingml/2006/chartDrawing">
    <cdr:from>
      <cdr:x>0.68121</cdr:x>
      <cdr:y>0.5193</cdr:y>
    </cdr:from>
    <cdr:to>
      <cdr:x>0.70204</cdr:x>
      <cdr:y>0.61652</cdr:y>
    </cdr:to>
    <cdr:sp macro="" textlink="">
      <cdr:nvSpPr>
        <cdr:cNvPr id="7" name="ZoneTexte 6"/>
        <cdr:cNvSpPr txBox="1"/>
      </cdr:nvSpPr>
      <cdr:spPr>
        <a:xfrm xmlns:a="http://schemas.openxmlformats.org/drawingml/2006/main">
          <a:off x="3682439" y="1215155"/>
          <a:ext cx="112602" cy="2274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latin typeface="Times New Roman" pitchFamily="18" charset="0"/>
              <a:cs typeface="Times New Roman" pitchFamily="18" charset="0"/>
            </a:rPr>
            <a:t>C</a:t>
          </a:r>
        </a:p>
      </cdr:txBody>
    </cdr:sp>
  </cdr:relSizeAnchor>
</c:userShapes>
</file>

<file path=word/drawings/drawing30.xml><?xml version="1.0" encoding="utf-8"?>
<c:userShapes xmlns:c="http://schemas.openxmlformats.org/drawingml/2006/chart">
  <cdr:relSizeAnchor xmlns:cdr="http://schemas.openxmlformats.org/drawingml/2006/chartDrawing">
    <cdr:from>
      <cdr:x>0.6125</cdr:x>
      <cdr:y>0.35417</cdr:y>
    </cdr:from>
    <cdr:to>
      <cdr:x>0.6225</cdr:x>
      <cdr:y>0.39931</cdr:y>
    </cdr:to>
    <cdr:sp macro="" textlink="">
      <cdr:nvSpPr>
        <cdr:cNvPr id="2" name="ZoneTexte 1"/>
        <cdr:cNvSpPr txBox="1"/>
      </cdr:nvSpPr>
      <cdr:spPr>
        <a:xfrm xmlns:a="http://schemas.openxmlformats.org/drawingml/2006/main">
          <a:off x="2800350" y="971550"/>
          <a:ext cx="45719" cy="1238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0.60065</cdr:x>
      <cdr:y>0.34375</cdr:y>
    </cdr:from>
    <cdr:to>
      <cdr:x>0.62773</cdr:x>
      <cdr:y>0.47569</cdr:y>
    </cdr:to>
    <cdr:sp macro="" textlink="">
      <cdr:nvSpPr>
        <cdr:cNvPr id="3" name="ZoneTexte 2"/>
        <cdr:cNvSpPr txBox="1"/>
      </cdr:nvSpPr>
      <cdr:spPr>
        <a:xfrm xmlns:a="http://schemas.openxmlformats.org/drawingml/2006/main">
          <a:off x="3333557" y="812006"/>
          <a:ext cx="150291" cy="31166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0.76087</cdr:x>
      <cdr:y>0.38542</cdr:y>
    </cdr:from>
    <cdr:to>
      <cdr:x>0.81458</cdr:x>
      <cdr:y>0.51736</cdr:y>
    </cdr:to>
    <cdr:sp macro="" textlink="">
      <cdr:nvSpPr>
        <cdr:cNvPr id="4" name="ZoneTexte 1"/>
        <cdr:cNvSpPr txBox="1"/>
      </cdr:nvSpPr>
      <cdr:spPr>
        <a:xfrm xmlns:a="http://schemas.openxmlformats.org/drawingml/2006/main">
          <a:off x="4222750" y="910439"/>
          <a:ext cx="298088" cy="3116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t>A</a:t>
          </a:r>
        </a:p>
      </cdr:txBody>
    </cdr:sp>
  </cdr:relSizeAnchor>
  <cdr:relSizeAnchor xmlns:cdr="http://schemas.openxmlformats.org/drawingml/2006/chartDrawing">
    <cdr:from>
      <cdr:x>0.25741</cdr:x>
      <cdr:y>0.47293</cdr:y>
    </cdr:from>
    <cdr:to>
      <cdr:x>0.33244</cdr:x>
      <cdr:y>0.60488</cdr:y>
    </cdr:to>
    <cdr:sp macro="" textlink="">
      <cdr:nvSpPr>
        <cdr:cNvPr id="5" name="ZoneTexte 1"/>
        <cdr:cNvSpPr txBox="1"/>
      </cdr:nvSpPr>
      <cdr:spPr>
        <a:xfrm xmlns:a="http://schemas.openxmlformats.org/drawingml/2006/main">
          <a:off x="1389434" y="1533355"/>
          <a:ext cx="404997" cy="4278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t>B</a:t>
          </a:r>
        </a:p>
      </cdr:txBody>
    </cdr:sp>
  </cdr:relSizeAnchor>
  <cdr:relSizeAnchor xmlns:cdr="http://schemas.openxmlformats.org/drawingml/2006/chartDrawing">
    <cdr:from>
      <cdr:x>0.42852</cdr:x>
      <cdr:y>0.53844</cdr:y>
    </cdr:from>
    <cdr:to>
      <cdr:x>0.48686</cdr:x>
      <cdr:y>0.67038</cdr:y>
    </cdr:to>
    <cdr:sp macro="" textlink="">
      <cdr:nvSpPr>
        <cdr:cNvPr id="6" name="ZoneTexte 1"/>
        <cdr:cNvSpPr txBox="1"/>
      </cdr:nvSpPr>
      <cdr:spPr>
        <a:xfrm xmlns:a="http://schemas.openxmlformats.org/drawingml/2006/main">
          <a:off x="2313043" y="1745772"/>
          <a:ext cx="314907" cy="4277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t>B</a:t>
          </a:r>
        </a:p>
      </cdr:txBody>
    </cdr:sp>
  </cdr:relSizeAnchor>
</c:userShapes>
</file>

<file path=word/drawings/drawing31.xml><?xml version="1.0" encoding="utf-8"?>
<c:userShapes xmlns:c="http://schemas.openxmlformats.org/drawingml/2006/chart">
  <cdr:relSizeAnchor xmlns:cdr="http://schemas.openxmlformats.org/drawingml/2006/chartDrawing">
    <cdr:from>
      <cdr:x>0.47409</cdr:x>
      <cdr:y>0.35977</cdr:y>
    </cdr:from>
    <cdr:to>
      <cdr:x>0.52733</cdr:x>
      <cdr:y>0.45794</cdr:y>
    </cdr:to>
    <cdr:sp macro="" textlink="">
      <cdr:nvSpPr>
        <cdr:cNvPr id="2" name="ZoneTexte 14"/>
        <cdr:cNvSpPr txBox="1"/>
      </cdr:nvSpPr>
      <cdr:spPr>
        <a:xfrm xmlns:a="http://schemas.openxmlformats.org/drawingml/2006/main">
          <a:off x="2560837" y="842952"/>
          <a:ext cx="287582" cy="230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Times New Roman"/>
            </a:defRPr>
          </a:lvl1pPr>
          <a:lvl2pPr marL="457200" indent="0">
            <a:defRPr sz="1100">
              <a:solidFill>
                <a:sysClr val="windowText" lastClr="000000"/>
              </a:solidFill>
              <a:latin typeface="Times New Roman"/>
            </a:defRPr>
          </a:lvl2pPr>
          <a:lvl3pPr marL="914400" indent="0">
            <a:defRPr sz="1100">
              <a:solidFill>
                <a:sysClr val="windowText" lastClr="000000"/>
              </a:solidFill>
              <a:latin typeface="Times New Roman"/>
            </a:defRPr>
          </a:lvl3pPr>
          <a:lvl4pPr marL="1371600" indent="0">
            <a:defRPr sz="1100">
              <a:solidFill>
                <a:sysClr val="windowText" lastClr="000000"/>
              </a:solidFill>
              <a:latin typeface="Times New Roman"/>
            </a:defRPr>
          </a:lvl4pPr>
          <a:lvl5pPr marL="1828800" indent="0">
            <a:defRPr sz="1100">
              <a:solidFill>
                <a:sysClr val="windowText" lastClr="000000"/>
              </a:solidFill>
              <a:latin typeface="Times New Roman"/>
            </a:defRPr>
          </a:lvl5pPr>
          <a:lvl6pPr marL="2286000" indent="0">
            <a:defRPr sz="1100">
              <a:solidFill>
                <a:sysClr val="windowText" lastClr="000000"/>
              </a:solidFill>
              <a:latin typeface="Times New Roman"/>
            </a:defRPr>
          </a:lvl6pPr>
          <a:lvl7pPr marL="2743200" indent="0">
            <a:defRPr sz="1100">
              <a:solidFill>
                <a:sysClr val="windowText" lastClr="000000"/>
              </a:solidFill>
              <a:latin typeface="Times New Roman"/>
            </a:defRPr>
          </a:lvl7pPr>
          <a:lvl8pPr marL="3200400" indent="0">
            <a:defRPr sz="1100">
              <a:solidFill>
                <a:sysClr val="windowText" lastClr="000000"/>
              </a:solidFill>
              <a:latin typeface="Times New Roman"/>
            </a:defRPr>
          </a:lvl8pPr>
          <a:lvl9pPr marL="3657600" indent="0">
            <a:defRPr sz="1100">
              <a:solidFill>
                <a:sysClr val="windowText" lastClr="000000"/>
              </a:solidFill>
              <a:latin typeface="Times New Roman"/>
            </a:defRPr>
          </a:lvl9pPr>
        </a:lstStyle>
        <a:p xmlns:a="http://schemas.openxmlformats.org/drawingml/2006/main">
          <a:r>
            <a:rPr lang="fr-FR" sz="1200"/>
            <a:t>A</a:t>
          </a:r>
        </a:p>
      </cdr:txBody>
    </cdr:sp>
  </cdr:relSizeAnchor>
  <cdr:relSizeAnchor xmlns:cdr="http://schemas.openxmlformats.org/drawingml/2006/chartDrawing">
    <cdr:from>
      <cdr:x>0.62339</cdr:x>
      <cdr:y>0.43749</cdr:y>
    </cdr:from>
    <cdr:to>
      <cdr:x>0.6751</cdr:x>
      <cdr:y>0.53566</cdr:y>
    </cdr:to>
    <cdr:sp macro="" textlink="">
      <cdr:nvSpPr>
        <cdr:cNvPr id="3" name="ZoneTexte 14"/>
        <cdr:cNvSpPr txBox="1"/>
      </cdr:nvSpPr>
      <cdr:spPr>
        <a:xfrm xmlns:a="http://schemas.openxmlformats.org/drawingml/2006/main">
          <a:off x="3367286" y="1025068"/>
          <a:ext cx="279317" cy="230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Times New Roman"/>
            </a:defRPr>
          </a:lvl1pPr>
          <a:lvl2pPr marL="457200" indent="0">
            <a:defRPr sz="1100">
              <a:solidFill>
                <a:sysClr val="windowText" lastClr="000000"/>
              </a:solidFill>
              <a:latin typeface="Times New Roman"/>
            </a:defRPr>
          </a:lvl2pPr>
          <a:lvl3pPr marL="914400" indent="0">
            <a:defRPr sz="1100">
              <a:solidFill>
                <a:sysClr val="windowText" lastClr="000000"/>
              </a:solidFill>
              <a:latin typeface="Times New Roman"/>
            </a:defRPr>
          </a:lvl3pPr>
          <a:lvl4pPr marL="1371600" indent="0">
            <a:defRPr sz="1100">
              <a:solidFill>
                <a:sysClr val="windowText" lastClr="000000"/>
              </a:solidFill>
              <a:latin typeface="Times New Roman"/>
            </a:defRPr>
          </a:lvl4pPr>
          <a:lvl5pPr marL="1828800" indent="0">
            <a:defRPr sz="1100">
              <a:solidFill>
                <a:sysClr val="windowText" lastClr="000000"/>
              </a:solidFill>
              <a:latin typeface="Times New Roman"/>
            </a:defRPr>
          </a:lvl5pPr>
          <a:lvl6pPr marL="2286000" indent="0">
            <a:defRPr sz="1100">
              <a:solidFill>
                <a:sysClr val="windowText" lastClr="000000"/>
              </a:solidFill>
              <a:latin typeface="Times New Roman"/>
            </a:defRPr>
          </a:lvl6pPr>
          <a:lvl7pPr marL="2743200" indent="0">
            <a:defRPr sz="1100">
              <a:solidFill>
                <a:sysClr val="windowText" lastClr="000000"/>
              </a:solidFill>
              <a:latin typeface="Times New Roman"/>
            </a:defRPr>
          </a:lvl7pPr>
          <a:lvl8pPr marL="3200400" indent="0">
            <a:defRPr sz="1100">
              <a:solidFill>
                <a:sysClr val="windowText" lastClr="000000"/>
              </a:solidFill>
              <a:latin typeface="Times New Roman"/>
            </a:defRPr>
          </a:lvl8pPr>
          <a:lvl9pPr marL="3657600" indent="0">
            <a:defRPr sz="1100">
              <a:solidFill>
                <a:sysClr val="windowText" lastClr="000000"/>
              </a:solidFill>
              <a:latin typeface="Times New Roman"/>
            </a:defRPr>
          </a:lvl9pPr>
        </a:lstStyle>
        <a:p xmlns:a="http://schemas.openxmlformats.org/drawingml/2006/main">
          <a:r>
            <a:rPr lang="fr-FR" sz="1200"/>
            <a:t>B</a:t>
          </a:r>
        </a:p>
      </cdr:txBody>
    </cdr:sp>
  </cdr:relSizeAnchor>
  <cdr:relSizeAnchor xmlns:cdr="http://schemas.openxmlformats.org/drawingml/2006/chartDrawing">
    <cdr:from>
      <cdr:x>0.76133</cdr:x>
      <cdr:y>0.59909</cdr:y>
    </cdr:from>
    <cdr:to>
      <cdr:x>0.81456</cdr:x>
      <cdr:y>0.69726</cdr:y>
    </cdr:to>
    <cdr:sp macro="" textlink="">
      <cdr:nvSpPr>
        <cdr:cNvPr id="4" name="ZoneTexte 14"/>
        <cdr:cNvSpPr txBox="1"/>
      </cdr:nvSpPr>
      <cdr:spPr>
        <a:xfrm xmlns:a="http://schemas.openxmlformats.org/drawingml/2006/main">
          <a:off x="4109516" y="1401873"/>
          <a:ext cx="287325" cy="22971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Times New Roman"/>
            </a:defRPr>
          </a:lvl1pPr>
          <a:lvl2pPr marL="457200" indent="0">
            <a:defRPr sz="1100">
              <a:solidFill>
                <a:sysClr val="windowText" lastClr="000000"/>
              </a:solidFill>
              <a:latin typeface="Times New Roman"/>
            </a:defRPr>
          </a:lvl2pPr>
          <a:lvl3pPr marL="914400" indent="0">
            <a:defRPr sz="1100">
              <a:solidFill>
                <a:sysClr val="windowText" lastClr="000000"/>
              </a:solidFill>
              <a:latin typeface="Times New Roman"/>
            </a:defRPr>
          </a:lvl3pPr>
          <a:lvl4pPr marL="1371600" indent="0">
            <a:defRPr sz="1100">
              <a:solidFill>
                <a:sysClr val="windowText" lastClr="000000"/>
              </a:solidFill>
              <a:latin typeface="Times New Roman"/>
            </a:defRPr>
          </a:lvl4pPr>
          <a:lvl5pPr marL="1828800" indent="0">
            <a:defRPr sz="1100">
              <a:solidFill>
                <a:sysClr val="windowText" lastClr="000000"/>
              </a:solidFill>
              <a:latin typeface="Times New Roman"/>
            </a:defRPr>
          </a:lvl5pPr>
          <a:lvl6pPr marL="2286000" indent="0">
            <a:defRPr sz="1100">
              <a:solidFill>
                <a:sysClr val="windowText" lastClr="000000"/>
              </a:solidFill>
              <a:latin typeface="Times New Roman"/>
            </a:defRPr>
          </a:lvl6pPr>
          <a:lvl7pPr marL="2743200" indent="0">
            <a:defRPr sz="1100">
              <a:solidFill>
                <a:sysClr val="windowText" lastClr="000000"/>
              </a:solidFill>
              <a:latin typeface="Times New Roman"/>
            </a:defRPr>
          </a:lvl7pPr>
          <a:lvl8pPr marL="3200400" indent="0">
            <a:defRPr sz="1100">
              <a:solidFill>
                <a:sysClr val="windowText" lastClr="000000"/>
              </a:solidFill>
              <a:latin typeface="Times New Roman"/>
            </a:defRPr>
          </a:lvl8pPr>
          <a:lvl9pPr marL="3657600" indent="0">
            <a:defRPr sz="1100">
              <a:solidFill>
                <a:sysClr val="windowText" lastClr="000000"/>
              </a:solidFill>
              <a:latin typeface="Times New Roman"/>
            </a:defRPr>
          </a:lvl9pPr>
        </a:lstStyle>
        <a:p xmlns:a="http://schemas.openxmlformats.org/drawingml/2006/main">
          <a:r>
            <a:rPr lang="fr-FR" sz="1200"/>
            <a:t>D</a:t>
          </a:r>
        </a:p>
      </cdr:txBody>
    </cdr:sp>
  </cdr:relSizeAnchor>
  <cdr:relSizeAnchor xmlns:cdr="http://schemas.openxmlformats.org/drawingml/2006/chartDrawing">
    <cdr:from>
      <cdr:x>0.31507</cdr:x>
      <cdr:y>0.56143</cdr:y>
    </cdr:from>
    <cdr:to>
      <cdr:x>0.36678</cdr:x>
      <cdr:y>0.6596</cdr:y>
    </cdr:to>
    <cdr:sp macro="" textlink="">
      <cdr:nvSpPr>
        <cdr:cNvPr id="5" name="ZoneTexte 14"/>
        <cdr:cNvSpPr txBox="1"/>
      </cdr:nvSpPr>
      <cdr:spPr>
        <a:xfrm xmlns:a="http://schemas.openxmlformats.org/drawingml/2006/main">
          <a:off x="1701864" y="1315474"/>
          <a:ext cx="279317" cy="230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fr-FR" sz="1200">
              <a:latin typeface="Times New Roman" pitchFamily="18" charset="0"/>
              <a:cs typeface="Times New Roman" pitchFamily="18" charset="0"/>
            </a:rPr>
            <a:t>C</a:t>
          </a:r>
        </a:p>
      </cdr:txBody>
    </cdr:sp>
  </cdr:relSizeAnchor>
</c:userShapes>
</file>

<file path=word/drawings/drawing32.xml><?xml version="1.0" encoding="utf-8"?>
<c:userShapes xmlns:c="http://schemas.openxmlformats.org/drawingml/2006/chart">
  <cdr:relSizeAnchor xmlns:cdr="http://schemas.openxmlformats.org/drawingml/2006/chartDrawing">
    <cdr:from>
      <cdr:x>0.47211</cdr:x>
      <cdr:y>0.38194</cdr:y>
    </cdr:from>
    <cdr:to>
      <cdr:x>0.50294</cdr:x>
      <cdr:y>0.48611</cdr:y>
    </cdr:to>
    <cdr:sp macro="" textlink="">
      <cdr:nvSpPr>
        <cdr:cNvPr id="2" name="ZoneTexte 1"/>
        <cdr:cNvSpPr txBox="1"/>
      </cdr:nvSpPr>
      <cdr:spPr>
        <a:xfrm xmlns:a="http://schemas.openxmlformats.org/drawingml/2006/main">
          <a:off x="2549396" y="892555"/>
          <a:ext cx="166482" cy="2434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0.63183</cdr:x>
      <cdr:y>0.38457</cdr:y>
    </cdr:from>
    <cdr:to>
      <cdr:x>0.65683</cdr:x>
      <cdr:y>0.4436</cdr:y>
    </cdr:to>
    <cdr:sp macro="" textlink="">
      <cdr:nvSpPr>
        <cdr:cNvPr id="3" name="ZoneTexte 2"/>
        <cdr:cNvSpPr txBox="1"/>
      </cdr:nvSpPr>
      <cdr:spPr>
        <a:xfrm xmlns:a="http://schemas.openxmlformats.org/drawingml/2006/main">
          <a:off x="3411858" y="898698"/>
          <a:ext cx="135000" cy="1379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0.33054</cdr:x>
      <cdr:y>0.46567</cdr:y>
    </cdr:from>
    <cdr:to>
      <cdr:x>0.34054</cdr:x>
      <cdr:y>0.53859</cdr:y>
    </cdr:to>
    <cdr:sp macro="" textlink="">
      <cdr:nvSpPr>
        <cdr:cNvPr id="4" name="ZoneTexte 3"/>
        <cdr:cNvSpPr txBox="1"/>
      </cdr:nvSpPr>
      <cdr:spPr>
        <a:xfrm xmlns:a="http://schemas.openxmlformats.org/drawingml/2006/main">
          <a:off x="1910035" y="1011300"/>
          <a:ext cx="57785" cy="1583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0.75036</cdr:x>
      <cdr:y>0.55738</cdr:y>
    </cdr:from>
    <cdr:to>
      <cdr:x>0.78536</cdr:x>
      <cdr:y>0.58863</cdr:y>
    </cdr:to>
    <cdr:sp macro="" textlink="">
      <cdr:nvSpPr>
        <cdr:cNvPr id="5" name="ZoneTexte 4"/>
        <cdr:cNvSpPr txBox="1"/>
      </cdr:nvSpPr>
      <cdr:spPr>
        <a:xfrm xmlns:a="http://schemas.openxmlformats.org/drawingml/2006/main">
          <a:off x="4335972" y="1210456"/>
          <a:ext cx="202248" cy="678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userShapes>
</file>

<file path=word/drawings/drawing33.xml><?xml version="1.0" encoding="utf-8"?>
<c:userShapes xmlns:c="http://schemas.openxmlformats.org/drawingml/2006/chart">
  <cdr:relSizeAnchor xmlns:cdr="http://schemas.openxmlformats.org/drawingml/2006/chartDrawing">
    <cdr:from>
      <cdr:x>0.49251</cdr:x>
      <cdr:y>0.37847</cdr:y>
    </cdr:from>
    <cdr:to>
      <cdr:x>0.53385</cdr:x>
      <cdr:y>0.49653</cdr:y>
    </cdr:to>
    <cdr:sp macro="" textlink="">
      <cdr:nvSpPr>
        <cdr:cNvPr id="2" name="ZoneTexte 1"/>
        <cdr:cNvSpPr txBox="1"/>
      </cdr:nvSpPr>
      <cdr:spPr>
        <a:xfrm xmlns:a="http://schemas.openxmlformats.org/drawingml/2006/main">
          <a:off x="2660355" y="886778"/>
          <a:ext cx="223284" cy="27662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A</a:t>
          </a:r>
        </a:p>
      </cdr:txBody>
    </cdr:sp>
  </cdr:relSizeAnchor>
  <cdr:relSizeAnchor xmlns:cdr="http://schemas.openxmlformats.org/drawingml/2006/chartDrawing">
    <cdr:from>
      <cdr:x>0.65407</cdr:x>
      <cdr:y>0.45486</cdr:y>
    </cdr:from>
    <cdr:to>
      <cdr:x>0.66407</cdr:x>
      <cdr:y>0.56597</cdr:y>
    </cdr:to>
    <cdr:sp macro="" textlink="">
      <cdr:nvSpPr>
        <cdr:cNvPr id="3" name="ZoneTexte 2"/>
        <cdr:cNvSpPr txBox="1"/>
      </cdr:nvSpPr>
      <cdr:spPr>
        <a:xfrm xmlns:a="http://schemas.openxmlformats.org/drawingml/2006/main">
          <a:off x="3533030" y="1065764"/>
          <a:ext cx="54016" cy="26033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B</a:t>
          </a:r>
        </a:p>
      </cdr:txBody>
    </cdr:sp>
  </cdr:relSizeAnchor>
  <cdr:relSizeAnchor xmlns:cdr="http://schemas.openxmlformats.org/drawingml/2006/chartDrawing">
    <cdr:from>
      <cdr:x>0.33627</cdr:x>
      <cdr:y>0.55839</cdr:y>
    </cdr:from>
    <cdr:to>
      <cdr:x>0.3796</cdr:x>
      <cdr:y>0.61048</cdr:y>
    </cdr:to>
    <cdr:sp macro="" textlink="">
      <cdr:nvSpPr>
        <cdr:cNvPr id="4" name="ZoneTexte 3"/>
        <cdr:cNvSpPr txBox="1"/>
      </cdr:nvSpPr>
      <cdr:spPr>
        <a:xfrm xmlns:a="http://schemas.openxmlformats.org/drawingml/2006/main">
          <a:off x="1816409" y="1308351"/>
          <a:ext cx="234052" cy="1220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latin typeface="Times New Roman" pitchFamily="18" charset="0"/>
              <a:cs typeface="Times New Roman" pitchFamily="18" charset="0"/>
            </a:rPr>
            <a:t>C</a:t>
          </a:r>
        </a:p>
      </cdr:txBody>
    </cdr:sp>
  </cdr:relSizeAnchor>
  <cdr:relSizeAnchor xmlns:cdr="http://schemas.openxmlformats.org/drawingml/2006/chartDrawing">
    <cdr:from>
      <cdr:x>0.78136</cdr:x>
      <cdr:y>0.59598</cdr:y>
    </cdr:from>
    <cdr:to>
      <cdr:x>0.8247</cdr:x>
      <cdr:y>0.64806</cdr:y>
    </cdr:to>
    <cdr:sp macro="" textlink="">
      <cdr:nvSpPr>
        <cdr:cNvPr id="5" name="ZoneTexte 1"/>
        <cdr:cNvSpPr txBox="1"/>
      </cdr:nvSpPr>
      <cdr:spPr>
        <a:xfrm xmlns:a="http://schemas.openxmlformats.org/drawingml/2006/main">
          <a:off x="4220609" y="1396414"/>
          <a:ext cx="234106" cy="1220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imes New Roman"/>
            </a:defRPr>
          </a:lvl1pPr>
          <a:lvl2pPr marL="457200" indent="0">
            <a:defRPr sz="1100">
              <a:latin typeface="Times New Roman"/>
            </a:defRPr>
          </a:lvl2pPr>
          <a:lvl3pPr marL="914400" indent="0">
            <a:defRPr sz="1100">
              <a:latin typeface="Times New Roman"/>
            </a:defRPr>
          </a:lvl3pPr>
          <a:lvl4pPr marL="1371600" indent="0">
            <a:defRPr sz="1100">
              <a:latin typeface="Times New Roman"/>
            </a:defRPr>
          </a:lvl4pPr>
          <a:lvl5pPr marL="1828800" indent="0">
            <a:defRPr sz="1100">
              <a:latin typeface="Times New Roman"/>
            </a:defRPr>
          </a:lvl5pPr>
          <a:lvl6pPr marL="2286000" indent="0">
            <a:defRPr sz="1100">
              <a:latin typeface="Times New Roman"/>
            </a:defRPr>
          </a:lvl6pPr>
          <a:lvl7pPr marL="2743200" indent="0">
            <a:defRPr sz="1100">
              <a:latin typeface="Times New Roman"/>
            </a:defRPr>
          </a:lvl7pPr>
          <a:lvl8pPr marL="3200400" indent="0">
            <a:defRPr sz="1100">
              <a:latin typeface="Times New Roman"/>
            </a:defRPr>
          </a:lvl8pPr>
          <a:lvl9pPr marL="3657600" indent="0">
            <a:defRPr sz="1100">
              <a:latin typeface="Times New Roman"/>
            </a:defRPr>
          </a:lvl9pPr>
        </a:lstStyle>
        <a:p xmlns:a="http://schemas.openxmlformats.org/drawingml/2006/main">
          <a:r>
            <a:rPr lang="fr-FR" sz="1200">
              <a:latin typeface="Times New Roman" pitchFamily="18" charset="0"/>
              <a:cs typeface="Times New Roman" pitchFamily="18" charset="0"/>
            </a:rPr>
            <a:t>C</a:t>
          </a:r>
        </a:p>
      </cdr:txBody>
    </cdr:sp>
  </cdr:relSizeAnchor>
</c:userShapes>
</file>

<file path=word/drawings/drawing34.xml><?xml version="1.0" encoding="utf-8"?>
<c:userShapes xmlns:c="http://schemas.openxmlformats.org/drawingml/2006/chart">
  <cdr:relSizeAnchor xmlns:cdr="http://schemas.openxmlformats.org/drawingml/2006/chartDrawing">
    <cdr:from>
      <cdr:x>0.22902</cdr:x>
      <cdr:y>0.3937</cdr:y>
    </cdr:from>
    <cdr:to>
      <cdr:x>0.25524</cdr:x>
      <cdr:y>0.50394</cdr:y>
    </cdr:to>
    <cdr:sp macro="" textlink="">
      <cdr:nvSpPr>
        <cdr:cNvPr id="2" name="ZoneTexte 1"/>
        <cdr:cNvSpPr txBox="1"/>
      </cdr:nvSpPr>
      <cdr:spPr>
        <a:xfrm xmlns:a="http://schemas.openxmlformats.org/drawingml/2006/main">
          <a:off x="1247775" y="952500"/>
          <a:ext cx="142875"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0.40385</cdr:x>
      <cdr:y>0.41732</cdr:y>
    </cdr:from>
    <cdr:to>
      <cdr:x>0.42308</cdr:x>
      <cdr:y>0.52756</cdr:y>
    </cdr:to>
    <cdr:sp macro="" textlink="">
      <cdr:nvSpPr>
        <cdr:cNvPr id="3" name="ZoneTexte 2"/>
        <cdr:cNvSpPr txBox="1"/>
      </cdr:nvSpPr>
      <cdr:spPr>
        <a:xfrm xmlns:a="http://schemas.openxmlformats.org/drawingml/2006/main">
          <a:off x="2200275" y="1009650"/>
          <a:ext cx="104775"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0.57168</cdr:x>
      <cdr:y>0.37795</cdr:y>
    </cdr:from>
    <cdr:to>
      <cdr:x>0.58217</cdr:x>
      <cdr:y>0.50394</cdr:y>
    </cdr:to>
    <cdr:sp macro="" textlink="">
      <cdr:nvSpPr>
        <cdr:cNvPr id="4" name="ZoneTexte 3"/>
        <cdr:cNvSpPr txBox="1"/>
      </cdr:nvSpPr>
      <cdr:spPr>
        <a:xfrm xmlns:a="http://schemas.openxmlformats.org/drawingml/2006/main">
          <a:off x="3114675" y="914400"/>
          <a:ext cx="5715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0.75874</cdr:x>
      <cdr:y>0.45276</cdr:y>
    </cdr:from>
    <cdr:to>
      <cdr:x>0.76713</cdr:x>
      <cdr:y>0.59055</cdr:y>
    </cdr:to>
    <cdr:sp macro="" textlink="">
      <cdr:nvSpPr>
        <cdr:cNvPr id="5" name="ZoneTexte 4"/>
        <cdr:cNvSpPr txBox="1"/>
      </cdr:nvSpPr>
      <cdr:spPr>
        <a:xfrm xmlns:a="http://schemas.openxmlformats.org/drawingml/2006/main">
          <a:off x="4133850" y="1095375"/>
          <a:ext cx="45719" cy="333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35.xml><?xml version="1.0" encoding="utf-8"?>
<c:userShapes xmlns:c="http://schemas.openxmlformats.org/drawingml/2006/chart">
  <cdr:relSizeAnchor xmlns:cdr="http://schemas.openxmlformats.org/drawingml/2006/chartDrawing">
    <cdr:from>
      <cdr:x>0.85599</cdr:x>
      <cdr:y>0.41389</cdr:y>
    </cdr:from>
    <cdr:to>
      <cdr:x>0.86849</cdr:x>
      <cdr:y>0.55972</cdr:y>
    </cdr:to>
    <cdr:sp macro="" textlink="">
      <cdr:nvSpPr>
        <cdr:cNvPr id="2" name="ZoneTexte 1"/>
        <cdr:cNvSpPr txBox="1"/>
      </cdr:nvSpPr>
      <cdr:spPr>
        <a:xfrm xmlns:a="http://schemas.openxmlformats.org/drawingml/2006/main">
          <a:off x="4636487" y="1261537"/>
          <a:ext cx="67707" cy="4444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0.29375</cdr:x>
      <cdr:y>0.41319</cdr:y>
    </cdr:from>
    <cdr:to>
      <cdr:x>0.30625</cdr:x>
      <cdr:y>0.53819</cdr:y>
    </cdr:to>
    <cdr:sp macro="" textlink="">
      <cdr:nvSpPr>
        <cdr:cNvPr id="3" name="ZoneTexte 2"/>
        <cdr:cNvSpPr txBox="1"/>
      </cdr:nvSpPr>
      <cdr:spPr>
        <a:xfrm xmlns:a="http://schemas.openxmlformats.org/drawingml/2006/main">
          <a:off x="1343025" y="1133475"/>
          <a:ext cx="5715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0.47708</cdr:x>
      <cdr:y>0.42708</cdr:y>
    </cdr:from>
    <cdr:to>
      <cdr:x>0.48708</cdr:x>
      <cdr:y>0.55556</cdr:y>
    </cdr:to>
    <cdr:sp macro="" textlink="">
      <cdr:nvSpPr>
        <cdr:cNvPr id="4" name="ZoneTexte 3"/>
        <cdr:cNvSpPr txBox="1"/>
      </cdr:nvSpPr>
      <cdr:spPr>
        <a:xfrm xmlns:a="http://schemas.openxmlformats.org/drawingml/2006/main">
          <a:off x="2181225" y="1171575"/>
          <a:ext cx="45719" cy="3524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0.66042</cdr:x>
      <cdr:y>0.4375</cdr:y>
    </cdr:from>
    <cdr:to>
      <cdr:x>0.68333</cdr:x>
      <cdr:y>0.53819</cdr:y>
    </cdr:to>
    <cdr:sp macro="" textlink="">
      <cdr:nvSpPr>
        <cdr:cNvPr id="5" name="ZoneTexte 4"/>
        <cdr:cNvSpPr txBox="1"/>
      </cdr:nvSpPr>
      <cdr:spPr>
        <a:xfrm xmlns:a="http://schemas.openxmlformats.org/drawingml/2006/main">
          <a:off x="3019425" y="1200150"/>
          <a:ext cx="10477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36.xml><?xml version="1.0" encoding="utf-8"?>
<c:userShapes xmlns:c="http://schemas.openxmlformats.org/drawingml/2006/chart">
  <cdr:relSizeAnchor xmlns:cdr="http://schemas.openxmlformats.org/drawingml/2006/chartDrawing">
    <cdr:from>
      <cdr:x>0.37708</cdr:x>
      <cdr:y>0.5625</cdr:y>
    </cdr:from>
    <cdr:to>
      <cdr:x>0.38708</cdr:x>
      <cdr:y>0.64583</cdr:y>
    </cdr:to>
    <cdr:sp macro="" textlink="">
      <cdr:nvSpPr>
        <cdr:cNvPr id="2" name="ZoneTexte 1"/>
        <cdr:cNvSpPr txBox="1"/>
      </cdr:nvSpPr>
      <cdr:spPr>
        <a:xfrm xmlns:a="http://schemas.openxmlformats.org/drawingml/2006/main">
          <a:off x="1724025" y="1543050"/>
          <a:ext cx="45719"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0.7737</cdr:x>
      <cdr:y>0.59952</cdr:y>
    </cdr:from>
    <cdr:to>
      <cdr:x>0.78898</cdr:x>
      <cdr:y>0.67669</cdr:y>
    </cdr:to>
    <cdr:sp macro="" textlink="">
      <cdr:nvSpPr>
        <cdr:cNvPr id="3" name="ZoneTexte 2"/>
        <cdr:cNvSpPr txBox="1"/>
      </cdr:nvSpPr>
      <cdr:spPr>
        <a:xfrm xmlns:a="http://schemas.openxmlformats.org/drawingml/2006/main">
          <a:off x="4190767" y="2025282"/>
          <a:ext cx="82783" cy="26071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0.175</cdr:x>
      <cdr:y>0.62153</cdr:y>
    </cdr:from>
    <cdr:to>
      <cdr:x>0.185</cdr:x>
      <cdr:y>0.65278</cdr:y>
    </cdr:to>
    <cdr:sp macro="" textlink="">
      <cdr:nvSpPr>
        <cdr:cNvPr id="4" name="ZoneTexte 3"/>
        <cdr:cNvSpPr txBox="1"/>
      </cdr:nvSpPr>
      <cdr:spPr>
        <a:xfrm xmlns:a="http://schemas.openxmlformats.org/drawingml/2006/main">
          <a:off x="800100" y="1704975"/>
          <a:ext cx="45719" cy="857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0.57708</cdr:x>
      <cdr:y>0.61111</cdr:y>
    </cdr:from>
    <cdr:to>
      <cdr:x>0.59203</cdr:x>
      <cdr:y>0.6391</cdr:y>
    </cdr:to>
    <cdr:sp macro="" textlink="">
      <cdr:nvSpPr>
        <cdr:cNvPr id="5" name="ZoneTexte 4"/>
        <cdr:cNvSpPr txBox="1"/>
      </cdr:nvSpPr>
      <cdr:spPr>
        <a:xfrm xmlns:a="http://schemas.openxmlformats.org/drawingml/2006/main">
          <a:off x="3125782" y="2064453"/>
          <a:ext cx="80967" cy="945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0.40651</cdr:x>
      <cdr:y>0.50867</cdr:y>
    </cdr:from>
    <cdr:to>
      <cdr:x>0.42901</cdr:x>
      <cdr:y>0.59895</cdr:y>
    </cdr:to>
    <cdr:sp macro="" textlink="">
      <cdr:nvSpPr>
        <cdr:cNvPr id="6" name="ZoneTexte 5"/>
        <cdr:cNvSpPr txBox="1"/>
      </cdr:nvSpPr>
      <cdr:spPr>
        <a:xfrm xmlns:a="http://schemas.openxmlformats.org/drawingml/2006/main">
          <a:off x="2201907" y="1718377"/>
          <a:ext cx="121872" cy="3049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0.20625</cdr:x>
      <cdr:y>0.60069</cdr:y>
    </cdr:from>
    <cdr:to>
      <cdr:x>0.21667</cdr:x>
      <cdr:y>0.63542</cdr:y>
    </cdr:to>
    <cdr:sp macro="" textlink="">
      <cdr:nvSpPr>
        <cdr:cNvPr id="7" name="ZoneTexte 6"/>
        <cdr:cNvSpPr txBox="1"/>
      </cdr:nvSpPr>
      <cdr:spPr>
        <a:xfrm xmlns:a="http://schemas.openxmlformats.org/drawingml/2006/main" flipH="1">
          <a:off x="942975" y="1647825"/>
          <a:ext cx="47625" cy="952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0.61667</cdr:x>
      <cdr:y>0.55556</cdr:y>
    </cdr:from>
    <cdr:to>
      <cdr:x>0.62667</cdr:x>
      <cdr:y>0.62847</cdr:y>
    </cdr:to>
    <cdr:sp macro="" textlink="">
      <cdr:nvSpPr>
        <cdr:cNvPr id="8" name="ZoneTexte 7"/>
        <cdr:cNvSpPr txBox="1"/>
      </cdr:nvSpPr>
      <cdr:spPr>
        <a:xfrm xmlns:a="http://schemas.openxmlformats.org/drawingml/2006/main">
          <a:off x="2819400" y="1523999"/>
          <a:ext cx="45719"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0.81946</cdr:x>
      <cdr:y>0.54227</cdr:y>
    </cdr:from>
    <cdr:to>
      <cdr:x>0.83282</cdr:x>
      <cdr:y>0.6203</cdr:y>
    </cdr:to>
    <cdr:sp macro="" textlink="">
      <cdr:nvSpPr>
        <cdr:cNvPr id="9" name="ZoneTexte 8"/>
        <cdr:cNvSpPr txBox="1"/>
      </cdr:nvSpPr>
      <cdr:spPr>
        <a:xfrm xmlns:a="http://schemas.openxmlformats.org/drawingml/2006/main" flipH="1">
          <a:off x="4438650" y="1831882"/>
          <a:ext cx="72350" cy="2636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0.44323</cdr:x>
      <cdr:y>0.47885</cdr:y>
    </cdr:from>
    <cdr:to>
      <cdr:x>0.45323</cdr:x>
      <cdr:y>0.56218</cdr:y>
    </cdr:to>
    <cdr:sp macro="" textlink="">
      <cdr:nvSpPr>
        <cdr:cNvPr id="10" name="ZoneTexte 9"/>
        <cdr:cNvSpPr txBox="1"/>
      </cdr:nvSpPr>
      <cdr:spPr>
        <a:xfrm xmlns:a="http://schemas.openxmlformats.org/drawingml/2006/main">
          <a:off x="2400781" y="1617663"/>
          <a:ext cx="54166" cy="28150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0.64974</cdr:x>
      <cdr:y>0.48324</cdr:y>
    </cdr:from>
    <cdr:to>
      <cdr:x>0.66224</cdr:x>
      <cdr:y>0.56658</cdr:y>
    </cdr:to>
    <cdr:sp macro="" textlink="">
      <cdr:nvSpPr>
        <cdr:cNvPr id="11" name="ZoneTexte 10"/>
        <cdr:cNvSpPr txBox="1"/>
      </cdr:nvSpPr>
      <cdr:spPr>
        <a:xfrm xmlns:a="http://schemas.openxmlformats.org/drawingml/2006/main">
          <a:off x="3519324" y="1632468"/>
          <a:ext cx="67707" cy="2815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0.23933</cdr:x>
      <cdr:y>0.56049</cdr:y>
    </cdr:from>
    <cdr:to>
      <cdr:x>0.25808</cdr:x>
      <cdr:y>0.65076</cdr:y>
    </cdr:to>
    <cdr:sp macro="" textlink="">
      <cdr:nvSpPr>
        <cdr:cNvPr id="12" name="ZoneTexte 11"/>
        <cdr:cNvSpPr txBox="1"/>
      </cdr:nvSpPr>
      <cdr:spPr>
        <a:xfrm xmlns:a="http://schemas.openxmlformats.org/drawingml/2006/main">
          <a:off x="1296318" y="1893462"/>
          <a:ext cx="101560" cy="304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D</a:t>
          </a:r>
        </a:p>
      </cdr:txBody>
    </cdr:sp>
  </cdr:relSizeAnchor>
  <cdr:relSizeAnchor xmlns:cdr="http://schemas.openxmlformats.org/drawingml/2006/chartDrawing">
    <cdr:from>
      <cdr:x>0.84375</cdr:x>
      <cdr:y>0.52083</cdr:y>
    </cdr:from>
    <cdr:to>
      <cdr:x>0.86833</cdr:x>
      <cdr:y>0.61111</cdr:y>
    </cdr:to>
    <cdr:sp macro="" textlink="">
      <cdr:nvSpPr>
        <cdr:cNvPr id="13" name="ZoneTexte 12"/>
        <cdr:cNvSpPr txBox="1"/>
      </cdr:nvSpPr>
      <cdr:spPr>
        <a:xfrm xmlns:a="http://schemas.openxmlformats.org/drawingml/2006/main">
          <a:off x="3857626" y="1428750"/>
          <a:ext cx="112394"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C</a:t>
          </a:r>
        </a:p>
      </cdr:txBody>
    </cdr:sp>
  </cdr:relSizeAnchor>
  <cdr:relSizeAnchor xmlns:cdr="http://schemas.openxmlformats.org/drawingml/2006/chartDrawing">
    <cdr:from>
      <cdr:x>0.48542</cdr:x>
      <cdr:y>0.43894</cdr:y>
    </cdr:from>
    <cdr:to>
      <cdr:x>0.49386</cdr:x>
      <cdr:y>0.55699</cdr:y>
    </cdr:to>
    <cdr:sp macro="" textlink="">
      <cdr:nvSpPr>
        <cdr:cNvPr id="14" name="ZoneTexte 13"/>
        <cdr:cNvSpPr txBox="1"/>
      </cdr:nvSpPr>
      <cdr:spPr>
        <a:xfrm xmlns:a="http://schemas.openxmlformats.org/drawingml/2006/main">
          <a:off x="2629302" y="1482817"/>
          <a:ext cx="45719" cy="3987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0.68125</cdr:x>
      <cdr:y>0.42708</cdr:y>
    </cdr:from>
    <cdr:to>
      <cdr:x>0.69583</cdr:x>
      <cdr:y>0.52778</cdr:y>
    </cdr:to>
    <cdr:sp macro="" textlink="">
      <cdr:nvSpPr>
        <cdr:cNvPr id="15" name="ZoneTexte 14"/>
        <cdr:cNvSpPr txBox="1"/>
      </cdr:nvSpPr>
      <cdr:spPr>
        <a:xfrm xmlns:a="http://schemas.openxmlformats.org/drawingml/2006/main">
          <a:off x="3114675" y="1171575"/>
          <a:ext cx="6667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0.27917</cdr:x>
      <cdr:y>0.53472</cdr:y>
    </cdr:from>
    <cdr:to>
      <cdr:x>0.28958</cdr:x>
      <cdr:y>0.61806</cdr:y>
    </cdr:to>
    <cdr:sp macro="" textlink="">
      <cdr:nvSpPr>
        <cdr:cNvPr id="16" name="ZoneTexte 15"/>
        <cdr:cNvSpPr txBox="1"/>
      </cdr:nvSpPr>
      <cdr:spPr>
        <a:xfrm xmlns:a="http://schemas.openxmlformats.org/drawingml/2006/main">
          <a:off x="1276351" y="1466851"/>
          <a:ext cx="47624"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0.89427</cdr:x>
      <cdr:y>0.46907</cdr:y>
    </cdr:from>
    <cdr:to>
      <cdr:x>0.90469</cdr:x>
      <cdr:y>0.5524</cdr:y>
    </cdr:to>
    <cdr:sp macro="" textlink="">
      <cdr:nvSpPr>
        <cdr:cNvPr id="17" name="ZoneTexte 16"/>
        <cdr:cNvSpPr txBox="1"/>
      </cdr:nvSpPr>
      <cdr:spPr>
        <a:xfrm xmlns:a="http://schemas.openxmlformats.org/drawingml/2006/main">
          <a:off x="4843855" y="1584601"/>
          <a:ext cx="56440" cy="28150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37.xml><?xml version="1.0" encoding="utf-8"?>
<c:userShapes xmlns:c="http://schemas.openxmlformats.org/drawingml/2006/chart">
  <cdr:relSizeAnchor xmlns:cdr="http://schemas.openxmlformats.org/drawingml/2006/chartDrawing">
    <cdr:from>
      <cdr:x>0.49116</cdr:x>
      <cdr:y>0.37277</cdr:y>
    </cdr:from>
    <cdr:to>
      <cdr:x>0.50528</cdr:x>
      <cdr:y>0.44719</cdr:y>
    </cdr:to>
    <cdr:sp macro="" textlink="">
      <cdr:nvSpPr>
        <cdr:cNvPr id="2" name="ZoneTexte 1"/>
        <cdr:cNvSpPr txBox="1"/>
      </cdr:nvSpPr>
      <cdr:spPr>
        <a:xfrm xmlns:a="http://schemas.openxmlformats.org/drawingml/2006/main">
          <a:off x="2654160" y="1084114"/>
          <a:ext cx="76302" cy="2164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0.64118</cdr:x>
      <cdr:y>0.37674</cdr:y>
    </cdr:from>
    <cdr:to>
      <cdr:x>0.65882</cdr:x>
      <cdr:y>0.48837</cdr:y>
    </cdr:to>
    <cdr:sp macro="" textlink="">
      <cdr:nvSpPr>
        <cdr:cNvPr id="3" name="ZoneTexte 2"/>
        <cdr:cNvSpPr txBox="1"/>
      </cdr:nvSpPr>
      <cdr:spPr>
        <a:xfrm xmlns:a="http://schemas.openxmlformats.org/drawingml/2006/main">
          <a:off x="2076450" y="771526"/>
          <a:ext cx="5715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0.31883</cdr:x>
      <cdr:y>0.47129</cdr:y>
    </cdr:from>
    <cdr:to>
      <cdr:x>0.349</cdr:x>
      <cdr:y>0.59687</cdr:y>
    </cdr:to>
    <cdr:sp macro="" textlink="">
      <cdr:nvSpPr>
        <cdr:cNvPr id="4" name="ZoneTexte 3"/>
        <cdr:cNvSpPr txBox="1"/>
      </cdr:nvSpPr>
      <cdr:spPr>
        <a:xfrm xmlns:a="http://schemas.openxmlformats.org/drawingml/2006/main">
          <a:off x="1722908" y="1370667"/>
          <a:ext cx="163042" cy="36522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0.78529</cdr:x>
      <cdr:y>0.45116</cdr:y>
    </cdr:from>
    <cdr:to>
      <cdr:x>0.82059</cdr:x>
      <cdr:y>0.57209</cdr:y>
    </cdr:to>
    <cdr:sp macro="" textlink="">
      <cdr:nvSpPr>
        <cdr:cNvPr id="5" name="ZoneTexte 4"/>
        <cdr:cNvSpPr txBox="1"/>
      </cdr:nvSpPr>
      <cdr:spPr>
        <a:xfrm xmlns:a="http://schemas.openxmlformats.org/drawingml/2006/main">
          <a:off x="2543175" y="923926"/>
          <a:ext cx="114300"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38.xml><?xml version="1.0" encoding="utf-8"?>
<c:userShapes xmlns:c="http://schemas.openxmlformats.org/drawingml/2006/chart">
  <cdr:relSizeAnchor xmlns:cdr="http://schemas.openxmlformats.org/drawingml/2006/chartDrawing">
    <cdr:from>
      <cdr:x>0.33172</cdr:x>
      <cdr:y>0.63314</cdr:y>
    </cdr:from>
    <cdr:to>
      <cdr:x>0.35006</cdr:x>
      <cdr:y>0.74078</cdr:y>
    </cdr:to>
    <cdr:sp macro="" textlink="">
      <cdr:nvSpPr>
        <cdr:cNvPr id="2" name="ZoneTexte 1"/>
        <cdr:cNvSpPr txBox="1"/>
      </cdr:nvSpPr>
      <cdr:spPr>
        <a:xfrm xmlns:a="http://schemas.openxmlformats.org/drawingml/2006/main">
          <a:off x="1815738" y="2251436"/>
          <a:ext cx="100387" cy="38276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0.53542</cdr:x>
      <cdr:y>0.60764</cdr:y>
    </cdr:from>
    <cdr:to>
      <cdr:x>0.54542</cdr:x>
      <cdr:y>0.67014</cdr:y>
    </cdr:to>
    <cdr:sp macro="" textlink="">
      <cdr:nvSpPr>
        <cdr:cNvPr id="3" name="ZoneTexte 2"/>
        <cdr:cNvSpPr txBox="1"/>
      </cdr:nvSpPr>
      <cdr:spPr>
        <a:xfrm xmlns:a="http://schemas.openxmlformats.org/drawingml/2006/main">
          <a:off x="2447925" y="1666876"/>
          <a:ext cx="45719" cy="171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0.11451</cdr:x>
      <cdr:y>0.66756</cdr:y>
    </cdr:from>
    <cdr:to>
      <cdr:x>0.15617</cdr:x>
      <cdr:y>0.75783</cdr:y>
    </cdr:to>
    <cdr:sp macro="" textlink="">
      <cdr:nvSpPr>
        <cdr:cNvPr id="4" name="ZoneTexte 3"/>
        <cdr:cNvSpPr txBox="1"/>
      </cdr:nvSpPr>
      <cdr:spPr>
        <a:xfrm xmlns:a="http://schemas.openxmlformats.org/drawingml/2006/main">
          <a:off x="626792" y="2373854"/>
          <a:ext cx="228035" cy="321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0.73333</cdr:x>
      <cdr:y>0.63542</cdr:y>
    </cdr:from>
    <cdr:to>
      <cdr:x>0.74375</cdr:x>
      <cdr:y>0.73264</cdr:y>
    </cdr:to>
    <cdr:sp macro="" textlink="">
      <cdr:nvSpPr>
        <cdr:cNvPr id="5" name="ZoneTexte 4"/>
        <cdr:cNvSpPr txBox="1"/>
      </cdr:nvSpPr>
      <cdr:spPr>
        <a:xfrm xmlns:a="http://schemas.openxmlformats.org/drawingml/2006/main">
          <a:off x="3352800" y="1743075"/>
          <a:ext cx="47625"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0.16596</cdr:x>
      <cdr:y>0.70168</cdr:y>
    </cdr:from>
    <cdr:to>
      <cdr:x>0.18637</cdr:x>
      <cdr:y>0.77113</cdr:y>
    </cdr:to>
    <cdr:sp macro="" textlink="">
      <cdr:nvSpPr>
        <cdr:cNvPr id="6" name="ZoneTexte 5"/>
        <cdr:cNvSpPr txBox="1"/>
      </cdr:nvSpPr>
      <cdr:spPr>
        <a:xfrm xmlns:a="http://schemas.openxmlformats.org/drawingml/2006/main" flipH="1">
          <a:off x="908412" y="2495189"/>
          <a:ext cx="111718" cy="2469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0.37453</cdr:x>
      <cdr:y>0.63601</cdr:y>
    </cdr:from>
    <cdr:to>
      <cdr:x>0.39095</cdr:x>
      <cdr:y>0.73324</cdr:y>
    </cdr:to>
    <cdr:sp macro="" textlink="">
      <cdr:nvSpPr>
        <cdr:cNvPr id="7" name="ZoneTexte 6"/>
        <cdr:cNvSpPr txBox="1"/>
      </cdr:nvSpPr>
      <cdr:spPr>
        <a:xfrm xmlns:a="http://schemas.openxmlformats.org/drawingml/2006/main">
          <a:off x="2050063" y="2261646"/>
          <a:ext cx="89887" cy="34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0.56875</cdr:x>
      <cdr:y>0.61806</cdr:y>
    </cdr:from>
    <cdr:to>
      <cdr:x>0.59167</cdr:x>
      <cdr:y>0.6875</cdr:y>
    </cdr:to>
    <cdr:sp macro="" textlink="">
      <cdr:nvSpPr>
        <cdr:cNvPr id="8" name="ZoneTexte 7"/>
        <cdr:cNvSpPr txBox="1"/>
      </cdr:nvSpPr>
      <cdr:spPr>
        <a:xfrm xmlns:a="http://schemas.openxmlformats.org/drawingml/2006/main">
          <a:off x="2600326" y="1695450"/>
          <a:ext cx="104774"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0.77099</cdr:x>
      <cdr:y>0.625</cdr:y>
    </cdr:from>
    <cdr:to>
      <cdr:x>0.78125</cdr:x>
      <cdr:y>0.67257</cdr:y>
    </cdr:to>
    <cdr:sp macro="" textlink="">
      <cdr:nvSpPr>
        <cdr:cNvPr id="9" name="ZoneTexte 8"/>
        <cdr:cNvSpPr txBox="1"/>
      </cdr:nvSpPr>
      <cdr:spPr>
        <a:xfrm xmlns:a="http://schemas.openxmlformats.org/drawingml/2006/main" flipH="1">
          <a:off x="3436858" y="1345408"/>
          <a:ext cx="45719" cy="1023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0.65833</cdr:x>
      <cdr:y>0.44792</cdr:y>
    </cdr:from>
    <cdr:to>
      <cdr:x>0.67708</cdr:x>
      <cdr:y>0.5625</cdr:y>
    </cdr:to>
    <cdr:sp macro="" textlink="">
      <cdr:nvSpPr>
        <cdr:cNvPr id="10" name="ZoneTexte 9"/>
        <cdr:cNvSpPr txBox="1"/>
      </cdr:nvSpPr>
      <cdr:spPr>
        <a:xfrm xmlns:a="http://schemas.openxmlformats.org/drawingml/2006/main">
          <a:off x="3009901" y="1228725"/>
          <a:ext cx="85724"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0.45823</cdr:x>
      <cdr:y>0.49672</cdr:y>
    </cdr:from>
    <cdr:to>
      <cdr:x>0.46823</cdr:x>
      <cdr:y>0.59047</cdr:y>
    </cdr:to>
    <cdr:sp macro="" textlink="">
      <cdr:nvSpPr>
        <cdr:cNvPr id="11" name="ZoneTexte 10"/>
        <cdr:cNvSpPr txBox="1"/>
      </cdr:nvSpPr>
      <cdr:spPr>
        <a:xfrm xmlns:a="http://schemas.openxmlformats.org/drawingml/2006/main" flipH="1">
          <a:off x="2508209" y="1766346"/>
          <a:ext cx="54737" cy="333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0.25256</cdr:x>
      <cdr:y>0.58105</cdr:y>
    </cdr:from>
    <cdr:to>
      <cdr:x>0.27964</cdr:x>
      <cdr:y>0.71647</cdr:y>
    </cdr:to>
    <cdr:sp macro="" textlink="">
      <cdr:nvSpPr>
        <cdr:cNvPr id="12" name="ZoneTexte 11"/>
        <cdr:cNvSpPr txBox="1"/>
      </cdr:nvSpPr>
      <cdr:spPr>
        <a:xfrm xmlns:a="http://schemas.openxmlformats.org/drawingml/2006/main">
          <a:off x="1382440" y="2066204"/>
          <a:ext cx="148228" cy="48155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0.86321</cdr:x>
      <cdr:y>0.47292</cdr:y>
    </cdr:from>
    <cdr:to>
      <cdr:x>0.87571</cdr:x>
      <cdr:y>0.61875</cdr:y>
    </cdr:to>
    <cdr:sp macro="" textlink="">
      <cdr:nvSpPr>
        <cdr:cNvPr id="13" name="ZoneTexte 12"/>
        <cdr:cNvSpPr txBox="1"/>
      </cdr:nvSpPr>
      <cdr:spPr>
        <a:xfrm xmlns:a="http://schemas.openxmlformats.org/drawingml/2006/main">
          <a:off x="4724956" y="1681704"/>
          <a:ext cx="68421" cy="51857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0.21174</cdr:x>
      <cdr:y>0.69027</cdr:y>
    </cdr:from>
    <cdr:to>
      <cdr:x>0.22009</cdr:x>
      <cdr:y>0.77143</cdr:y>
    </cdr:to>
    <cdr:sp macro="" textlink="">
      <cdr:nvSpPr>
        <cdr:cNvPr id="14" name="ZoneTexte 13"/>
        <cdr:cNvSpPr txBox="1"/>
      </cdr:nvSpPr>
      <cdr:spPr>
        <a:xfrm xmlns:a="http://schemas.openxmlformats.org/drawingml/2006/main" flipH="1">
          <a:off x="1158988" y="2454600"/>
          <a:ext cx="45719" cy="28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0.41453</cdr:x>
      <cdr:y>0.70797</cdr:y>
    </cdr:from>
    <cdr:to>
      <cdr:x>0.42521</cdr:x>
      <cdr:y>0.74336</cdr:y>
    </cdr:to>
    <cdr:sp macro="" textlink="">
      <cdr:nvSpPr>
        <cdr:cNvPr id="15" name="ZoneTexte 14"/>
        <cdr:cNvSpPr txBox="1"/>
      </cdr:nvSpPr>
      <cdr:spPr>
        <a:xfrm xmlns:a="http://schemas.openxmlformats.org/drawingml/2006/main">
          <a:off x="1847852" y="1524003"/>
          <a:ext cx="47624" cy="76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0.62296</cdr:x>
      <cdr:y>0.69485</cdr:y>
    </cdr:from>
    <cdr:to>
      <cdr:x>0.63321</cdr:x>
      <cdr:y>0.76565</cdr:y>
    </cdr:to>
    <cdr:sp macro="" textlink="">
      <cdr:nvSpPr>
        <cdr:cNvPr id="16" name="ZoneTexte 15"/>
        <cdr:cNvSpPr txBox="1"/>
      </cdr:nvSpPr>
      <cdr:spPr>
        <a:xfrm xmlns:a="http://schemas.openxmlformats.org/drawingml/2006/main">
          <a:off x="3409900" y="2470876"/>
          <a:ext cx="56106" cy="2517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0.82265</cdr:x>
      <cdr:y>0.74779</cdr:y>
    </cdr:from>
    <cdr:to>
      <cdr:x>0.83291</cdr:x>
      <cdr:y>0.78761</cdr:y>
    </cdr:to>
    <cdr:sp macro="" textlink="">
      <cdr:nvSpPr>
        <cdr:cNvPr id="17" name="ZoneTexte 16"/>
        <cdr:cNvSpPr txBox="1"/>
      </cdr:nvSpPr>
      <cdr:spPr>
        <a:xfrm xmlns:a="http://schemas.openxmlformats.org/drawingml/2006/main">
          <a:off x="3667125" y="1609727"/>
          <a:ext cx="45719" cy="857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userShapes>
</file>

<file path=word/drawings/drawing39.xml><?xml version="1.0" encoding="utf-8"?>
<c:userShapes xmlns:c="http://schemas.openxmlformats.org/drawingml/2006/chart">
  <cdr:relSizeAnchor xmlns:cdr="http://schemas.openxmlformats.org/drawingml/2006/chartDrawing">
    <cdr:from>
      <cdr:x>0.45974</cdr:x>
      <cdr:y>0.41299</cdr:y>
    </cdr:from>
    <cdr:to>
      <cdr:x>0.48474</cdr:x>
      <cdr:y>0.51368</cdr:y>
    </cdr:to>
    <cdr:sp macro="" textlink="">
      <cdr:nvSpPr>
        <cdr:cNvPr id="2" name="ZoneTexte 1"/>
        <cdr:cNvSpPr txBox="1"/>
      </cdr:nvSpPr>
      <cdr:spPr>
        <a:xfrm xmlns:a="http://schemas.openxmlformats.org/drawingml/2006/main">
          <a:off x="2431821" y="1069984"/>
          <a:ext cx="132238" cy="26086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0.63058</cdr:x>
      <cdr:y>0.3558</cdr:y>
    </cdr:from>
    <cdr:to>
      <cdr:x>0.65349</cdr:x>
      <cdr:y>0.46344</cdr:y>
    </cdr:to>
    <cdr:sp macro="" textlink="">
      <cdr:nvSpPr>
        <cdr:cNvPr id="3" name="ZoneTexte 2"/>
        <cdr:cNvSpPr txBox="1"/>
      </cdr:nvSpPr>
      <cdr:spPr>
        <a:xfrm xmlns:a="http://schemas.openxmlformats.org/drawingml/2006/main">
          <a:off x="3335487" y="921811"/>
          <a:ext cx="121184" cy="27887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0.78542</cdr:x>
      <cdr:y>0.40319</cdr:y>
    </cdr:from>
    <cdr:to>
      <cdr:x>0.82713</cdr:x>
      <cdr:y>0.53166</cdr:y>
    </cdr:to>
    <cdr:sp macro="" textlink="">
      <cdr:nvSpPr>
        <cdr:cNvPr id="4" name="ZoneTexte 3"/>
        <cdr:cNvSpPr txBox="1"/>
      </cdr:nvSpPr>
      <cdr:spPr>
        <a:xfrm xmlns:a="http://schemas.openxmlformats.org/drawingml/2006/main">
          <a:off x="4154518" y="1044584"/>
          <a:ext cx="220632" cy="3328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0.26155</cdr:x>
      <cdr:y>0.46058</cdr:y>
    </cdr:from>
    <cdr:to>
      <cdr:x>0.29652</cdr:x>
      <cdr:y>0.60642</cdr:y>
    </cdr:to>
    <cdr:sp macro="" textlink="">
      <cdr:nvSpPr>
        <cdr:cNvPr id="5" name="ZoneTexte 4"/>
        <cdr:cNvSpPr txBox="1"/>
      </cdr:nvSpPr>
      <cdr:spPr>
        <a:xfrm xmlns:a="http://schemas.openxmlformats.org/drawingml/2006/main">
          <a:off x="1383466" y="1193265"/>
          <a:ext cx="184983" cy="3778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4.xml><?xml version="1.0" encoding="utf-8"?>
<c:userShapes xmlns:c="http://schemas.openxmlformats.org/drawingml/2006/chart">
  <cdr:relSizeAnchor xmlns:cdr="http://schemas.openxmlformats.org/drawingml/2006/chartDrawing">
    <cdr:from>
      <cdr:x>0.17482</cdr:x>
      <cdr:y>0.43995</cdr:y>
    </cdr:from>
    <cdr:to>
      <cdr:x>0.20513</cdr:x>
      <cdr:y>0.49207</cdr:y>
    </cdr:to>
    <cdr:sp macro="" textlink="">
      <cdr:nvSpPr>
        <cdr:cNvPr id="2" name="ZoneTexte 1"/>
        <cdr:cNvSpPr txBox="1"/>
      </cdr:nvSpPr>
      <cdr:spPr>
        <a:xfrm xmlns:a="http://schemas.openxmlformats.org/drawingml/2006/main">
          <a:off x="945703" y="997801"/>
          <a:ext cx="163964" cy="1182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BC</a:t>
          </a:r>
        </a:p>
      </cdr:txBody>
    </cdr:sp>
  </cdr:relSizeAnchor>
  <cdr:relSizeAnchor xmlns:cdr="http://schemas.openxmlformats.org/drawingml/2006/chartDrawing">
    <cdr:from>
      <cdr:x>0.32117</cdr:x>
      <cdr:y>0.43413</cdr:y>
    </cdr:from>
    <cdr:to>
      <cdr:x>0.32962</cdr:x>
      <cdr:y>0.53259</cdr:y>
    </cdr:to>
    <cdr:sp macro="" textlink="">
      <cdr:nvSpPr>
        <cdr:cNvPr id="3" name="ZoneTexte 2"/>
        <cdr:cNvSpPr txBox="1"/>
      </cdr:nvSpPr>
      <cdr:spPr>
        <a:xfrm xmlns:a="http://schemas.openxmlformats.org/drawingml/2006/main" flipH="1">
          <a:off x="1737406" y="984605"/>
          <a:ext cx="45719" cy="22330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BC</a:t>
          </a:r>
        </a:p>
      </cdr:txBody>
    </cdr:sp>
  </cdr:relSizeAnchor>
  <cdr:relSizeAnchor xmlns:cdr="http://schemas.openxmlformats.org/drawingml/2006/chartDrawing">
    <cdr:from>
      <cdr:x>0.45003</cdr:x>
      <cdr:y>0.42024</cdr:y>
    </cdr:from>
    <cdr:to>
      <cdr:x>0.46194</cdr:x>
      <cdr:y>0.54524</cdr:y>
    </cdr:to>
    <cdr:sp macro="" textlink="">
      <cdr:nvSpPr>
        <cdr:cNvPr id="4" name="ZoneTexte 3"/>
        <cdr:cNvSpPr txBox="1"/>
      </cdr:nvSpPr>
      <cdr:spPr>
        <a:xfrm xmlns:a="http://schemas.openxmlformats.org/drawingml/2006/main">
          <a:off x="2130424" y="716498"/>
          <a:ext cx="56381" cy="21312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C</a:t>
          </a:r>
        </a:p>
      </cdr:txBody>
    </cdr:sp>
  </cdr:relSizeAnchor>
  <cdr:relSizeAnchor xmlns:cdr="http://schemas.openxmlformats.org/drawingml/2006/chartDrawing">
    <cdr:from>
      <cdr:x>0.55964</cdr:x>
      <cdr:y>0.43489</cdr:y>
    </cdr:from>
    <cdr:to>
      <cdr:x>0.58941</cdr:x>
      <cdr:y>0.5013</cdr:y>
    </cdr:to>
    <cdr:sp macro="" textlink="">
      <cdr:nvSpPr>
        <cdr:cNvPr id="5" name="ZoneTexte 4"/>
        <cdr:cNvSpPr txBox="1"/>
      </cdr:nvSpPr>
      <cdr:spPr>
        <a:xfrm xmlns:a="http://schemas.openxmlformats.org/drawingml/2006/main">
          <a:off x="2811011" y="1054910"/>
          <a:ext cx="149530" cy="1610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0.69283</cdr:x>
      <cdr:y>0.4088</cdr:y>
    </cdr:from>
    <cdr:to>
      <cdr:x>0.72061</cdr:x>
      <cdr:y>0.49864</cdr:y>
    </cdr:to>
    <cdr:sp macro="" textlink="">
      <cdr:nvSpPr>
        <cdr:cNvPr id="6" name="ZoneTexte 5"/>
        <cdr:cNvSpPr txBox="1"/>
      </cdr:nvSpPr>
      <cdr:spPr>
        <a:xfrm xmlns:a="http://schemas.openxmlformats.org/drawingml/2006/main">
          <a:off x="3479992" y="991620"/>
          <a:ext cx="139535" cy="217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0.81944</cdr:x>
      <cdr:y>0.38281</cdr:y>
    </cdr:from>
    <cdr:to>
      <cdr:x>0.83135</cdr:x>
      <cdr:y>0.47656</cdr:y>
    </cdr:to>
    <cdr:sp macro="" textlink="">
      <cdr:nvSpPr>
        <cdr:cNvPr id="7" name="ZoneTexte 6"/>
        <cdr:cNvSpPr txBox="1"/>
      </cdr:nvSpPr>
      <cdr:spPr>
        <a:xfrm xmlns:a="http://schemas.openxmlformats.org/drawingml/2006/main">
          <a:off x="3933825" y="933450"/>
          <a:ext cx="5715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0.49258</cdr:x>
      <cdr:y>0.42133</cdr:y>
    </cdr:from>
    <cdr:to>
      <cdr:x>0.5021</cdr:x>
      <cdr:y>0.50726</cdr:y>
    </cdr:to>
    <cdr:sp macro="" textlink="">
      <cdr:nvSpPr>
        <cdr:cNvPr id="8" name="ZoneTexte 7"/>
        <cdr:cNvSpPr txBox="1"/>
      </cdr:nvSpPr>
      <cdr:spPr>
        <a:xfrm xmlns:a="http://schemas.openxmlformats.org/drawingml/2006/main">
          <a:off x="2474179" y="1022020"/>
          <a:ext cx="47817" cy="20844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0.2321</cdr:x>
      <cdr:y>0.44118</cdr:y>
    </cdr:from>
    <cdr:to>
      <cdr:x>0.24163</cdr:x>
      <cdr:y>0.49977</cdr:y>
    </cdr:to>
    <cdr:sp macro="" textlink="">
      <cdr:nvSpPr>
        <cdr:cNvPr id="9" name="ZoneTexte 8"/>
        <cdr:cNvSpPr txBox="1"/>
      </cdr:nvSpPr>
      <cdr:spPr>
        <a:xfrm xmlns:a="http://schemas.openxmlformats.org/drawingml/2006/main">
          <a:off x="948401" y="1088392"/>
          <a:ext cx="38941" cy="1445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0.36643</cdr:x>
      <cdr:y>0.4346</cdr:y>
    </cdr:from>
    <cdr:to>
      <cdr:x>0.37762</cdr:x>
      <cdr:y>0.51737</cdr:y>
    </cdr:to>
    <cdr:sp macro="" textlink="">
      <cdr:nvSpPr>
        <cdr:cNvPr id="10" name="ZoneTexte 9"/>
        <cdr:cNvSpPr txBox="1"/>
      </cdr:nvSpPr>
      <cdr:spPr>
        <a:xfrm xmlns:a="http://schemas.openxmlformats.org/drawingml/2006/main" flipH="1">
          <a:off x="1497330" y="1072140"/>
          <a:ext cx="45719" cy="20421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0.63294</cdr:x>
      <cdr:y>0.39453</cdr:y>
    </cdr:from>
    <cdr:to>
      <cdr:x>0.65278</cdr:x>
      <cdr:y>0.45313</cdr:y>
    </cdr:to>
    <cdr:sp macro="" textlink="">
      <cdr:nvSpPr>
        <cdr:cNvPr id="11" name="ZoneTexte 10"/>
        <cdr:cNvSpPr txBox="1"/>
      </cdr:nvSpPr>
      <cdr:spPr>
        <a:xfrm xmlns:a="http://schemas.openxmlformats.org/drawingml/2006/main">
          <a:off x="3038475" y="962025"/>
          <a:ext cx="95250" cy="1428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0.74611</cdr:x>
      <cdr:y>0.41798</cdr:y>
    </cdr:from>
    <cdr:to>
      <cdr:x>0.75891</cdr:x>
      <cdr:y>0.53138</cdr:y>
    </cdr:to>
    <cdr:sp macro="" textlink="">
      <cdr:nvSpPr>
        <cdr:cNvPr id="12" name="ZoneTexte 11"/>
        <cdr:cNvSpPr txBox="1"/>
      </cdr:nvSpPr>
      <cdr:spPr>
        <a:xfrm xmlns:a="http://schemas.openxmlformats.org/drawingml/2006/main" flipH="1">
          <a:off x="4036162" y="947968"/>
          <a:ext cx="69242" cy="25719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0.8776</cdr:x>
      <cdr:y>0.41821</cdr:y>
    </cdr:from>
    <cdr:to>
      <cdr:x>0.88875</cdr:x>
      <cdr:y>0.5445</cdr:y>
    </cdr:to>
    <cdr:sp macro="" textlink="">
      <cdr:nvSpPr>
        <cdr:cNvPr id="13" name="ZoneTexte 12"/>
        <cdr:cNvSpPr txBox="1"/>
      </cdr:nvSpPr>
      <cdr:spPr>
        <a:xfrm xmlns:a="http://schemas.openxmlformats.org/drawingml/2006/main">
          <a:off x="4408041" y="1014464"/>
          <a:ext cx="56009" cy="3063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userShapes>
</file>

<file path=word/drawings/drawing40.xml><?xml version="1.0" encoding="utf-8"?>
<c:userShapes xmlns:c="http://schemas.openxmlformats.org/drawingml/2006/chart">
  <cdr:relSizeAnchor xmlns:cdr="http://schemas.openxmlformats.org/drawingml/2006/chartDrawing">
    <cdr:from>
      <cdr:x>0.19213</cdr:x>
      <cdr:y>0.41181</cdr:y>
    </cdr:from>
    <cdr:to>
      <cdr:x>0.21296</cdr:x>
      <cdr:y>0.59931</cdr:y>
    </cdr:to>
    <cdr:sp macro="" textlink="">
      <cdr:nvSpPr>
        <cdr:cNvPr id="2" name="ZoneTexte 1"/>
        <cdr:cNvSpPr txBox="1"/>
      </cdr:nvSpPr>
      <cdr:spPr>
        <a:xfrm xmlns:a="http://schemas.openxmlformats.org/drawingml/2006/main">
          <a:off x="1016271" y="998926"/>
          <a:ext cx="110181" cy="45481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0.37387</cdr:x>
      <cdr:y>0.40465</cdr:y>
    </cdr:from>
    <cdr:to>
      <cdr:x>0.39887</cdr:x>
      <cdr:y>0.57479</cdr:y>
    </cdr:to>
    <cdr:sp macro="" textlink="">
      <cdr:nvSpPr>
        <cdr:cNvPr id="3" name="ZoneTexte 2"/>
        <cdr:cNvSpPr txBox="1"/>
      </cdr:nvSpPr>
      <cdr:spPr>
        <a:xfrm xmlns:a="http://schemas.openxmlformats.org/drawingml/2006/main">
          <a:off x="1977619" y="981555"/>
          <a:ext cx="132239" cy="4127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0.7407</cdr:x>
      <cdr:y>0.4343</cdr:y>
    </cdr:from>
    <cdr:to>
      <cdr:x>0.77585</cdr:x>
      <cdr:y>0.56278</cdr:y>
    </cdr:to>
    <cdr:sp macro="" textlink="">
      <cdr:nvSpPr>
        <cdr:cNvPr id="4" name="ZoneTexte 3"/>
        <cdr:cNvSpPr txBox="1"/>
      </cdr:nvSpPr>
      <cdr:spPr>
        <a:xfrm xmlns:a="http://schemas.openxmlformats.org/drawingml/2006/main">
          <a:off x="3917950" y="1053472"/>
          <a:ext cx="185968" cy="31165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0.56313</cdr:x>
      <cdr:y>0.45507</cdr:y>
    </cdr:from>
    <cdr:to>
      <cdr:x>0.58188</cdr:x>
      <cdr:y>0.58007</cdr:y>
    </cdr:to>
    <cdr:sp macro="" textlink="">
      <cdr:nvSpPr>
        <cdr:cNvPr id="5" name="ZoneTexte 4"/>
        <cdr:cNvSpPr txBox="1"/>
      </cdr:nvSpPr>
      <cdr:spPr>
        <a:xfrm xmlns:a="http://schemas.openxmlformats.org/drawingml/2006/main">
          <a:off x="2978714" y="1103875"/>
          <a:ext cx="99180" cy="30321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41.xml><?xml version="1.0" encoding="utf-8"?>
<c:userShapes xmlns:c="http://schemas.openxmlformats.org/drawingml/2006/chart">
  <cdr:relSizeAnchor xmlns:cdr="http://schemas.openxmlformats.org/drawingml/2006/chartDrawing">
    <cdr:from>
      <cdr:x>0.77708</cdr:x>
      <cdr:y>0.36111</cdr:y>
    </cdr:from>
    <cdr:to>
      <cdr:x>0.79583</cdr:x>
      <cdr:y>0.53125</cdr:y>
    </cdr:to>
    <cdr:sp macro="" textlink="">
      <cdr:nvSpPr>
        <cdr:cNvPr id="2" name="ZoneTexte 1"/>
        <cdr:cNvSpPr txBox="1"/>
      </cdr:nvSpPr>
      <cdr:spPr>
        <a:xfrm xmlns:a="http://schemas.openxmlformats.org/drawingml/2006/main">
          <a:off x="3552825" y="990600"/>
          <a:ext cx="85725" cy="4667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0.40858</cdr:x>
      <cdr:y>0.3663</cdr:y>
    </cdr:from>
    <cdr:to>
      <cdr:x>0.43775</cdr:x>
      <cdr:y>0.58852</cdr:y>
    </cdr:to>
    <cdr:sp macro="" textlink="">
      <cdr:nvSpPr>
        <cdr:cNvPr id="3" name="ZoneTexte 2"/>
        <cdr:cNvSpPr txBox="1"/>
      </cdr:nvSpPr>
      <cdr:spPr>
        <a:xfrm xmlns:a="http://schemas.openxmlformats.org/drawingml/2006/main">
          <a:off x="2228652" y="1149038"/>
          <a:ext cx="159112" cy="6970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0.59167</cdr:x>
      <cdr:y>0.53125</cdr:y>
    </cdr:from>
    <cdr:to>
      <cdr:x>0.62708</cdr:x>
      <cdr:y>0.69097</cdr:y>
    </cdr:to>
    <cdr:sp macro="" textlink="">
      <cdr:nvSpPr>
        <cdr:cNvPr id="4" name="ZoneTexte 3"/>
        <cdr:cNvSpPr txBox="1"/>
      </cdr:nvSpPr>
      <cdr:spPr>
        <a:xfrm xmlns:a="http://schemas.openxmlformats.org/drawingml/2006/main">
          <a:off x="2705100" y="1457325"/>
          <a:ext cx="161925" cy="4381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BC</a:t>
          </a:r>
        </a:p>
      </cdr:txBody>
    </cdr:sp>
  </cdr:relSizeAnchor>
  <cdr:relSizeAnchor xmlns:cdr="http://schemas.openxmlformats.org/drawingml/2006/chartDrawing">
    <cdr:from>
      <cdr:x>0.21458</cdr:x>
      <cdr:y>0.59722</cdr:y>
    </cdr:from>
    <cdr:to>
      <cdr:x>0.25</cdr:x>
      <cdr:y>0.69792</cdr:y>
    </cdr:to>
    <cdr:sp macro="" textlink="">
      <cdr:nvSpPr>
        <cdr:cNvPr id="5" name="ZoneTexte 4"/>
        <cdr:cNvSpPr txBox="1"/>
      </cdr:nvSpPr>
      <cdr:spPr>
        <a:xfrm xmlns:a="http://schemas.openxmlformats.org/drawingml/2006/main">
          <a:off x="981075" y="1638300"/>
          <a:ext cx="16192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C</a:t>
          </a:r>
        </a:p>
      </cdr:txBody>
    </cdr:sp>
  </cdr:relSizeAnchor>
</c:userShapes>
</file>

<file path=word/drawings/drawing42.xml><?xml version="1.0" encoding="utf-8"?>
<c:userShapes xmlns:c="http://schemas.openxmlformats.org/drawingml/2006/chart">
  <cdr:relSizeAnchor xmlns:cdr="http://schemas.openxmlformats.org/drawingml/2006/chartDrawing">
    <cdr:from>
      <cdr:x>0.21292</cdr:x>
      <cdr:y>0.70833</cdr:y>
    </cdr:from>
    <cdr:to>
      <cdr:x>0.22292</cdr:x>
      <cdr:y>0.72917</cdr:y>
    </cdr:to>
    <cdr:sp macro="" textlink="">
      <cdr:nvSpPr>
        <cdr:cNvPr id="2" name="ZoneTexte 1"/>
        <cdr:cNvSpPr txBox="1"/>
      </cdr:nvSpPr>
      <cdr:spPr>
        <a:xfrm xmlns:a="http://schemas.openxmlformats.org/drawingml/2006/main" flipH="1">
          <a:off x="973456" y="1943100"/>
          <a:ext cx="45719" cy="571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0.80208</cdr:x>
      <cdr:y>0.70486</cdr:y>
    </cdr:from>
    <cdr:to>
      <cdr:x>0.8225</cdr:x>
      <cdr:y>0.77083</cdr:y>
    </cdr:to>
    <cdr:sp macro="" textlink="">
      <cdr:nvSpPr>
        <cdr:cNvPr id="3" name="ZoneTexte 2"/>
        <cdr:cNvSpPr txBox="1"/>
      </cdr:nvSpPr>
      <cdr:spPr>
        <a:xfrm xmlns:a="http://schemas.openxmlformats.org/drawingml/2006/main">
          <a:off x="3667126" y="1933575"/>
          <a:ext cx="93344" cy="180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0.41042</cdr:x>
      <cdr:y>0.73264</cdr:y>
    </cdr:from>
    <cdr:to>
      <cdr:x>0.42292</cdr:x>
      <cdr:y>0.75694</cdr:y>
    </cdr:to>
    <cdr:sp macro="" textlink="">
      <cdr:nvSpPr>
        <cdr:cNvPr id="4" name="ZoneTexte 3"/>
        <cdr:cNvSpPr txBox="1"/>
      </cdr:nvSpPr>
      <cdr:spPr>
        <a:xfrm xmlns:a="http://schemas.openxmlformats.org/drawingml/2006/main">
          <a:off x="1876426" y="2009775"/>
          <a:ext cx="57150" cy="666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C</a:t>
          </a:r>
        </a:p>
      </cdr:txBody>
    </cdr:sp>
  </cdr:relSizeAnchor>
  <cdr:relSizeAnchor xmlns:cdr="http://schemas.openxmlformats.org/drawingml/2006/chartDrawing">
    <cdr:from>
      <cdr:x>0.61667</cdr:x>
      <cdr:y>0.71875</cdr:y>
    </cdr:from>
    <cdr:to>
      <cdr:x>0.62917</cdr:x>
      <cdr:y>0.77083</cdr:y>
    </cdr:to>
    <cdr:sp macro="" textlink="">
      <cdr:nvSpPr>
        <cdr:cNvPr id="5" name="ZoneTexte 4"/>
        <cdr:cNvSpPr txBox="1"/>
      </cdr:nvSpPr>
      <cdr:spPr>
        <a:xfrm xmlns:a="http://schemas.openxmlformats.org/drawingml/2006/main">
          <a:off x="2819400" y="1971675"/>
          <a:ext cx="57150" cy="1428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0.6025</cdr:x>
      <cdr:y>0.72569</cdr:y>
    </cdr:from>
    <cdr:to>
      <cdr:x>0.6125</cdr:x>
      <cdr:y>0.74236</cdr:y>
    </cdr:to>
    <cdr:sp macro="" textlink="">
      <cdr:nvSpPr>
        <cdr:cNvPr id="6" name="ZoneTexte 5"/>
        <cdr:cNvSpPr txBox="1"/>
      </cdr:nvSpPr>
      <cdr:spPr>
        <a:xfrm xmlns:a="http://schemas.openxmlformats.org/drawingml/2006/main" flipH="1">
          <a:off x="2754631" y="1990725"/>
          <a:ext cx="45719" cy="457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BC</a:t>
          </a:r>
        </a:p>
      </cdr:txBody>
    </cdr:sp>
  </cdr:relSizeAnchor>
</c:userShapes>
</file>

<file path=word/drawings/drawing5.xml><?xml version="1.0" encoding="utf-8"?>
<c:userShapes xmlns:c="http://schemas.openxmlformats.org/drawingml/2006/chart">
  <cdr:relSizeAnchor xmlns:cdr="http://schemas.openxmlformats.org/drawingml/2006/chartDrawing">
    <cdr:from>
      <cdr:x>0.49629</cdr:x>
      <cdr:y>0.38173</cdr:y>
    </cdr:from>
    <cdr:to>
      <cdr:x>0.50879</cdr:x>
      <cdr:y>0.47895</cdr:y>
    </cdr:to>
    <cdr:sp macro="" textlink="">
      <cdr:nvSpPr>
        <cdr:cNvPr id="2" name="ZoneTexte 1"/>
        <cdr:cNvSpPr txBox="1"/>
      </cdr:nvSpPr>
      <cdr:spPr>
        <a:xfrm xmlns:a="http://schemas.openxmlformats.org/drawingml/2006/main" flipH="1">
          <a:off x="2681261" y="865757"/>
          <a:ext cx="67533" cy="2204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0.24609</cdr:x>
      <cdr:y>0.3499</cdr:y>
    </cdr:from>
    <cdr:to>
      <cdr:x>0.30055</cdr:x>
      <cdr:y>0.43092</cdr:y>
    </cdr:to>
    <cdr:sp macro="" textlink="">
      <cdr:nvSpPr>
        <cdr:cNvPr id="3" name="ZoneTexte 2"/>
        <cdr:cNvSpPr txBox="1"/>
      </cdr:nvSpPr>
      <cdr:spPr>
        <a:xfrm xmlns:a="http://schemas.openxmlformats.org/drawingml/2006/main">
          <a:off x="1329527" y="793566"/>
          <a:ext cx="294225" cy="18375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0">
              <a:latin typeface="Times New Roman" pitchFamily="18" charset="0"/>
              <a:cs typeface="Times New Roman" pitchFamily="18" charset="0"/>
            </a:rPr>
            <a:t>AB</a:t>
          </a:r>
        </a:p>
      </cdr:txBody>
    </cdr:sp>
  </cdr:relSizeAnchor>
  <cdr:relSizeAnchor xmlns:cdr="http://schemas.openxmlformats.org/drawingml/2006/chartDrawing">
    <cdr:from>
      <cdr:x>0.36925</cdr:x>
      <cdr:y>0.34041</cdr:y>
    </cdr:from>
    <cdr:to>
      <cdr:x>0.4043</cdr:x>
      <cdr:y>0.45499</cdr:y>
    </cdr:to>
    <cdr:sp macro="" textlink="">
      <cdr:nvSpPr>
        <cdr:cNvPr id="4" name="ZoneTexte 3"/>
        <cdr:cNvSpPr txBox="1"/>
      </cdr:nvSpPr>
      <cdr:spPr>
        <a:xfrm xmlns:a="http://schemas.openxmlformats.org/drawingml/2006/main">
          <a:off x="1994908" y="772043"/>
          <a:ext cx="189361" cy="25986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0.83687</cdr:x>
      <cdr:y>0.34269</cdr:y>
    </cdr:from>
    <cdr:to>
      <cdr:x>0.87911</cdr:x>
      <cdr:y>0.50126</cdr:y>
    </cdr:to>
    <cdr:sp macro="" textlink="">
      <cdr:nvSpPr>
        <cdr:cNvPr id="5" name="ZoneTexte 4"/>
        <cdr:cNvSpPr txBox="1"/>
      </cdr:nvSpPr>
      <cdr:spPr>
        <a:xfrm xmlns:a="http://schemas.openxmlformats.org/drawingml/2006/main">
          <a:off x="4521262" y="777232"/>
          <a:ext cx="228206" cy="3596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0.72083</cdr:x>
      <cdr:y>0.28472</cdr:y>
    </cdr:from>
    <cdr:to>
      <cdr:x>0.92083</cdr:x>
      <cdr:y>0.61806</cdr:y>
    </cdr:to>
    <cdr:sp macro="" textlink="">
      <cdr:nvSpPr>
        <cdr:cNvPr id="6" name="ZoneTexte 5"/>
        <cdr:cNvSpPr txBox="1"/>
      </cdr:nvSpPr>
      <cdr:spPr>
        <a:xfrm xmlns:a="http://schemas.openxmlformats.org/drawingml/2006/main">
          <a:off x="3295650" y="7810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0.72517</cdr:x>
      <cdr:y>0.38405</cdr:y>
    </cdr:from>
    <cdr:to>
      <cdr:x>0.75535</cdr:x>
      <cdr:y>0.49516</cdr:y>
    </cdr:to>
    <cdr:sp macro="" textlink="">
      <cdr:nvSpPr>
        <cdr:cNvPr id="7" name="ZoneTexte 6"/>
        <cdr:cNvSpPr txBox="1"/>
      </cdr:nvSpPr>
      <cdr:spPr>
        <a:xfrm xmlns:a="http://schemas.openxmlformats.org/drawingml/2006/main">
          <a:off x="3917807" y="871035"/>
          <a:ext cx="163050" cy="25199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0.59673</cdr:x>
      <cdr:y>0.39642</cdr:y>
    </cdr:from>
    <cdr:to>
      <cdr:x>0.6476</cdr:x>
      <cdr:y>0.53202</cdr:y>
    </cdr:to>
    <cdr:sp macro="" textlink="">
      <cdr:nvSpPr>
        <cdr:cNvPr id="8" name="ZoneTexte 7"/>
        <cdr:cNvSpPr txBox="1"/>
      </cdr:nvSpPr>
      <cdr:spPr>
        <a:xfrm xmlns:a="http://schemas.openxmlformats.org/drawingml/2006/main">
          <a:off x="3223885" y="899085"/>
          <a:ext cx="274830" cy="30754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C</a:t>
          </a:r>
        </a:p>
      </cdr:txBody>
    </cdr:sp>
  </cdr:relSizeAnchor>
</c:userShapes>
</file>

<file path=word/drawings/drawing6.xml><?xml version="1.0" encoding="utf-8"?>
<c:userShapes xmlns:c="http://schemas.openxmlformats.org/drawingml/2006/chart">
  <cdr:relSizeAnchor xmlns:cdr="http://schemas.openxmlformats.org/drawingml/2006/chartDrawing">
    <cdr:from>
      <cdr:x>0.24792</cdr:x>
      <cdr:y>0.36111</cdr:y>
    </cdr:from>
    <cdr:to>
      <cdr:x>0.26042</cdr:x>
      <cdr:y>0.43056</cdr:y>
    </cdr:to>
    <cdr:sp macro="" textlink="">
      <cdr:nvSpPr>
        <cdr:cNvPr id="2" name="ZoneTexte 1"/>
        <cdr:cNvSpPr txBox="1"/>
      </cdr:nvSpPr>
      <cdr:spPr>
        <a:xfrm xmlns:a="http://schemas.openxmlformats.org/drawingml/2006/main">
          <a:off x="1133475" y="990600"/>
          <a:ext cx="5715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0.36917</cdr:x>
      <cdr:y>0.37847</cdr:y>
    </cdr:from>
    <cdr:to>
      <cdr:x>0.40263</cdr:x>
      <cdr:y>0.42328</cdr:y>
    </cdr:to>
    <cdr:sp macro="" textlink="">
      <cdr:nvSpPr>
        <cdr:cNvPr id="3" name="ZoneTexte 2"/>
        <cdr:cNvSpPr txBox="1"/>
      </cdr:nvSpPr>
      <cdr:spPr>
        <a:xfrm xmlns:a="http://schemas.openxmlformats.org/drawingml/2006/main">
          <a:off x="1962120" y="908442"/>
          <a:ext cx="177830" cy="1075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0.49583</cdr:x>
      <cdr:y>0.36458</cdr:y>
    </cdr:from>
    <cdr:to>
      <cdr:x>0.51042</cdr:x>
      <cdr:y>0.42361</cdr:y>
    </cdr:to>
    <cdr:sp macro="" textlink="">
      <cdr:nvSpPr>
        <cdr:cNvPr id="4" name="ZoneTexte 3"/>
        <cdr:cNvSpPr txBox="1"/>
      </cdr:nvSpPr>
      <cdr:spPr>
        <a:xfrm xmlns:a="http://schemas.openxmlformats.org/drawingml/2006/main">
          <a:off x="2266950" y="1000125"/>
          <a:ext cx="66675" cy="161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0.62167</cdr:x>
      <cdr:y>0.375</cdr:y>
    </cdr:from>
    <cdr:to>
      <cdr:x>0.63167</cdr:x>
      <cdr:y>0.43056</cdr:y>
    </cdr:to>
    <cdr:sp macro="" textlink="">
      <cdr:nvSpPr>
        <cdr:cNvPr id="5" name="ZoneTexte 4"/>
        <cdr:cNvSpPr txBox="1"/>
      </cdr:nvSpPr>
      <cdr:spPr>
        <a:xfrm xmlns:a="http://schemas.openxmlformats.org/drawingml/2006/main" flipH="1">
          <a:off x="2842262" y="1028700"/>
          <a:ext cx="45719" cy="152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0.75355</cdr:x>
      <cdr:y>0.39434</cdr:y>
    </cdr:from>
    <cdr:to>
      <cdr:x>0.76355</cdr:x>
      <cdr:y>0.47768</cdr:y>
    </cdr:to>
    <cdr:sp macro="" textlink="">
      <cdr:nvSpPr>
        <cdr:cNvPr id="6" name="ZoneTexte 5"/>
        <cdr:cNvSpPr txBox="1"/>
      </cdr:nvSpPr>
      <cdr:spPr>
        <a:xfrm xmlns:a="http://schemas.openxmlformats.org/drawingml/2006/main">
          <a:off x="4005086" y="946542"/>
          <a:ext cx="53150" cy="20004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0.872</cdr:x>
      <cdr:y>0.375</cdr:y>
    </cdr:from>
    <cdr:to>
      <cdr:x>0.88866</cdr:x>
      <cdr:y>0.50347</cdr:y>
    </cdr:to>
    <cdr:sp macro="" textlink="">
      <cdr:nvSpPr>
        <cdr:cNvPr id="7" name="ZoneTexte 6"/>
        <cdr:cNvSpPr txBox="1"/>
      </cdr:nvSpPr>
      <cdr:spPr>
        <a:xfrm xmlns:a="http://schemas.openxmlformats.org/drawingml/2006/main">
          <a:off x="4634645" y="900113"/>
          <a:ext cx="88547" cy="3083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userShapes>
</file>

<file path=word/drawings/drawing7.xml><?xml version="1.0" encoding="utf-8"?>
<c:userShapes xmlns:c="http://schemas.openxmlformats.org/drawingml/2006/chart">
  <cdr:relSizeAnchor xmlns:cdr="http://schemas.openxmlformats.org/drawingml/2006/chartDrawing">
    <cdr:from>
      <cdr:x>0.80604</cdr:x>
      <cdr:y>0.40819</cdr:y>
    </cdr:from>
    <cdr:to>
      <cdr:x>0.84976</cdr:x>
      <cdr:y>0.51113</cdr:y>
    </cdr:to>
    <cdr:sp macro="" textlink="">
      <cdr:nvSpPr>
        <cdr:cNvPr id="2" name="ZoneTexte 1"/>
        <cdr:cNvSpPr txBox="1"/>
      </cdr:nvSpPr>
      <cdr:spPr>
        <a:xfrm xmlns:a="http://schemas.openxmlformats.org/drawingml/2006/main">
          <a:off x="4145871" y="917580"/>
          <a:ext cx="224874" cy="2313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0.68272</cdr:x>
      <cdr:y>0.39642</cdr:y>
    </cdr:from>
    <cdr:to>
      <cdr:x>0.74167</cdr:x>
      <cdr:y>0.51412</cdr:y>
    </cdr:to>
    <cdr:sp macro="" textlink="">
      <cdr:nvSpPr>
        <cdr:cNvPr id="3" name="ZoneTexte 2"/>
        <cdr:cNvSpPr txBox="1"/>
      </cdr:nvSpPr>
      <cdr:spPr>
        <a:xfrm xmlns:a="http://schemas.openxmlformats.org/drawingml/2006/main">
          <a:off x="3511570" y="891122"/>
          <a:ext cx="303210" cy="2645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0.45664</cdr:x>
      <cdr:y>0.42579</cdr:y>
    </cdr:from>
    <cdr:to>
      <cdr:x>0.50124</cdr:x>
      <cdr:y>0.47275</cdr:y>
    </cdr:to>
    <cdr:sp macro="" textlink="">
      <cdr:nvSpPr>
        <cdr:cNvPr id="4" name="ZoneTexte 3"/>
        <cdr:cNvSpPr txBox="1"/>
      </cdr:nvSpPr>
      <cdr:spPr>
        <a:xfrm xmlns:a="http://schemas.openxmlformats.org/drawingml/2006/main">
          <a:off x="2466726" y="990934"/>
          <a:ext cx="240927" cy="1092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0.57808</cdr:x>
      <cdr:y>0.5664</cdr:y>
    </cdr:from>
    <cdr:to>
      <cdr:x>0.61244</cdr:x>
      <cdr:y>0.66265</cdr:y>
    </cdr:to>
    <cdr:sp macro="" textlink="">
      <cdr:nvSpPr>
        <cdr:cNvPr id="5" name="ZoneTexte 4"/>
        <cdr:cNvSpPr txBox="1"/>
      </cdr:nvSpPr>
      <cdr:spPr>
        <a:xfrm xmlns:a="http://schemas.openxmlformats.org/drawingml/2006/main">
          <a:off x="3122766" y="1318172"/>
          <a:ext cx="185610" cy="224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0.33508</cdr:x>
      <cdr:y>0.55394</cdr:y>
    </cdr:from>
    <cdr:to>
      <cdr:x>0.38844</cdr:x>
      <cdr:y>0.66089</cdr:y>
    </cdr:to>
    <cdr:sp macro="" textlink="">
      <cdr:nvSpPr>
        <cdr:cNvPr id="6" name="ZoneTexte 5"/>
        <cdr:cNvSpPr txBox="1"/>
      </cdr:nvSpPr>
      <cdr:spPr>
        <a:xfrm xmlns:a="http://schemas.openxmlformats.org/drawingml/2006/main">
          <a:off x="1810065" y="1289180"/>
          <a:ext cx="288248" cy="2489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0.22005</cdr:x>
      <cdr:y>0.55444</cdr:y>
    </cdr:from>
    <cdr:to>
      <cdr:x>0.28912</cdr:x>
      <cdr:y>0.67979</cdr:y>
    </cdr:to>
    <cdr:sp macro="" textlink="">
      <cdr:nvSpPr>
        <cdr:cNvPr id="7" name="ZoneTexte 6"/>
        <cdr:cNvSpPr txBox="1"/>
      </cdr:nvSpPr>
      <cdr:spPr>
        <a:xfrm xmlns:a="http://schemas.openxmlformats.org/drawingml/2006/main">
          <a:off x="1188716" y="1290331"/>
          <a:ext cx="373112" cy="29172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8.xml><?xml version="1.0" encoding="utf-8"?>
<c:userShapes xmlns:c="http://schemas.openxmlformats.org/drawingml/2006/chart">
  <cdr:relSizeAnchor xmlns:cdr="http://schemas.openxmlformats.org/drawingml/2006/chartDrawing">
    <cdr:from>
      <cdr:x>0.47746</cdr:x>
      <cdr:y>0.34032</cdr:y>
    </cdr:from>
    <cdr:to>
      <cdr:x>0.51181</cdr:x>
      <cdr:y>0.64697</cdr:y>
    </cdr:to>
    <cdr:sp macro="" textlink="">
      <cdr:nvSpPr>
        <cdr:cNvPr id="2" name="ZoneTexte 1"/>
        <cdr:cNvSpPr txBox="1"/>
      </cdr:nvSpPr>
      <cdr:spPr>
        <a:xfrm xmlns:a="http://schemas.openxmlformats.org/drawingml/2006/main">
          <a:off x="2578813" y="795108"/>
          <a:ext cx="185529" cy="7164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0.69949</cdr:x>
      <cdr:y>0.39667</cdr:y>
    </cdr:from>
    <cdr:to>
      <cdr:x>0.74143</cdr:x>
      <cdr:y>0.52422</cdr:y>
    </cdr:to>
    <cdr:sp macro="" textlink="">
      <cdr:nvSpPr>
        <cdr:cNvPr id="3" name="ZoneTexte 2"/>
        <cdr:cNvSpPr txBox="1"/>
      </cdr:nvSpPr>
      <cdr:spPr>
        <a:xfrm xmlns:a="http://schemas.openxmlformats.org/drawingml/2006/main">
          <a:off x="3778056" y="926755"/>
          <a:ext cx="226524" cy="298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0.82549</cdr:x>
      <cdr:y>0.37986</cdr:y>
    </cdr:from>
    <cdr:to>
      <cdr:x>0.86322</cdr:x>
      <cdr:y>0.54511</cdr:y>
    </cdr:to>
    <cdr:sp macro="" textlink="">
      <cdr:nvSpPr>
        <cdr:cNvPr id="4" name="ZoneTexte 3"/>
        <cdr:cNvSpPr txBox="1"/>
      </cdr:nvSpPr>
      <cdr:spPr>
        <a:xfrm xmlns:a="http://schemas.openxmlformats.org/drawingml/2006/main">
          <a:off x="4458603" y="887481"/>
          <a:ext cx="203785" cy="3860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a:t>
          </a:r>
        </a:p>
      </cdr:txBody>
    </cdr:sp>
  </cdr:relSizeAnchor>
  <cdr:relSizeAnchor xmlns:cdr="http://schemas.openxmlformats.org/drawingml/2006/chartDrawing">
    <cdr:from>
      <cdr:x>0.355</cdr:x>
      <cdr:y>0.45395</cdr:y>
    </cdr:from>
    <cdr:to>
      <cdr:x>0.39452</cdr:x>
      <cdr:y>0.56364</cdr:y>
    </cdr:to>
    <cdr:sp macro="" textlink="">
      <cdr:nvSpPr>
        <cdr:cNvPr id="5" name="ZoneTexte 4"/>
        <cdr:cNvSpPr txBox="1"/>
      </cdr:nvSpPr>
      <cdr:spPr>
        <a:xfrm xmlns:a="http://schemas.openxmlformats.org/drawingml/2006/main" flipH="1">
          <a:off x="1825934" y="1095375"/>
          <a:ext cx="203271" cy="2646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AB</a:t>
          </a:r>
        </a:p>
      </cdr:txBody>
    </cdr:sp>
  </cdr:relSizeAnchor>
  <cdr:relSizeAnchor xmlns:cdr="http://schemas.openxmlformats.org/drawingml/2006/chartDrawing">
    <cdr:from>
      <cdr:x>0.58721</cdr:x>
      <cdr:y>0.56106</cdr:y>
    </cdr:from>
    <cdr:to>
      <cdr:x>0.63171</cdr:x>
      <cdr:y>0.6631</cdr:y>
    </cdr:to>
    <cdr:sp macro="" textlink="">
      <cdr:nvSpPr>
        <cdr:cNvPr id="6" name="ZoneTexte 5"/>
        <cdr:cNvSpPr txBox="1"/>
      </cdr:nvSpPr>
      <cdr:spPr>
        <a:xfrm xmlns:a="http://schemas.openxmlformats.org/drawingml/2006/main">
          <a:off x="3171628" y="1310816"/>
          <a:ext cx="240350" cy="238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dr:relSizeAnchor xmlns:cdr="http://schemas.openxmlformats.org/drawingml/2006/chartDrawing">
    <cdr:from>
      <cdr:x>0.23973</cdr:x>
      <cdr:y>0.54043</cdr:y>
    </cdr:from>
    <cdr:to>
      <cdr:x>0.26589</cdr:x>
      <cdr:y>0.6239</cdr:y>
    </cdr:to>
    <cdr:sp macro="" textlink="">
      <cdr:nvSpPr>
        <cdr:cNvPr id="7" name="ZoneTexte 6"/>
        <cdr:cNvSpPr txBox="1"/>
      </cdr:nvSpPr>
      <cdr:spPr>
        <a:xfrm xmlns:a="http://schemas.openxmlformats.org/drawingml/2006/main" flipH="1">
          <a:off x="1233060" y="1304054"/>
          <a:ext cx="134554" cy="2014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latin typeface="Times New Roman" pitchFamily="18" charset="0"/>
              <a:cs typeface="Times New Roman" pitchFamily="18" charset="0"/>
            </a:rPr>
            <a:t>B</a:t>
          </a:r>
        </a:p>
      </cdr:txBody>
    </cdr:sp>
  </cdr:relSizeAnchor>
</c:userShapes>
</file>

<file path=word/drawings/drawing9.xml><?xml version="1.0" encoding="utf-8"?>
<c:userShapes xmlns:c="http://schemas.openxmlformats.org/drawingml/2006/chart">
  <cdr:relSizeAnchor xmlns:cdr="http://schemas.openxmlformats.org/drawingml/2006/chartDrawing">
    <cdr:from>
      <cdr:x>0.11023</cdr:x>
      <cdr:y>0.61182</cdr:y>
    </cdr:from>
    <cdr:to>
      <cdr:x>0.11759</cdr:x>
      <cdr:y>0.66662</cdr:y>
    </cdr:to>
    <cdr:sp macro="" textlink="">
      <cdr:nvSpPr>
        <cdr:cNvPr id="2" name="ZoneTexte 1"/>
        <cdr:cNvSpPr txBox="1"/>
      </cdr:nvSpPr>
      <cdr:spPr>
        <a:xfrm xmlns:a="http://schemas.openxmlformats.org/drawingml/2006/main" flipH="1">
          <a:off x="579682" y="1732724"/>
          <a:ext cx="38706" cy="1551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A</a:t>
          </a:r>
        </a:p>
      </cdr:txBody>
    </cdr:sp>
  </cdr:relSizeAnchor>
  <cdr:relSizeAnchor xmlns:cdr="http://schemas.openxmlformats.org/drawingml/2006/chartDrawing">
    <cdr:from>
      <cdr:x>0.23304</cdr:x>
      <cdr:y>0.65471</cdr:y>
    </cdr:from>
    <cdr:to>
      <cdr:x>0.28133</cdr:x>
      <cdr:y>0.713</cdr:y>
    </cdr:to>
    <cdr:sp macro="" textlink="">
      <cdr:nvSpPr>
        <cdr:cNvPr id="3" name="ZoneTexte 2"/>
        <cdr:cNvSpPr txBox="1"/>
      </cdr:nvSpPr>
      <cdr:spPr>
        <a:xfrm xmlns:a="http://schemas.openxmlformats.org/drawingml/2006/main" flipH="1">
          <a:off x="1225550" y="1854200"/>
          <a:ext cx="254000" cy="165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A</a:t>
          </a:r>
        </a:p>
      </cdr:txBody>
    </cdr:sp>
  </cdr:relSizeAnchor>
  <cdr:relSizeAnchor xmlns:cdr="http://schemas.openxmlformats.org/drawingml/2006/chartDrawing">
    <cdr:from>
      <cdr:x>0.52516</cdr:x>
      <cdr:y>0.63677</cdr:y>
    </cdr:from>
    <cdr:to>
      <cdr:x>0.53385</cdr:x>
      <cdr:y>0.73991</cdr:y>
    </cdr:to>
    <cdr:sp macro="" textlink="">
      <cdr:nvSpPr>
        <cdr:cNvPr id="4" name="ZoneTexte 3"/>
        <cdr:cNvSpPr txBox="1"/>
      </cdr:nvSpPr>
      <cdr:spPr>
        <a:xfrm xmlns:a="http://schemas.openxmlformats.org/drawingml/2006/main" flipH="1">
          <a:off x="2761835" y="1803400"/>
          <a:ext cx="45719" cy="292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A</a:t>
          </a:r>
        </a:p>
      </cdr:txBody>
    </cdr:sp>
  </cdr:relSizeAnchor>
  <cdr:relSizeAnchor xmlns:cdr="http://schemas.openxmlformats.org/drawingml/2006/chartDrawing">
    <cdr:from>
      <cdr:x>0.80154</cdr:x>
      <cdr:y>0.67713</cdr:y>
    </cdr:from>
    <cdr:to>
      <cdr:x>0.81023</cdr:x>
      <cdr:y>0.73094</cdr:y>
    </cdr:to>
    <cdr:sp macro="" textlink="">
      <cdr:nvSpPr>
        <cdr:cNvPr id="5" name="ZoneTexte 4"/>
        <cdr:cNvSpPr txBox="1"/>
      </cdr:nvSpPr>
      <cdr:spPr>
        <a:xfrm xmlns:a="http://schemas.openxmlformats.org/drawingml/2006/main" flipH="1">
          <a:off x="4215354" y="1917700"/>
          <a:ext cx="45719" cy="1523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B</a:t>
          </a:r>
        </a:p>
      </cdr:txBody>
    </cdr:sp>
  </cdr:relSizeAnchor>
  <cdr:relSizeAnchor xmlns:cdr="http://schemas.openxmlformats.org/drawingml/2006/chartDrawing">
    <cdr:from>
      <cdr:x>0.38034</cdr:x>
      <cdr:y>0.67547</cdr:y>
    </cdr:from>
    <cdr:to>
      <cdr:x>0.40738</cdr:x>
      <cdr:y>0.75785</cdr:y>
    </cdr:to>
    <cdr:sp macro="" textlink="">
      <cdr:nvSpPr>
        <cdr:cNvPr id="6" name="ZoneTexte 5"/>
        <cdr:cNvSpPr txBox="1"/>
      </cdr:nvSpPr>
      <cdr:spPr>
        <a:xfrm xmlns:a="http://schemas.openxmlformats.org/drawingml/2006/main">
          <a:off x="2000250" y="1912998"/>
          <a:ext cx="142190" cy="2333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800">
              <a:latin typeface="Times New Roman" pitchFamily="18" charset="0"/>
              <a:cs typeface="Times New Roman" pitchFamily="18" charset="0"/>
            </a:rPr>
            <a:t>C</a:t>
          </a:r>
        </a:p>
      </cdr:txBody>
    </cdr:sp>
  </cdr:relSizeAnchor>
  <cdr:relSizeAnchor xmlns:cdr="http://schemas.openxmlformats.org/drawingml/2006/chartDrawing">
    <cdr:from>
      <cdr:x>0.66288</cdr:x>
      <cdr:y>0.69507</cdr:y>
    </cdr:from>
    <cdr:to>
      <cdr:x>0.67737</cdr:x>
      <cdr:y>0.72646</cdr:y>
    </cdr:to>
    <cdr:sp macro="" textlink="">
      <cdr:nvSpPr>
        <cdr:cNvPr id="7" name="ZoneTexte 6"/>
        <cdr:cNvSpPr txBox="1"/>
      </cdr:nvSpPr>
      <cdr:spPr>
        <a:xfrm xmlns:a="http://schemas.openxmlformats.org/drawingml/2006/main">
          <a:off x="3486151" y="1968500"/>
          <a:ext cx="76200" cy="888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C</a:t>
          </a:r>
        </a:p>
      </cdr:txBody>
    </cdr:sp>
  </cdr:relSizeAnchor>
  <cdr:relSizeAnchor xmlns:cdr="http://schemas.openxmlformats.org/drawingml/2006/chartDrawing">
    <cdr:from>
      <cdr:x>0.54602</cdr:x>
      <cdr:y>0.6431</cdr:y>
    </cdr:from>
    <cdr:to>
      <cdr:x>0.56864</cdr:x>
      <cdr:y>0.72816</cdr:y>
    </cdr:to>
    <cdr:sp macro="" textlink="">
      <cdr:nvSpPr>
        <cdr:cNvPr id="8" name="ZoneTexte 7"/>
        <cdr:cNvSpPr txBox="1"/>
      </cdr:nvSpPr>
      <cdr:spPr>
        <a:xfrm xmlns:a="http://schemas.openxmlformats.org/drawingml/2006/main">
          <a:off x="2787650" y="1682483"/>
          <a:ext cx="115472" cy="2225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A</a:t>
          </a:r>
        </a:p>
      </cdr:txBody>
    </cdr:sp>
  </cdr:relSizeAnchor>
  <cdr:relSizeAnchor xmlns:cdr="http://schemas.openxmlformats.org/drawingml/2006/chartDrawing">
    <cdr:from>
      <cdr:x>0.14055</cdr:x>
      <cdr:y>0.60611</cdr:y>
    </cdr:from>
    <cdr:to>
      <cdr:x>0.15298</cdr:x>
      <cdr:y>0.75728</cdr:y>
    </cdr:to>
    <cdr:sp macro="" textlink="">
      <cdr:nvSpPr>
        <cdr:cNvPr id="9" name="ZoneTexte 8"/>
        <cdr:cNvSpPr txBox="1"/>
      </cdr:nvSpPr>
      <cdr:spPr>
        <a:xfrm xmlns:a="http://schemas.openxmlformats.org/drawingml/2006/main" flipH="1">
          <a:off x="717549" y="1585710"/>
          <a:ext cx="63474" cy="3954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AB</a:t>
          </a:r>
        </a:p>
      </cdr:txBody>
    </cdr:sp>
  </cdr:relSizeAnchor>
  <cdr:relSizeAnchor xmlns:cdr="http://schemas.openxmlformats.org/drawingml/2006/chartDrawing">
    <cdr:from>
      <cdr:x>0.25994</cdr:x>
      <cdr:y>0.59223</cdr:y>
    </cdr:from>
    <cdr:to>
      <cdr:x>0.30969</cdr:x>
      <cdr:y>0.69417</cdr:y>
    </cdr:to>
    <cdr:sp macro="" textlink="">
      <cdr:nvSpPr>
        <cdr:cNvPr id="10" name="ZoneTexte 9"/>
        <cdr:cNvSpPr txBox="1"/>
      </cdr:nvSpPr>
      <cdr:spPr>
        <a:xfrm xmlns:a="http://schemas.openxmlformats.org/drawingml/2006/main">
          <a:off x="1327123" y="1549386"/>
          <a:ext cx="253993" cy="2666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B</a:t>
          </a:r>
        </a:p>
      </cdr:txBody>
    </cdr:sp>
  </cdr:relSizeAnchor>
  <cdr:relSizeAnchor xmlns:cdr="http://schemas.openxmlformats.org/drawingml/2006/chartDrawing">
    <cdr:from>
      <cdr:x>0.81985</cdr:x>
      <cdr:y>0.63677</cdr:y>
    </cdr:from>
    <cdr:to>
      <cdr:x>0.84</cdr:x>
      <cdr:y>0.69507</cdr:y>
    </cdr:to>
    <cdr:sp macro="" textlink="">
      <cdr:nvSpPr>
        <cdr:cNvPr id="11" name="ZoneTexte 10"/>
        <cdr:cNvSpPr txBox="1"/>
      </cdr:nvSpPr>
      <cdr:spPr>
        <a:xfrm xmlns:a="http://schemas.openxmlformats.org/drawingml/2006/main">
          <a:off x="4311650" y="1803400"/>
          <a:ext cx="105969" cy="165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C</a:t>
          </a:r>
        </a:p>
      </cdr:txBody>
    </cdr:sp>
  </cdr:relSizeAnchor>
  <cdr:relSizeAnchor xmlns:cdr="http://schemas.openxmlformats.org/drawingml/2006/chartDrawing">
    <cdr:from>
      <cdr:x>0.67537</cdr:x>
      <cdr:y>0.68664</cdr:y>
    </cdr:from>
    <cdr:to>
      <cdr:x>0.70771</cdr:x>
      <cdr:y>0.74194</cdr:y>
    </cdr:to>
    <cdr:sp macro="" textlink="">
      <cdr:nvSpPr>
        <cdr:cNvPr id="12" name="ZoneTexte 11"/>
        <cdr:cNvSpPr txBox="1"/>
      </cdr:nvSpPr>
      <cdr:spPr>
        <a:xfrm xmlns:a="http://schemas.openxmlformats.org/drawingml/2006/main">
          <a:off x="3448050" y="1892300"/>
          <a:ext cx="165099" cy="152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D</a:t>
          </a:r>
        </a:p>
      </cdr:txBody>
    </cdr:sp>
  </cdr:relSizeAnchor>
  <cdr:relSizeAnchor xmlns:cdr="http://schemas.openxmlformats.org/drawingml/2006/chartDrawing">
    <cdr:from>
      <cdr:x>0.41131</cdr:x>
      <cdr:y>0.65283</cdr:y>
    </cdr:from>
    <cdr:to>
      <cdr:x>0.42</cdr:x>
      <cdr:y>0.713</cdr:y>
    </cdr:to>
    <cdr:sp macro="" textlink="">
      <cdr:nvSpPr>
        <cdr:cNvPr id="13" name="ZoneTexte 12"/>
        <cdr:cNvSpPr txBox="1"/>
      </cdr:nvSpPr>
      <cdr:spPr>
        <a:xfrm xmlns:a="http://schemas.openxmlformats.org/drawingml/2006/main" flipH="1">
          <a:off x="2163090" y="1848880"/>
          <a:ext cx="45719" cy="1704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D</a:t>
          </a:r>
        </a:p>
      </cdr:txBody>
    </cdr:sp>
  </cdr:relSizeAnchor>
  <cdr:relSizeAnchor xmlns:cdr="http://schemas.openxmlformats.org/drawingml/2006/chartDrawing">
    <cdr:from>
      <cdr:x>0.15796</cdr:x>
      <cdr:y>0.57767</cdr:y>
    </cdr:from>
    <cdr:to>
      <cdr:x>0.17687</cdr:x>
      <cdr:y>0.66019</cdr:y>
    </cdr:to>
    <cdr:sp macro="" textlink="">
      <cdr:nvSpPr>
        <cdr:cNvPr id="14" name="ZoneTexte 13"/>
        <cdr:cNvSpPr txBox="1"/>
      </cdr:nvSpPr>
      <cdr:spPr>
        <a:xfrm xmlns:a="http://schemas.openxmlformats.org/drawingml/2006/main">
          <a:off x="806451" y="1511300"/>
          <a:ext cx="96542" cy="2158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A</a:t>
          </a:r>
        </a:p>
      </cdr:txBody>
    </cdr:sp>
  </cdr:relSizeAnchor>
  <cdr:relSizeAnchor xmlns:cdr="http://schemas.openxmlformats.org/drawingml/2006/chartDrawing">
    <cdr:from>
      <cdr:x>0.57397</cdr:x>
      <cdr:y>0.55849</cdr:y>
    </cdr:from>
    <cdr:to>
      <cdr:x>0.5908</cdr:x>
      <cdr:y>0.65534</cdr:y>
    </cdr:to>
    <cdr:sp macro="" textlink="">
      <cdr:nvSpPr>
        <cdr:cNvPr id="15" name="ZoneTexte 14"/>
        <cdr:cNvSpPr txBox="1"/>
      </cdr:nvSpPr>
      <cdr:spPr>
        <a:xfrm xmlns:a="http://schemas.openxmlformats.org/drawingml/2006/main">
          <a:off x="2930334" y="1461120"/>
          <a:ext cx="85924" cy="25337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AB</a:t>
          </a:r>
        </a:p>
      </cdr:txBody>
    </cdr:sp>
  </cdr:relSizeAnchor>
  <cdr:relSizeAnchor xmlns:cdr="http://schemas.openxmlformats.org/drawingml/2006/chartDrawing">
    <cdr:from>
      <cdr:x>0.30473</cdr:x>
      <cdr:y>0.54369</cdr:y>
    </cdr:from>
    <cdr:to>
      <cdr:x>0.31468</cdr:x>
      <cdr:y>0.79026</cdr:y>
    </cdr:to>
    <cdr:sp macro="" textlink="">
      <cdr:nvSpPr>
        <cdr:cNvPr id="16" name="ZoneTexte 15"/>
        <cdr:cNvSpPr txBox="1"/>
      </cdr:nvSpPr>
      <cdr:spPr>
        <a:xfrm xmlns:a="http://schemas.openxmlformats.org/drawingml/2006/main" flipH="1">
          <a:off x="1555744" y="1422400"/>
          <a:ext cx="50806" cy="64508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B</a:t>
          </a:r>
        </a:p>
      </cdr:txBody>
    </cdr:sp>
  </cdr:relSizeAnchor>
  <cdr:relSizeAnchor xmlns:cdr="http://schemas.openxmlformats.org/drawingml/2006/chartDrawing">
    <cdr:from>
      <cdr:x>0.85385</cdr:x>
      <cdr:y>0.61509</cdr:y>
    </cdr:from>
    <cdr:to>
      <cdr:x>0.86443</cdr:x>
      <cdr:y>0.66019</cdr:y>
    </cdr:to>
    <cdr:sp macro="" textlink="">
      <cdr:nvSpPr>
        <cdr:cNvPr id="17" name="ZoneTexte 16"/>
        <cdr:cNvSpPr txBox="1"/>
      </cdr:nvSpPr>
      <cdr:spPr>
        <a:xfrm xmlns:a="http://schemas.openxmlformats.org/drawingml/2006/main">
          <a:off x="4359246" y="1609198"/>
          <a:ext cx="54004" cy="1180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C</a:t>
          </a:r>
        </a:p>
      </cdr:txBody>
    </cdr:sp>
  </cdr:relSizeAnchor>
  <cdr:relSizeAnchor xmlns:cdr="http://schemas.openxmlformats.org/drawingml/2006/chartDrawing">
    <cdr:from>
      <cdr:x>0.69896</cdr:x>
      <cdr:y>0.59245</cdr:y>
    </cdr:from>
    <cdr:to>
      <cdr:x>0.73258</cdr:x>
      <cdr:y>0.67281</cdr:y>
    </cdr:to>
    <cdr:sp macro="" textlink="">
      <cdr:nvSpPr>
        <cdr:cNvPr id="18" name="ZoneTexte 17"/>
        <cdr:cNvSpPr txBox="1"/>
      </cdr:nvSpPr>
      <cdr:spPr>
        <a:xfrm xmlns:a="http://schemas.openxmlformats.org/drawingml/2006/main">
          <a:off x="3568495" y="1549961"/>
          <a:ext cx="171644" cy="2102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CD</a:t>
          </a:r>
        </a:p>
      </cdr:txBody>
    </cdr:sp>
  </cdr:relSizeAnchor>
  <cdr:relSizeAnchor xmlns:cdr="http://schemas.openxmlformats.org/drawingml/2006/chartDrawing">
    <cdr:from>
      <cdr:x>0.43593</cdr:x>
      <cdr:y>0.64151</cdr:y>
    </cdr:from>
    <cdr:to>
      <cdr:x>0.44462</cdr:x>
      <cdr:y>0.70404</cdr:y>
    </cdr:to>
    <cdr:sp macro="" textlink="">
      <cdr:nvSpPr>
        <cdr:cNvPr id="19" name="ZoneTexte 18"/>
        <cdr:cNvSpPr txBox="1"/>
      </cdr:nvSpPr>
      <cdr:spPr>
        <a:xfrm xmlns:a="http://schemas.openxmlformats.org/drawingml/2006/main" flipH="1">
          <a:off x="2225597" y="1678318"/>
          <a:ext cx="44366" cy="16359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D</a:t>
          </a:r>
        </a:p>
      </cdr:txBody>
    </cdr:sp>
  </cdr:relSizeAnchor>
  <cdr:relSizeAnchor xmlns:cdr="http://schemas.openxmlformats.org/drawingml/2006/chartDrawing">
    <cdr:from>
      <cdr:x>0.21169</cdr:x>
      <cdr:y>0.37459</cdr:y>
    </cdr:from>
    <cdr:to>
      <cdr:x>0.22015</cdr:x>
      <cdr:y>0.49514</cdr:y>
    </cdr:to>
    <cdr:sp macro="" textlink="">
      <cdr:nvSpPr>
        <cdr:cNvPr id="20" name="ZoneTexte 19"/>
        <cdr:cNvSpPr txBox="1"/>
      </cdr:nvSpPr>
      <cdr:spPr>
        <a:xfrm xmlns:a="http://schemas.openxmlformats.org/drawingml/2006/main">
          <a:off x="1143698" y="939416"/>
          <a:ext cx="45719" cy="30232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A</a:t>
          </a:r>
        </a:p>
      </cdr:txBody>
    </cdr:sp>
  </cdr:relSizeAnchor>
  <cdr:relSizeAnchor xmlns:cdr="http://schemas.openxmlformats.org/drawingml/2006/chartDrawing">
    <cdr:from>
      <cdr:x>0.31468</cdr:x>
      <cdr:y>0.49515</cdr:y>
    </cdr:from>
    <cdr:to>
      <cdr:x>0.34698</cdr:x>
      <cdr:y>0.58253</cdr:y>
    </cdr:to>
    <cdr:sp macro="" textlink="">
      <cdr:nvSpPr>
        <cdr:cNvPr id="21" name="ZoneTexte 20"/>
        <cdr:cNvSpPr txBox="1"/>
      </cdr:nvSpPr>
      <cdr:spPr>
        <a:xfrm xmlns:a="http://schemas.openxmlformats.org/drawingml/2006/main">
          <a:off x="1606542" y="1295401"/>
          <a:ext cx="164905" cy="22860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B</a:t>
          </a:r>
        </a:p>
      </cdr:txBody>
    </cdr:sp>
  </cdr:relSizeAnchor>
  <cdr:relSizeAnchor xmlns:cdr="http://schemas.openxmlformats.org/drawingml/2006/chartDrawing">
    <cdr:from>
      <cdr:x>0.60249</cdr:x>
      <cdr:y>0.51158</cdr:y>
    </cdr:from>
    <cdr:to>
      <cdr:x>0.62065</cdr:x>
      <cdr:y>0.63593</cdr:y>
    </cdr:to>
    <cdr:sp macro="" textlink="">
      <cdr:nvSpPr>
        <cdr:cNvPr id="22" name="ZoneTexte 21"/>
        <cdr:cNvSpPr txBox="1"/>
      </cdr:nvSpPr>
      <cdr:spPr>
        <a:xfrm xmlns:a="http://schemas.openxmlformats.org/drawingml/2006/main">
          <a:off x="3075928" y="1338384"/>
          <a:ext cx="92714" cy="325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B</a:t>
          </a:r>
        </a:p>
      </cdr:txBody>
    </cdr:sp>
  </cdr:relSizeAnchor>
  <cdr:relSizeAnchor xmlns:cdr="http://schemas.openxmlformats.org/drawingml/2006/chartDrawing">
    <cdr:from>
      <cdr:x>0.73548</cdr:x>
      <cdr:y>0.57145</cdr:y>
    </cdr:from>
    <cdr:to>
      <cdr:x>0.75249</cdr:x>
      <cdr:y>0.68932</cdr:y>
    </cdr:to>
    <cdr:sp macro="" textlink="">
      <cdr:nvSpPr>
        <cdr:cNvPr id="23" name="ZoneTexte 22"/>
        <cdr:cNvSpPr txBox="1"/>
      </cdr:nvSpPr>
      <cdr:spPr>
        <a:xfrm xmlns:a="http://schemas.openxmlformats.org/drawingml/2006/main">
          <a:off x="3754920" y="1495038"/>
          <a:ext cx="86842" cy="30837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C</a:t>
          </a:r>
        </a:p>
      </cdr:txBody>
    </cdr:sp>
  </cdr:relSizeAnchor>
  <cdr:relSizeAnchor xmlns:cdr="http://schemas.openxmlformats.org/drawingml/2006/chartDrawing">
    <cdr:from>
      <cdr:x>0.87439</cdr:x>
      <cdr:y>0.55094</cdr:y>
    </cdr:from>
    <cdr:to>
      <cdr:x>0.88308</cdr:x>
      <cdr:y>0.63229</cdr:y>
    </cdr:to>
    <cdr:sp macro="" textlink="">
      <cdr:nvSpPr>
        <cdr:cNvPr id="24" name="ZoneTexte 23"/>
        <cdr:cNvSpPr txBox="1"/>
      </cdr:nvSpPr>
      <cdr:spPr>
        <a:xfrm xmlns:a="http://schemas.openxmlformats.org/drawingml/2006/main" flipH="1">
          <a:off x="4598461" y="1560317"/>
          <a:ext cx="45719" cy="23038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C</a:t>
          </a:r>
        </a:p>
      </cdr:txBody>
    </cdr:sp>
  </cdr:relSizeAnchor>
  <cdr:relSizeAnchor xmlns:cdr="http://schemas.openxmlformats.org/drawingml/2006/chartDrawing">
    <cdr:from>
      <cdr:x>0.45149</cdr:x>
      <cdr:y>0.60216</cdr:y>
    </cdr:from>
    <cdr:to>
      <cdr:x>0.48134</cdr:x>
      <cdr:y>0.75243</cdr:y>
    </cdr:to>
    <cdr:sp macro="" textlink="">
      <cdr:nvSpPr>
        <cdr:cNvPr id="25" name="ZoneTexte 24"/>
        <cdr:cNvSpPr txBox="1"/>
      </cdr:nvSpPr>
      <cdr:spPr>
        <a:xfrm xmlns:a="http://schemas.openxmlformats.org/drawingml/2006/main">
          <a:off x="2305037" y="1575376"/>
          <a:ext cx="152396" cy="3931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D</a:t>
          </a:r>
        </a:p>
      </cdr:txBody>
    </cdr:sp>
  </cdr:relSizeAnchor>
  <cdr:relSizeAnchor xmlns:cdr="http://schemas.openxmlformats.org/drawingml/2006/chartDrawing">
    <cdr:from>
      <cdr:x>0.17786</cdr:x>
      <cdr:y>0.51942</cdr:y>
    </cdr:from>
    <cdr:to>
      <cdr:x>0.21269</cdr:x>
      <cdr:y>0.70397</cdr:y>
    </cdr:to>
    <cdr:sp macro="" textlink="">
      <cdr:nvSpPr>
        <cdr:cNvPr id="26" name="ZoneTexte 25"/>
        <cdr:cNvSpPr txBox="1"/>
      </cdr:nvSpPr>
      <cdr:spPr>
        <a:xfrm xmlns:a="http://schemas.openxmlformats.org/drawingml/2006/main" flipH="1">
          <a:off x="908049" y="1358901"/>
          <a:ext cx="177818" cy="4828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A</a:t>
          </a:r>
        </a:p>
      </cdr:txBody>
    </cdr:sp>
  </cdr:relSizeAnchor>
  <cdr:relSizeAnchor xmlns:cdr="http://schemas.openxmlformats.org/drawingml/2006/chartDrawing">
    <cdr:from>
      <cdr:x>0.33706</cdr:x>
      <cdr:y>0.42691</cdr:y>
    </cdr:from>
    <cdr:to>
      <cdr:x>0.36194</cdr:x>
      <cdr:y>0.48058</cdr:y>
    </cdr:to>
    <cdr:sp macro="" textlink="">
      <cdr:nvSpPr>
        <cdr:cNvPr id="27" name="ZoneTexte 26"/>
        <cdr:cNvSpPr txBox="1"/>
      </cdr:nvSpPr>
      <cdr:spPr>
        <a:xfrm xmlns:a="http://schemas.openxmlformats.org/drawingml/2006/main" flipH="1">
          <a:off x="1720836" y="1116883"/>
          <a:ext cx="127013" cy="1404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A</a:t>
          </a:r>
        </a:p>
      </cdr:txBody>
    </cdr:sp>
  </cdr:relSizeAnchor>
  <cdr:relSizeAnchor xmlns:cdr="http://schemas.openxmlformats.org/drawingml/2006/chartDrawing">
    <cdr:from>
      <cdr:x>0.62439</cdr:x>
      <cdr:y>0.39532</cdr:y>
    </cdr:from>
    <cdr:to>
      <cdr:x>0.64304</cdr:x>
      <cdr:y>0.47088</cdr:y>
    </cdr:to>
    <cdr:sp macro="" textlink="">
      <cdr:nvSpPr>
        <cdr:cNvPr id="28" name="ZoneTexte 27"/>
        <cdr:cNvSpPr txBox="1"/>
      </cdr:nvSpPr>
      <cdr:spPr>
        <a:xfrm xmlns:a="http://schemas.openxmlformats.org/drawingml/2006/main" flipH="1">
          <a:off x="3187736" y="1034227"/>
          <a:ext cx="95216" cy="1976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A</a:t>
          </a:r>
        </a:p>
      </cdr:txBody>
    </cdr:sp>
  </cdr:relSizeAnchor>
  <cdr:relSizeAnchor xmlns:cdr="http://schemas.openxmlformats.org/drawingml/2006/chartDrawing">
    <cdr:from>
      <cdr:x>0.76308</cdr:x>
      <cdr:y>0.49701</cdr:y>
    </cdr:from>
    <cdr:to>
      <cdr:x>0.77737</cdr:x>
      <cdr:y>0.64563</cdr:y>
    </cdr:to>
    <cdr:sp macro="" textlink="">
      <cdr:nvSpPr>
        <cdr:cNvPr id="29" name="ZoneTexte 28"/>
        <cdr:cNvSpPr txBox="1"/>
      </cdr:nvSpPr>
      <cdr:spPr>
        <a:xfrm xmlns:a="http://schemas.openxmlformats.org/drawingml/2006/main">
          <a:off x="3895816" y="1300290"/>
          <a:ext cx="72956" cy="3888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50">
              <a:latin typeface="Times New Roman" pitchFamily="18" charset="0"/>
              <a:cs typeface="Times New Roman" pitchFamily="18" charset="0"/>
            </a:rPr>
            <a:t>B</a:t>
          </a:r>
        </a:p>
      </cdr:txBody>
    </cdr:sp>
  </cdr:relSizeAnchor>
  <cdr:relSizeAnchor xmlns:cdr="http://schemas.openxmlformats.org/drawingml/2006/chartDrawing">
    <cdr:from>
      <cdr:x>0.88888</cdr:x>
      <cdr:y>0.49811</cdr:y>
    </cdr:from>
    <cdr:to>
      <cdr:x>0.91957</cdr:x>
      <cdr:y>0.58064</cdr:y>
    </cdr:to>
    <cdr:sp macro="" textlink="">
      <cdr:nvSpPr>
        <cdr:cNvPr id="30" name="ZoneTexte 29"/>
        <cdr:cNvSpPr txBox="1"/>
      </cdr:nvSpPr>
      <cdr:spPr>
        <a:xfrm xmlns:a="http://schemas.openxmlformats.org/drawingml/2006/main" flipH="1">
          <a:off x="4802393" y="1249186"/>
          <a:ext cx="165811" cy="2069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BC</a:t>
          </a:r>
        </a:p>
      </cdr:txBody>
    </cdr:sp>
  </cdr:relSizeAnchor>
  <cdr:relSizeAnchor xmlns:cdr="http://schemas.openxmlformats.org/drawingml/2006/chartDrawing">
    <cdr:from>
      <cdr:x>0.48632</cdr:x>
      <cdr:y>0.49515</cdr:y>
    </cdr:from>
    <cdr:to>
      <cdr:x>0.50116</cdr:x>
      <cdr:y>0.71222</cdr:y>
    </cdr:to>
    <cdr:sp macro="" textlink="">
      <cdr:nvSpPr>
        <cdr:cNvPr id="31" name="ZoneTexte 30"/>
        <cdr:cNvSpPr txBox="1"/>
      </cdr:nvSpPr>
      <cdr:spPr>
        <a:xfrm xmlns:a="http://schemas.openxmlformats.org/drawingml/2006/main">
          <a:off x="2482850" y="1295401"/>
          <a:ext cx="75772" cy="5679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000">
              <a:latin typeface="Times New Roman" pitchFamily="18" charset="0"/>
              <a:cs typeface="Times New Roman" pitchFamily="18" charset="0"/>
            </a:rPr>
            <a:t>C</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E4234-0E21-4402-A619-9CA191650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1</Pages>
  <Words>28865</Words>
  <Characters>158759</Characters>
  <Application>Microsoft Office Word</Application>
  <DocSecurity>0</DocSecurity>
  <Lines>1322</Lines>
  <Paragraphs>374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187250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LOUTAYA</dc:creator>
  <cp:keywords/>
  <dc:description/>
  <cp:lastModifiedBy>lahmadi</cp:lastModifiedBy>
  <cp:revision>19</cp:revision>
  <cp:lastPrinted>2007-02-08T08:44:00Z</cp:lastPrinted>
  <dcterms:created xsi:type="dcterms:W3CDTF">2010-02-23T13:25:00Z</dcterms:created>
  <dcterms:modified xsi:type="dcterms:W3CDTF">2011-01-02T10:14:00Z</dcterms:modified>
</cp:coreProperties>
</file>